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D9DBA3">
      <w:pPr>
        <w:tabs>
          <w:tab w:val="left" w:pos="315"/>
          <w:tab w:val="left" w:pos="8820"/>
        </w:tabs>
        <w:spacing w:before="240" w:beforeLines="100" w:after="120" w:afterLines="50" w:line="500" w:lineRule="exact"/>
        <w:ind w:right="254" w:rightChars="127"/>
        <w:jc w:val="center"/>
        <w:rPr>
          <w:b/>
          <w:bCs/>
          <w:color w:val="auto"/>
          <w:sz w:val="52"/>
          <w:szCs w:val="52"/>
          <w:highlight w:val="none"/>
          <w:vertAlign w:val="superscript"/>
        </w:rPr>
      </w:pPr>
    </w:p>
    <w:p w14:paraId="7648A4BB">
      <w:pPr>
        <w:tabs>
          <w:tab w:val="left" w:pos="315"/>
          <w:tab w:val="left" w:pos="8820"/>
        </w:tabs>
        <w:spacing w:before="240" w:beforeLines="100" w:after="120" w:afterLines="50" w:line="500" w:lineRule="exact"/>
        <w:ind w:right="254" w:rightChars="127"/>
        <w:jc w:val="center"/>
        <w:rPr>
          <w:b/>
          <w:bCs/>
          <w:color w:val="auto"/>
          <w:sz w:val="52"/>
          <w:szCs w:val="52"/>
          <w:highlight w:val="none"/>
        </w:rPr>
      </w:pPr>
    </w:p>
    <w:p w14:paraId="477F8D13">
      <w:pPr>
        <w:tabs>
          <w:tab w:val="left" w:pos="315"/>
          <w:tab w:val="left" w:pos="8820"/>
        </w:tabs>
        <w:spacing w:before="240" w:beforeLines="100" w:after="120" w:afterLines="50" w:line="500" w:lineRule="exact"/>
        <w:ind w:right="254" w:rightChars="127"/>
        <w:jc w:val="center"/>
        <w:rPr>
          <w:rFonts w:hint="eastAsia" w:eastAsia="宋体"/>
          <w:b/>
          <w:bCs/>
          <w:color w:val="auto"/>
          <w:sz w:val="52"/>
          <w:szCs w:val="52"/>
          <w:highlight w:val="none"/>
          <w:lang w:eastAsia="zh-CN"/>
        </w:rPr>
      </w:pPr>
      <w:bookmarkStart w:id="0" w:name="_Hlk9544796"/>
      <w:r>
        <w:rPr>
          <w:rFonts w:hint="eastAsia"/>
          <w:b/>
          <w:bCs/>
          <w:color w:val="auto"/>
          <w:sz w:val="52"/>
          <w:szCs w:val="52"/>
          <w:highlight w:val="none"/>
          <w:lang w:val="en-US" w:eastAsia="zh-CN"/>
        </w:rPr>
        <w:t>安徽省</w:t>
      </w:r>
      <w:r>
        <w:rPr>
          <w:rFonts w:hint="eastAsia"/>
          <w:b/>
          <w:bCs/>
          <w:color w:val="auto"/>
          <w:sz w:val="52"/>
          <w:szCs w:val="52"/>
          <w:highlight w:val="none"/>
        </w:rPr>
        <w:t>政府采购</w:t>
      </w:r>
      <w:r>
        <w:rPr>
          <w:rFonts w:hint="eastAsia"/>
          <w:b/>
          <w:bCs/>
          <w:color w:val="auto"/>
          <w:sz w:val="52"/>
          <w:szCs w:val="52"/>
          <w:highlight w:val="none"/>
          <w:lang w:eastAsia="zh-CN"/>
        </w:rPr>
        <w:t>项目</w:t>
      </w:r>
    </w:p>
    <w:p w14:paraId="0134F9FB">
      <w:pPr>
        <w:tabs>
          <w:tab w:val="left" w:pos="315"/>
          <w:tab w:val="left" w:pos="8820"/>
        </w:tabs>
        <w:spacing w:before="240" w:beforeLines="100" w:after="120" w:afterLines="50" w:line="500" w:lineRule="exact"/>
        <w:ind w:right="254" w:rightChars="127"/>
        <w:jc w:val="center"/>
        <w:rPr>
          <w:b/>
          <w:bCs/>
          <w:color w:val="auto"/>
          <w:sz w:val="52"/>
          <w:szCs w:val="52"/>
          <w:highlight w:val="none"/>
        </w:rPr>
      </w:pPr>
      <w:r>
        <w:rPr>
          <w:rFonts w:hint="eastAsia"/>
          <w:b/>
          <w:bCs/>
          <w:color w:val="auto"/>
          <w:sz w:val="52"/>
          <w:szCs w:val="52"/>
          <w:highlight w:val="none"/>
        </w:rPr>
        <w:t>竞争性谈判文件示范文本（工程类）</w:t>
      </w:r>
    </w:p>
    <w:bookmarkEnd w:id="0"/>
    <w:p w14:paraId="70D697B0">
      <w:pPr>
        <w:tabs>
          <w:tab w:val="left" w:pos="315"/>
          <w:tab w:val="left" w:pos="8820"/>
        </w:tabs>
        <w:spacing w:before="240" w:beforeLines="100" w:after="120" w:afterLines="50" w:line="500" w:lineRule="exact"/>
        <w:ind w:right="254" w:rightChars="127"/>
        <w:jc w:val="center"/>
        <w:rPr>
          <w:b/>
          <w:bCs/>
          <w:color w:val="auto"/>
          <w:sz w:val="52"/>
          <w:szCs w:val="52"/>
          <w:highlight w:val="none"/>
        </w:rPr>
      </w:pPr>
      <w:r>
        <w:rPr>
          <w:rFonts w:hint="eastAsia"/>
          <w:b/>
          <w:bCs/>
          <w:color w:val="auto"/>
          <w:sz w:val="52"/>
          <w:szCs w:val="52"/>
          <w:highlight w:val="none"/>
        </w:rPr>
        <w:t>（</w:t>
      </w:r>
      <w:r>
        <w:rPr>
          <w:rFonts w:hint="eastAsia"/>
          <w:b/>
          <w:bCs/>
          <w:color w:val="auto"/>
          <w:sz w:val="52"/>
          <w:szCs w:val="52"/>
          <w:highlight w:val="none"/>
          <w:lang w:val="en-US" w:eastAsia="zh-CN"/>
        </w:rPr>
        <w:t>2026版本</w:t>
      </w:r>
      <w:r>
        <w:rPr>
          <w:rFonts w:hint="eastAsia"/>
          <w:b/>
          <w:bCs/>
          <w:color w:val="auto"/>
          <w:sz w:val="52"/>
          <w:szCs w:val="52"/>
          <w:highlight w:val="none"/>
        </w:rPr>
        <w:t>）</w:t>
      </w:r>
    </w:p>
    <w:p w14:paraId="7876415B">
      <w:pPr>
        <w:tabs>
          <w:tab w:val="left" w:pos="315"/>
          <w:tab w:val="left" w:pos="8820"/>
        </w:tabs>
        <w:spacing w:before="240" w:beforeLines="100" w:after="120" w:afterLines="50" w:line="500" w:lineRule="exact"/>
        <w:ind w:right="254" w:rightChars="127"/>
        <w:jc w:val="center"/>
        <w:rPr>
          <w:bCs/>
          <w:color w:val="auto"/>
          <w:sz w:val="44"/>
          <w:szCs w:val="44"/>
          <w:highlight w:val="none"/>
        </w:rPr>
      </w:pPr>
    </w:p>
    <w:p w14:paraId="6DA62DDB">
      <w:pPr>
        <w:tabs>
          <w:tab w:val="left" w:pos="315"/>
          <w:tab w:val="left" w:pos="8820"/>
        </w:tabs>
        <w:spacing w:before="240" w:beforeLines="100" w:after="120" w:afterLines="50" w:line="500" w:lineRule="exact"/>
        <w:ind w:right="254" w:rightChars="127"/>
        <w:jc w:val="center"/>
        <w:rPr>
          <w:b/>
          <w:bCs/>
          <w:color w:val="auto"/>
          <w:sz w:val="44"/>
          <w:szCs w:val="44"/>
          <w:highlight w:val="none"/>
        </w:rPr>
      </w:pPr>
    </w:p>
    <w:p w14:paraId="5BFB0C22">
      <w:pPr>
        <w:tabs>
          <w:tab w:val="left" w:pos="315"/>
          <w:tab w:val="left" w:pos="8820"/>
        </w:tabs>
        <w:spacing w:before="240" w:beforeLines="100" w:after="120" w:afterLines="50" w:line="500" w:lineRule="exact"/>
        <w:ind w:right="254" w:rightChars="127"/>
        <w:jc w:val="center"/>
        <w:rPr>
          <w:b/>
          <w:bCs/>
          <w:color w:val="auto"/>
          <w:sz w:val="44"/>
          <w:szCs w:val="44"/>
          <w:highlight w:val="none"/>
        </w:rPr>
      </w:pPr>
    </w:p>
    <w:p w14:paraId="71E97EFD">
      <w:pPr>
        <w:tabs>
          <w:tab w:val="left" w:pos="315"/>
          <w:tab w:val="left" w:pos="8820"/>
        </w:tabs>
        <w:spacing w:before="240" w:beforeLines="100" w:after="120" w:afterLines="50" w:line="500" w:lineRule="exact"/>
        <w:ind w:right="254" w:rightChars="127"/>
        <w:jc w:val="center"/>
        <w:rPr>
          <w:b/>
          <w:bCs/>
          <w:color w:val="auto"/>
          <w:sz w:val="44"/>
          <w:szCs w:val="44"/>
          <w:highlight w:val="none"/>
        </w:rPr>
      </w:pPr>
    </w:p>
    <w:p w14:paraId="4E62CB30">
      <w:pPr>
        <w:tabs>
          <w:tab w:val="left" w:pos="315"/>
          <w:tab w:val="left" w:pos="8820"/>
        </w:tabs>
        <w:spacing w:before="240" w:beforeLines="100" w:after="120" w:afterLines="50" w:line="500" w:lineRule="exact"/>
        <w:ind w:right="254" w:rightChars="127"/>
        <w:jc w:val="center"/>
        <w:rPr>
          <w:b/>
          <w:bCs/>
          <w:color w:val="auto"/>
          <w:sz w:val="44"/>
          <w:szCs w:val="44"/>
          <w:highlight w:val="none"/>
        </w:rPr>
      </w:pPr>
    </w:p>
    <w:p w14:paraId="27BB7647">
      <w:pPr>
        <w:tabs>
          <w:tab w:val="left" w:pos="315"/>
          <w:tab w:val="left" w:pos="8820"/>
        </w:tabs>
        <w:spacing w:before="240" w:beforeLines="100" w:after="120" w:afterLines="50" w:line="500" w:lineRule="exact"/>
        <w:ind w:right="254" w:rightChars="127"/>
        <w:jc w:val="both"/>
        <w:rPr>
          <w:b/>
          <w:bCs/>
          <w:color w:val="auto"/>
          <w:sz w:val="44"/>
          <w:szCs w:val="44"/>
          <w:highlight w:val="none"/>
        </w:rPr>
      </w:pPr>
    </w:p>
    <w:p w14:paraId="2B6DF76E">
      <w:pPr>
        <w:pStyle w:val="31"/>
      </w:pPr>
    </w:p>
    <w:p w14:paraId="22C4121A">
      <w:pPr>
        <w:tabs>
          <w:tab w:val="left" w:pos="2410"/>
        </w:tabs>
        <w:autoSpaceDE w:val="0"/>
        <w:autoSpaceDN w:val="0"/>
        <w:adjustRightInd w:val="0"/>
        <w:snapToGrid w:val="0"/>
        <w:spacing w:line="360" w:lineRule="auto"/>
        <w:rPr>
          <w:rFonts w:hint="default" w:eastAsia="宋体"/>
          <w:b/>
          <w:color w:val="auto"/>
          <w:spacing w:val="20"/>
          <w:sz w:val="30"/>
          <w:szCs w:val="30"/>
          <w:highlight w:val="none"/>
          <w:lang w:val="en-US" w:eastAsia="zh-CN"/>
        </w:rPr>
      </w:pPr>
      <w:r>
        <w:rPr>
          <w:rFonts w:hint="eastAsia"/>
          <w:b/>
          <w:color w:val="auto"/>
          <w:spacing w:val="20"/>
          <w:sz w:val="30"/>
          <w:szCs w:val="30"/>
          <w:highlight w:val="none"/>
        </w:rPr>
        <w:t>项目名称：</w:t>
      </w:r>
      <w:r>
        <w:rPr>
          <w:rFonts w:hint="eastAsia"/>
          <w:b/>
          <w:color w:val="auto"/>
          <w:spacing w:val="0"/>
          <w:sz w:val="30"/>
          <w:szCs w:val="30"/>
          <w:highlight w:val="none"/>
          <w:u w:val="single"/>
          <w:lang w:val="en-US" w:eastAsia="zh-CN"/>
        </w:rPr>
        <w:t>定远县总医院120中心大楼室内改造项目</w:t>
      </w:r>
      <w:bookmarkStart w:id="724" w:name="_GoBack"/>
      <w:bookmarkEnd w:id="724"/>
    </w:p>
    <w:p w14:paraId="27E2F9AD">
      <w:pPr>
        <w:tabs>
          <w:tab w:val="left" w:pos="2410"/>
        </w:tabs>
        <w:autoSpaceDE w:val="0"/>
        <w:autoSpaceDN w:val="0"/>
        <w:adjustRightInd w:val="0"/>
        <w:snapToGrid w:val="0"/>
        <w:spacing w:line="360" w:lineRule="auto"/>
        <w:rPr>
          <w:rFonts w:hint="default"/>
          <w:b/>
          <w:color w:val="auto"/>
          <w:spacing w:val="20"/>
          <w:sz w:val="30"/>
          <w:szCs w:val="30"/>
          <w:highlight w:val="none"/>
          <w:lang w:val="en-US"/>
        </w:rPr>
      </w:pPr>
      <w:r>
        <w:rPr>
          <w:rFonts w:hint="eastAsia"/>
          <w:b/>
          <w:color w:val="auto"/>
          <w:spacing w:val="20"/>
          <w:sz w:val="30"/>
          <w:szCs w:val="30"/>
          <w:highlight w:val="none"/>
        </w:rPr>
        <w:t>项目编号：</w:t>
      </w:r>
      <w:r>
        <w:rPr>
          <w:rFonts w:hint="eastAsia"/>
          <w:b/>
          <w:color w:val="auto"/>
          <w:spacing w:val="20"/>
          <w:sz w:val="30"/>
          <w:szCs w:val="30"/>
          <w:highlight w:val="none"/>
          <w:u w:val="single"/>
          <w:lang w:val="en-US" w:eastAsia="zh-CN"/>
        </w:rPr>
        <w:t>ANSC202604-01</w:t>
      </w:r>
    </w:p>
    <w:p w14:paraId="6E59A155">
      <w:pPr>
        <w:tabs>
          <w:tab w:val="left" w:pos="2410"/>
        </w:tabs>
        <w:autoSpaceDE w:val="0"/>
        <w:autoSpaceDN w:val="0"/>
        <w:adjustRightInd w:val="0"/>
        <w:snapToGrid w:val="0"/>
        <w:spacing w:line="360" w:lineRule="auto"/>
        <w:rPr>
          <w:rFonts w:hint="eastAsia"/>
          <w:b/>
          <w:color w:val="auto"/>
          <w:spacing w:val="20"/>
          <w:sz w:val="30"/>
          <w:szCs w:val="30"/>
          <w:highlight w:val="none"/>
          <w:u w:val="single"/>
          <w:lang w:val="en-US" w:eastAsia="zh-CN"/>
        </w:rPr>
      </w:pPr>
      <w:r>
        <w:rPr>
          <w:rFonts w:hint="eastAsia"/>
          <w:b/>
          <w:color w:val="auto"/>
          <w:spacing w:val="20"/>
          <w:sz w:val="30"/>
          <w:szCs w:val="30"/>
          <w:highlight w:val="none"/>
        </w:rPr>
        <w:t>采 购 人：</w:t>
      </w:r>
      <w:r>
        <w:rPr>
          <w:rFonts w:hint="eastAsia"/>
          <w:b/>
          <w:color w:val="auto"/>
          <w:spacing w:val="0"/>
          <w:sz w:val="30"/>
          <w:szCs w:val="30"/>
          <w:highlight w:val="none"/>
          <w:u w:val="single"/>
          <w:lang w:val="en-US" w:eastAsia="zh-CN"/>
        </w:rPr>
        <w:t>定远县总医院（盖章）</w:t>
      </w:r>
    </w:p>
    <w:p w14:paraId="6FF558C8">
      <w:pPr>
        <w:tabs>
          <w:tab w:val="left" w:pos="2410"/>
        </w:tabs>
        <w:autoSpaceDE w:val="0"/>
        <w:autoSpaceDN w:val="0"/>
        <w:adjustRightInd w:val="0"/>
        <w:snapToGrid w:val="0"/>
        <w:spacing w:line="360" w:lineRule="auto"/>
        <w:rPr>
          <w:b/>
          <w:bCs/>
          <w:color w:val="auto"/>
          <w:sz w:val="30"/>
          <w:szCs w:val="30"/>
          <w:highlight w:val="none"/>
        </w:rPr>
      </w:pPr>
      <w:r>
        <w:rPr>
          <w:rFonts w:hint="eastAsia"/>
          <w:b/>
          <w:color w:val="auto"/>
          <w:spacing w:val="20"/>
          <w:sz w:val="30"/>
          <w:szCs w:val="30"/>
          <w:highlight w:val="none"/>
        </w:rPr>
        <w:t>采购代理机构：</w:t>
      </w:r>
      <w:r>
        <w:rPr>
          <w:rFonts w:hint="eastAsia"/>
          <w:b/>
          <w:color w:val="auto"/>
          <w:spacing w:val="20"/>
          <w:sz w:val="30"/>
          <w:szCs w:val="30"/>
          <w:highlight w:val="none"/>
          <w:u w:val="single"/>
          <w:lang w:val="en-US" w:eastAsia="zh-CN"/>
        </w:rPr>
        <w:t>安徽三辰工程项目管理有限公司</w:t>
      </w:r>
      <w:r>
        <w:rPr>
          <w:rFonts w:hint="eastAsia"/>
          <w:b/>
          <w:color w:val="auto"/>
          <w:spacing w:val="0"/>
          <w:sz w:val="30"/>
          <w:szCs w:val="30"/>
          <w:highlight w:val="none"/>
          <w:u w:val="single"/>
          <w:lang w:val="en-US" w:eastAsia="zh-CN"/>
        </w:rPr>
        <w:t>（盖章）</w:t>
      </w:r>
    </w:p>
    <w:p w14:paraId="19E289FB">
      <w:pPr>
        <w:tabs>
          <w:tab w:val="left" w:pos="2410"/>
        </w:tabs>
        <w:autoSpaceDE w:val="0"/>
        <w:autoSpaceDN w:val="0"/>
        <w:adjustRightInd w:val="0"/>
        <w:snapToGrid w:val="0"/>
        <w:spacing w:line="360" w:lineRule="auto"/>
        <w:jc w:val="center"/>
        <w:rPr>
          <w:rFonts w:hint="eastAsia" w:eastAsia="宋体"/>
          <w:b/>
          <w:color w:val="auto"/>
          <w:sz w:val="36"/>
          <w:highlight w:val="none"/>
          <w:lang w:val="en-US" w:eastAsia="zh-CN"/>
        </w:rPr>
      </w:pPr>
      <w:r>
        <w:rPr>
          <w:rFonts w:hint="eastAsia"/>
          <w:b/>
          <w:color w:val="auto"/>
          <w:sz w:val="36"/>
          <w:highlight w:val="none"/>
          <w:lang w:val="en-US" w:eastAsia="zh-CN"/>
        </w:rPr>
        <w:t xml:space="preserve"> </w:t>
      </w:r>
    </w:p>
    <w:p w14:paraId="2AC0E111">
      <w:pPr>
        <w:tabs>
          <w:tab w:val="left" w:pos="2410"/>
        </w:tabs>
        <w:autoSpaceDE w:val="0"/>
        <w:autoSpaceDN w:val="0"/>
        <w:adjustRightInd w:val="0"/>
        <w:snapToGrid w:val="0"/>
        <w:spacing w:line="360" w:lineRule="auto"/>
        <w:jc w:val="center"/>
        <w:rPr>
          <w:b/>
          <w:color w:val="auto"/>
          <w:sz w:val="36"/>
          <w:highlight w:val="none"/>
        </w:rPr>
      </w:pPr>
      <w:r>
        <w:rPr>
          <w:rFonts w:hint="eastAsia"/>
          <w:b/>
          <w:color w:val="auto"/>
          <w:sz w:val="36"/>
          <w:highlight w:val="none"/>
          <w:u w:val="single"/>
          <w:lang w:val="en-US" w:eastAsia="zh-CN"/>
        </w:rPr>
        <w:t>2026</w:t>
      </w:r>
      <w:r>
        <w:rPr>
          <w:rFonts w:hint="eastAsia"/>
          <w:b/>
          <w:color w:val="auto"/>
          <w:sz w:val="36"/>
          <w:highlight w:val="none"/>
          <w:u w:val="single"/>
        </w:rPr>
        <w:t xml:space="preserve"> </w:t>
      </w:r>
      <w:r>
        <w:rPr>
          <w:rFonts w:hint="eastAsia"/>
          <w:b/>
          <w:color w:val="auto"/>
          <w:sz w:val="36"/>
          <w:highlight w:val="none"/>
        </w:rPr>
        <w:t>年</w:t>
      </w:r>
      <w:r>
        <w:rPr>
          <w:rFonts w:hint="eastAsia"/>
          <w:b/>
          <w:color w:val="auto"/>
          <w:sz w:val="36"/>
          <w:highlight w:val="none"/>
          <w:u w:val="single"/>
        </w:rPr>
        <w:t xml:space="preserve"> </w:t>
      </w:r>
      <w:r>
        <w:rPr>
          <w:rFonts w:hint="eastAsia"/>
          <w:b/>
          <w:color w:val="auto"/>
          <w:sz w:val="36"/>
          <w:highlight w:val="none"/>
          <w:u w:val="single"/>
          <w:lang w:val="en-US" w:eastAsia="zh-CN"/>
        </w:rPr>
        <w:t>4</w:t>
      </w:r>
      <w:r>
        <w:rPr>
          <w:rFonts w:hint="eastAsia"/>
          <w:b/>
          <w:color w:val="auto"/>
          <w:sz w:val="36"/>
          <w:highlight w:val="none"/>
          <w:u w:val="single"/>
        </w:rPr>
        <w:t xml:space="preserve"> </w:t>
      </w:r>
      <w:r>
        <w:rPr>
          <w:rFonts w:hint="eastAsia"/>
          <w:b/>
          <w:color w:val="auto"/>
          <w:sz w:val="36"/>
          <w:highlight w:val="none"/>
        </w:rPr>
        <w:t>月</w:t>
      </w:r>
      <w:r>
        <w:rPr>
          <w:rFonts w:hint="eastAsia"/>
          <w:b/>
          <w:color w:val="auto"/>
          <w:sz w:val="36"/>
          <w:highlight w:val="none"/>
          <w:u w:val="single"/>
          <w:lang w:val="en-US" w:eastAsia="zh-CN"/>
        </w:rPr>
        <w:t xml:space="preserve"> 16 </w:t>
      </w:r>
      <w:r>
        <w:rPr>
          <w:rFonts w:hint="eastAsia"/>
          <w:b/>
          <w:color w:val="auto"/>
          <w:sz w:val="36"/>
          <w:highlight w:val="none"/>
          <w:lang w:val="en-US" w:eastAsia="zh-CN"/>
        </w:rPr>
        <w:t>日</w:t>
      </w:r>
      <w:r>
        <w:rPr>
          <w:b/>
          <w:color w:val="auto"/>
          <w:sz w:val="36"/>
          <w:highlight w:val="none"/>
        </w:rPr>
        <w:br w:type="page"/>
      </w:r>
    </w:p>
    <w:p w14:paraId="0C6A9F57">
      <w:pPr>
        <w:tabs>
          <w:tab w:val="left" w:pos="2410"/>
        </w:tabs>
        <w:autoSpaceDE w:val="0"/>
        <w:autoSpaceDN w:val="0"/>
        <w:adjustRightInd w:val="0"/>
        <w:snapToGrid w:val="0"/>
        <w:spacing w:line="360" w:lineRule="auto"/>
        <w:jc w:val="center"/>
        <w:rPr>
          <w:rFonts w:hint="eastAsia" w:ascii="宋体" w:hAnsi="宋体" w:eastAsia="宋体" w:cs="宋体"/>
          <w:b/>
          <w:color w:val="auto"/>
          <w:sz w:val="40"/>
          <w:szCs w:val="24"/>
          <w:highlight w:val="none"/>
        </w:rPr>
      </w:pPr>
      <w:r>
        <w:rPr>
          <w:rFonts w:hint="eastAsia" w:ascii="宋体" w:hAnsi="宋体" w:eastAsia="宋体" w:cs="宋体"/>
          <w:b/>
          <w:color w:val="auto"/>
          <w:sz w:val="40"/>
          <w:szCs w:val="24"/>
          <w:highlight w:val="none"/>
        </w:rPr>
        <w:t>目 录</w:t>
      </w:r>
    </w:p>
    <w:p w14:paraId="57592334">
      <w:pPr>
        <w:tabs>
          <w:tab w:val="left" w:pos="2410"/>
        </w:tabs>
        <w:autoSpaceDE w:val="0"/>
        <w:autoSpaceDN w:val="0"/>
        <w:adjustRightInd w:val="0"/>
        <w:snapToGrid w:val="0"/>
        <w:spacing w:line="360" w:lineRule="auto"/>
        <w:jc w:val="center"/>
        <w:rPr>
          <w:rFonts w:hint="eastAsia" w:ascii="宋体" w:hAnsi="宋体" w:eastAsia="宋体" w:cs="宋体"/>
          <w:b/>
          <w:color w:val="auto"/>
          <w:sz w:val="28"/>
          <w:highlight w:val="none"/>
        </w:rPr>
      </w:pPr>
    </w:p>
    <w:p w14:paraId="0FD6A04F">
      <w:pPr>
        <w:pStyle w:val="35"/>
        <w:tabs>
          <w:tab w:val="right" w:leader="dot" w:pos="8279"/>
        </w:tabs>
        <w:spacing w:line="600" w:lineRule="auto"/>
        <w:rPr>
          <w:rFonts w:hint="eastAsia" w:ascii="宋体" w:hAnsi="宋体" w:eastAsia="宋体" w:cs="宋体"/>
        </w:rPr>
      </w:pPr>
      <w:r>
        <w:rPr>
          <w:rFonts w:hint="eastAsia" w:ascii="宋体" w:hAnsi="宋体" w:eastAsia="宋体" w:cs="宋体"/>
          <w:b/>
          <w:color w:val="auto"/>
          <w:sz w:val="32"/>
          <w:highlight w:val="none"/>
        </w:rPr>
        <w:fldChar w:fldCharType="begin"/>
      </w:r>
      <w:r>
        <w:rPr>
          <w:rFonts w:hint="eastAsia" w:ascii="宋体" w:hAnsi="宋体" w:eastAsia="宋体" w:cs="宋体"/>
          <w:b/>
          <w:color w:val="auto"/>
          <w:sz w:val="32"/>
          <w:highlight w:val="none"/>
        </w:rPr>
        <w:instrText xml:space="preserve">TOC \o "1-1" \h \u </w:instrText>
      </w:r>
      <w:r>
        <w:rPr>
          <w:rFonts w:hint="eastAsia" w:ascii="宋体" w:hAnsi="宋体" w:eastAsia="宋体" w:cs="宋体"/>
          <w:b/>
          <w:color w:val="auto"/>
          <w:sz w:val="32"/>
          <w:highlight w:val="none"/>
        </w:rPr>
        <w:fldChar w:fldCharType="separate"/>
      </w:r>
      <w:r>
        <w:rPr>
          <w:rFonts w:hint="eastAsia" w:ascii="宋体" w:hAnsi="宋体" w:eastAsia="宋体" w:cs="宋体"/>
          <w:color w:val="auto"/>
          <w:highlight w:val="none"/>
        </w:rPr>
        <w:fldChar w:fldCharType="begin"/>
      </w:r>
      <w:r>
        <w:rPr>
          <w:rFonts w:hint="eastAsia" w:ascii="宋体" w:hAnsi="宋体" w:eastAsia="宋体" w:cs="宋体"/>
          <w:highlight w:val="none"/>
        </w:rPr>
        <w:instrText xml:space="preserve"> HYPERLINK \l _Toc20187 </w:instrText>
      </w:r>
      <w:r>
        <w:rPr>
          <w:rFonts w:hint="eastAsia" w:ascii="宋体" w:hAnsi="宋体" w:eastAsia="宋体" w:cs="宋体"/>
          <w:highlight w:val="none"/>
        </w:rPr>
        <w:fldChar w:fldCharType="separate"/>
      </w:r>
      <w:r>
        <w:rPr>
          <w:rFonts w:hint="eastAsia" w:ascii="宋体" w:hAnsi="宋体" w:eastAsia="宋体" w:cs="宋体"/>
          <w:highlight w:val="none"/>
        </w:rPr>
        <w:t>第一章  谈判邀请</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_Toc20187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color w:val="auto"/>
          <w:highlight w:val="none"/>
        </w:rPr>
        <w:fldChar w:fldCharType="end"/>
      </w:r>
    </w:p>
    <w:p w14:paraId="3C76A92C">
      <w:pPr>
        <w:pStyle w:val="35"/>
        <w:tabs>
          <w:tab w:val="right" w:leader="dot" w:pos="8279"/>
        </w:tabs>
        <w:spacing w:line="600" w:lineRule="auto"/>
        <w:rPr>
          <w:rFonts w:hint="eastAsia" w:ascii="宋体" w:hAnsi="宋体" w:eastAsia="宋体" w:cs="宋体"/>
        </w:rPr>
      </w:pPr>
      <w:r>
        <w:rPr>
          <w:rFonts w:hint="eastAsia" w:ascii="宋体" w:hAnsi="宋体" w:eastAsia="宋体" w:cs="宋体"/>
          <w:color w:val="auto"/>
          <w:highlight w:val="none"/>
        </w:rPr>
        <w:fldChar w:fldCharType="begin"/>
      </w:r>
      <w:r>
        <w:rPr>
          <w:rFonts w:hint="eastAsia" w:ascii="宋体" w:hAnsi="宋体" w:eastAsia="宋体" w:cs="宋体"/>
          <w:highlight w:val="none"/>
        </w:rPr>
        <w:instrText xml:space="preserve"> HYPERLINK \l _Toc18735 </w:instrText>
      </w:r>
      <w:r>
        <w:rPr>
          <w:rFonts w:hint="eastAsia" w:ascii="宋体" w:hAnsi="宋体" w:eastAsia="宋体" w:cs="宋体"/>
          <w:highlight w:val="none"/>
        </w:rPr>
        <w:fldChar w:fldCharType="separate"/>
      </w:r>
      <w:r>
        <w:rPr>
          <w:rFonts w:hint="eastAsia" w:ascii="宋体" w:hAnsi="宋体" w:eastAsia="宋体" w:cs="宋体"/>
          <w:highlight w:val="none"/>
        </w:rPr>
        <w:t>第二章  供应商须知</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_Toc18735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color w:val="auto"/>
          <w:highlight w:val="none"/>
        </w:rPr>
        <w:fldChar w:fldCharType="end"/>
      </w:r>
    </w:p>
    <w:p w14:paraId="12C027D3">
      <w:pPr>
        <w:pStyle w:val="35"/>
        <w:tabs>
          <w:tab w:val="right" w:leader="dot" w:pos="8279"/>
        </w:tabs>
        <w:spacing w:line="600" w:lineRule="auto"/>
        <w:rPr>
          <w:rFonts w:hint="eastAsia" w:ascii="宋体" w:hAnsi="宋体" w:eastAsia="宋体" w:cs="宋体"/>
        </w:rPr>
      </w:pPr>
      <w:r>
        <w:rPr>
          <w:rFonts w:hint="eastAsia" w:ascii="宋体" w:hAnsi="宋体" w:eastAsia="宋体" w:cs="宋体"/>
          <w:color w:val="auto"/>
          <w:highlight w:val="none"/>
        </w:rPr>
        <w:fldChar w:fldCharType="begin"/>
      </w:r>
      <w:r>
        <w:rPr>
          <w:rFonts w:hint="eastAsia" w:ascii="宋体" w:hAnsi="宋体" w:eastAsia="宋体" w:cs="宋体"/>
          <w:highlight w:val="none"/>
        </w:rPr>
        <w:instrText xml:space="preserve"> HYPERLINK \l _Toc8667 </w:instrText>
      </w:r>
      <w:r>
        <w:rPr>
          <w:rFonts w:hint="eastAsia" w:ascii="宋体" w:hAnsi="宋体" w:eastAsia="宋体" w:cs="宋体"/>
          <w:highlight w:val="none"/>
        </w:rPr>
        <w:fldChar w:fldCharType="separate"/>
      </w:r>
      <w:r>
        <w:rPr>
          <w:rFonts w:hint="eastAsia" w:ascii="宋体" w:hAnsi="宋体" w:eastAsia="宋体" w:cs="宋体"/>
          <w:highlight w:val="none"/>
        </w:rPr>
        <w:t>第三章  采购需求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_Toc8667 \h </w:instrText>
      </w:r>
      <w:r>
        <w:rPr>
          <w:rFonts w:hint="eastAsia" w:ascii="宋体" w:hAnsi="宋体" w:eastAsia="宋体" w:cs="宋体"/>
        </w:rPr>
        <w:fldChar w:fldCharType="separate"/>
      </w:r>
      <w:r>
        <w:rPr>
          <w:rFonts w:hint="eastAsia" w:ascii="宋体" w:hAnsi="宋体" w:eastAsia="宋体" w:cs="宋体"/>
        </w:rPr>
        <w:t>22</w:t>
      </w:r>
      <w:r>
        <w:rPr>
          <w:rFonts w:hint="eastAsia" w:ascii="宋体" w:hAnsi="宋体" w:eastAsia="宋体" w:cs="宋体"/>
        </w:rPr>
        <w:fldChar w:fldCharType="end"/>
      </w:r>
      <w:r>
        <w:rPr>
          <w:rFonts w:hint="eastAsia" w:ascii="宋体" w:hAnsi="宋体" w:eastAsia="宋体" w:cs="宋体"/>
          <w:color w:val="auto"/>
          <w:highlight w:val="none"/>
        </w:rPr>
        <w:fldChar w:fldCharType="end"/>
      </w:r>
    </w:p>
    <w:p w14:paraId="3827B0A6">
      <w:pPr>
        <w:pStyle w:val="35"/>
        <w:tabs>
          <w:tab w:val="right" w:leader="dot" w:pos="8279"/>
        </w:tabs>
        <w:spacing w:line="600" w:lineRule="auto"/>
        <w:rPr>
          <w:rFonts w:hint="eastAsia" w:ascii="宋体" w:hAnsi="宋体" w:eastAsia="宋体" w:cs="宋体"/>
        </w:rPr>
      </w:pPr>
      <w:r>
        <w:rPr>
          <w:rFonts w:hint="eastAsia" w:ascii="宋体" w:hAnsi="宋体" w:eastAsia="宋体" w:cs="宋体"/>
          <w:color w:val="auto"/>
          <w:highlight w:val="none"/>
        </w:rPr>
        <w:fldChar w:fldCharType="begin"/>
      </w:r>
      <w:r>
        <w:rPr>
          <w:rFonts w:hint="eastAsia" w:ascii="宋体" w:hAnsi="宋体" w:eastAsia="宋体" w:cs="宋体"/>
          <w:highlight w:val="none"/>
        </w:rPr>
        <w:instrText xml:space="preserve"> HYPERLINK \l _Toc11408 </w:instrText>
      </w:r>
      <w:r>
        <w:rPr>
          <w:rFonts w:hint="eastAsia" w:ascii="宋体" w:hAnsi="宋体" w:eastAsia="宋体" w:cs="宋体"/>
          <w:highlight w:val="none"/>
        </w:rPr>
        <w:fldChar w:fldCharType="separate"/>
      </w:r>
      <w:r>
        <w:rPr>
          <w:rFonts w:hint="eastAsia" w:ascii="宋体" w:hAnsi="宋体" w:eastAsia="宋体" w:cs="宋体"/>
          <w:highlight w:val="none"/>
        </w:rPr>
        <w:t>第四章  评审方法和标准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_Toc11408 \h </w:instrText>
      </w:r>
      <w:r>
        <w:rPr>
          <w:rFonts w:hint="eastAsia" w:ascii="宋体" w:hAnsi="宋体" w:eastAsia="宋体" w:cs="宋体"/>
        </w:rPr>
        <w:fldChar w:fldCharType="separate"/>
      </w:r>
      <w:r>
        <w:rPr>
          <w:rFonts w:hint="eastAsia" w:ascii="宋体" w:hAnsi="宋体" w:eastAsia="宋体" w:cs="宋体"/>
        </w:rPr>
        <w:t>23</w:t>
      </w:r>
      <w:r>
        <w:rPr>
          <w:rFonts w:hint="eastAsia" w:ascii="宋体" w:hAnsi="宋体" w:eastAsia="宋体" w:cs="宋体"/>
        </w:rPr>
        <w:fldChar w:fldCharType="end"/>
      </w:r>
      <w:r>
        <w:rPr>
          <w:rFonts w:hint="eastAsia" w:ascii="宋体" w:hAnsi="宋体" w:eastAsia="宋体" w:cs="宋体"/>
          <w:color w:val="auto"/>
          <w:highlight w:val="none"/>
        </w:rPr>
        <w:fldChar w:fldCharType="end"/>
      </w:r>
    </w:p>
    <w:p w14:paraId="0364C2FC">
      <w:pPr>
        <w:pStyle w:val="35"/>
        <w:tabs>
          <w:tab w:val="right" w:leader="dot" w:pos="8279"/>
        </w:tabs>
        <w:spacing w:line="600" w:lineRule="auto"/>
        <w:rPr>
          <w:rFonts w:hint="eastAsia" w:ascii="宋体" w:hAnsi="宋体" w:eastAsia="宋体" w:cs="宋体"/>
        </w:rPr>
      </w:pPr>
      <w:r>
        <w:rPr>
          <w:rFonts w:hint="eastAsia" w:ascii="宋体" w:hAnsi="宋体" w:eastAsia="宋体" w:cs="宋体"/>
          <w:color w:val="auto"/>
          <w:highlight w:val="none"/>
        </w:rPr>
        <w:fldChar w:fldCharType="begin"/>
      </w:r>
      <w:r>
        <w:rPr>
          <w:rFonts w:hint="eastAsia" w:ascii="宋体" w:hAnsi="宋体" w:eastAsia="宋体" w:cs="宋体"/>
          <w:highlight w:val="none"/>
        </w:rPr>
        <w:instrText xml:space="preserve"> HYPERLINK \l _Toc19250 </w:instrText>
      </w:r>
      <w:r>
        <w:rPr>
          <w:rFonts w:hint="eastAsia" w:ascii="宋体" w:hAnsi="宋体" w:eastAsia="宋体" w:cs="宋体"/>
          <w:highlight w:val="none"/>
        </w:rPr>
        <w:fldChar w:fldCharType="separate"/>
      </w:r>
      <w:r>
        <w:rPr>
          <w:rFonts w:hint="eastAsia" w:ascii="宋体" w:hAnsi="宋体" w:eastAsia="宋体" w:cs="宋体"/>
          <w:highlight w:val="none"/>
        </w:rPr>
        <w:t>第五章  政府采购合同</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_Toc19250 \h </w:instrText>
      </w:r>
      <w:r>
        <w:rPr>
          <w:rFonts w:hint="eastAsia" w:ascii="宋体" w:hAnsi="宋体" w:eastAsia="宋体" w:cs="宋体"/>
        </w:rPr>
        <w:fldChar w:fldCharType="separate"/>
      </w:r>
      <w:r>
        <w:rPr>
          <w:rFonts w:hint="eastAsia" w:ascii="宋体" w:hAnsi="宋体" w:eastAsia="宋体" w:cs="宋体"/>
        </w:rPr>
        <w:t>27</w:t>
      </w:r>
      <w:r>
        <w:rPr>
          <w:rFonts w:hint="eastAsia" w:ascii="宋体" w:hAnsi="宋体" w:eastAsia="宋体" w:cs="宋体"/>
        </w:rPr>
        <w:fldChar w:fldCharType="end"/>
      </w:r>
      <w:r>
        <w:rPr>
          <w:rFonts w:hint="eastAsia" w:ascii="宋体" w:hAnsi="宋体" w:eastAsia="宋体" w:cs="宋体"/>
          <w:color w:val="auto"/>
          <w:highlight w:val="none"/>
        </w:rPr>
        <w:fldChar w:fldCharType="end"/>
      </w:r>
    </w:p>
    <w:p w14:paraId="724B3890">
      <w:pPr>
        <w:pStyle w:val="35"/>
        <w:tabs>
          <w:tab w:val="right" w:leader="dot" w:pos="8279"/>
        </w:tabs>
        <w:spacing w:line="600" w:lineRule="auto"/>
        <w:rPr>
          <w:rFonts w:hint="eastAsia" w:ascii="宋体" w:hAnsi="宋体" w:eastAsia="宋体" w:cs="宋体"/>
        </w:rPr>
      </w:pPr>
      <w:r>
        <w:rPr>
          <w:rFonts w:hint="eastAsia" w:ascii="宋体" w:hAnsi="宋体" w:eastAsia="宋体" w:cs="宋体"/>
          <w:color w:val="auto"/>
          <w:highlight w:val="none"/>
        </w:rPr>
        <w:fldChar w:fldCharType="begin"/>
      </w:r>
      <w:r>
        <w:rPr>
          <w:rFonts w:hint="eastAsia" w:ascii="宋体" w:hAnsi="宋体" w:eastAsia="宋体" w:cs="宋体"/>
          <w:highlight w:val="none"/>
        </w:rPr>
        <w:instrText xml:space="preserve"> HYPERLINK \l _Toc31802 </w:instrText>
      </w:r>
      <w:r>
        <w:rPr>
          <w:rFonts w:hint="eastAsia" w:ascii="宋体" w:hAnsi="宋体" w:eastAsia="宋体" w:cs="宋体"/>
          <w:highlight w:val="none"/>
        </w:rPr>
        <w:fldChar w:fldCharType="separate"/>
      </w:r>
      <w:r>
        <w:rPr>
          <w:rFonts w:hint="eastAsia" w:ascii="宋体" w:hAnsi="宋体" w:eastAsia="宋体" w:cs="宋体"/>
          <w:highlight w:val="none"/>
        </w:rPr>
        <w:t>第六章  响应文件格式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_Toc31802 \h </w:instrText>
      </w:r>
      <w:r>
        <w:rPr>
          <w:rFonts w:hint="eastAsia" w:ascii="宋体" w:hAnsi="宋体" w:eastAsia="宋体" w:cs="宋体"/>
        </w:rPr>
        <w:fldChar w:fldCharType="separate"/>
      </w:r>
      <w:r>
        <w:rPr>
          <w:rFonts w:hint="eastAsia" w:ascii="宋体" w:hAnsi="宋体" w:eastAsia="宋体" w:cs="宋体"/>
        </w:rPr>
        <w:t>72</w:t>
      </w:r>
      <w:r>
        <w:rPr>
          <w:rFonts w:hint="eastAsia" w:ascii="宋体" w:hAnsi="宋体" w:eastAsia="宋体" w:cs="宋体"/>
        </w:rPr>
        <w:fldChar w:fldCharType="end"/>
      </w:r>
      <w:r>
        <w:rPr>
          <w:rFonts w:hint="eastAsia" w:ascii="宋体" w:hAnsi="宋体" w:eastAsia="宋体" w:cs="宋体"/>
          <w:color w:val="auto"/>
          <w:highlight w:val="none"/>
        </w:rPr>
        <w:fldChar w:fldCharType="end"/>
      </w:r>
    </w:p>
    <w:p w14:paraId="3EB97394">
      <w:pPr>
        <w:pStyle w:val="35"/>
        <w:tabs>
          <w:tab w:val="right" w:leader="dot" w:pos="8279"/>
        </w:tabs>
        <w:spacing w:line="600" w:lineRule="auto"/>
        <w:rPr>
          <w:rFonts w:hint="eastAsia" w:ascii="宋体" w:hAnsi="宋体" w:eastAsia="宋体" w:cs="宋体"/>
        </w:rPr>
      </w:pPr>
      <w:r>
        <w:rPr>
          <w:rFonts w:hint="eastAsia" w:ascii="宋体" w:hAnsi="宋体" w:eastAsia="宋体" w:cs="宋体"/>
          <w:color w:val="auto"/>
          <w:highlight w:val="none"/>
        </w:rPr>
        <w:fldChar w:fldCharType="begin"/>
      </w:r>
      <w:r>
        <w:rPr>
          <w:rFonts w:hint="eastAsia" w:ascii="宋体" w:hAnsi="宋体" w:eastAsia="宋体" w:cs="宋体"/>
          <w:highlight w:val="none"/>
        </w:rPr>
        <w:instrText xml:space="preserve"> HYPERLINK \l _Toc9928 </w:instrText>
      </w:r>
      <w:r>
        <w:rPr>
          <w:rFonts w:hint="eastAsia" w:ascii="宋体" w:hAnsi="宋体" w:eastAsia="宋体" w:cs="宋体"/>
          <w:highlight w:val="none"/>
        </w:rPr>
        <w:fldChar w:fldCharType="separate"/>
      </w:r>
      <w:r>
        <w:rPr>
          <w:rFonts w:hint="eastAsia" w:ascii="宋体" w:hAnsi="宋体" w:eastAsia="宋体" w:cs="宋体"/>
          <w:bCs/>
          <w:highlight w:val="none"/>
        </w:rPr>
        <w:t>第</w:t>
      </w:r>
      <w:r>
        <w:rPr>
          <w:rFonts w:hint="eastAsia" w:ascii="宋体" w:hAnsi="宋体" w:eastAsia="宋体" w:cs="宋体"/>
          <w:bCs/>
          <w:highlight w:val="none"/>
          <w:lang w:val="en-US" w:eastAsia="zh-CN"/>
        </w:rPr>
        <w:t>七</w:t>
      </w:r>
      <w:r>
        <w:rPr>
          <w:rFonts w:hint="eastAsia" w:ascii="宋体" w:hAnsi="宋体" w:eastAsia="宋体" w:cs="宋体"/>
          <w:bCs/>
          <w:highlight w:val="none"/>
        </w:rPr>
        <w:t>章  政府采购</w:t>
      </w:r>
      <w:r>
        <w:rPr>
          <w:rFonts w:hint="eastAsia" w:ascii="宋体" w:hAnsi="宋体" w:eastAsia="宋体" w:cs="宋体"/>
          <w:highlight w:val="none"/>
        </w:rPr>
        <w:t>供应</w:t>
      </w:r>
      <w:r>
        <w:rPr>
          <w:rFonts w:hint="eastAsia" w:ascii="宋体" w:hAnsi="宋体" w:eastAsia="宋体" w:cs="宋体"/>
          <w:bCs/>
          <w:highlight w:val="none"/>
        </w:rPr>
        <w:t>商询问函和质疑函范本</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_Toc9928 \h </w:instrText>
      </w:r>
      <w:r>
        <w:rPr>
          <w:rFonts w:hint="eastAsia" w:ascii="宋体" w:hAnsi="宋体" w:eastAsia="宋体" w:cs="宋体"/>
        </w:rPr>
        <w:fldChar w:fldCharType="separate"/>
      </w:r>
      <w:r>
        <w:rPr>
          <w:rFonts w:hint="eastAsia" w:ascii="宋体" w:hAnsi="宋体" w:eastAsia="宋体" w:cs="宋体"/>
        </w:rPr>
        <w:t>85</w:t>
      </w:r>
      <w:r>
        <w:rPr>
          <w:rFonts w:hint="eastAsia" w:ascii="宋体" w:hAnsi="宋体" w:eastAsia="宋体" w:cs="宋体"/>
        </w:rPr>
        <w:fldChar w:fldCharType="end"/>
      </w:r>
      <w:r>
        <w:rPr>
          <w:rFonts w:hint="eastAsia" w:ascii="宋体" w:hAnsi="宋体" w:eastAsia="宋体" w:cs="宋体"/>
          <w:color w:val="auto"/>
          <w:highlight w:val="none"/>
        </w:rPr>
        <w:fldChar w:fldCharType="end"/>
      </w:r>
    </w:p>
    <w:p w14:paraId="311A644F">
      <w:pPr>
        <w:pStyle w:val="35"/>
        <w:tabs>
          <w:tab w:val="right" w:leader="dot" w:pos="8279"/>
        </w:tabs>
        <w:spacing w:line="600" w:lineRule="auto"/>
        <w:rPr>
          <w:rFonts w:hint="eastAsia" w:ascii="宋体" w:hAnsi="宋体" w:eastAsia="宋体" w:cs="宋体"/>
        </w:rPr>
      </w:pPr>
      <w:r>
        <w:rPr>
          <w:rFonts w:hint="eastAsia" w:ascii="宋体" w:hAnsi="宋体" w:eastAsia="宋体" w:cs="宋体"/>
          <w:color w:val="auto"/>
          <w:highlight w:val="none"/>
        </w:rPr>
        <w:fldChar w:fldCharType="begin"/>
      </w:r>
      <w:r>
        <w:rPr>
          <w:rFonts w:hint="eastAsia" w:ascii="宋体" w:hAnsi="宋体" w:eastAsia="宋体" w:cs="宋体"/>
          <w:highlight w:val="none"/>
        </w:rPr>
        <w:instrText xml:space="preserve"> HYPERLINK \l _Toc222 </w:instrText>
      </w:r>
      <w:r>
        <w:rPr>
          <w:rFonts w:hint="eastAsia" w:ascii="宋体" w:hAnsi="宋体" w:eastAsia="宋体" w:cs="宋体"/>
          <w:highlight w:val="none"/>
        </w:rPr>
        <w:fldChar w:fldCharType="separate"/>
      </w:r>
      <w:r>
        <w:rPr>
          <w:rFonts w:hint="eastAsia" w:ascii="宋体" w:hAnsi="宋体" w:eastAsia="宋体" w:cs="宋体"/>
          <w:szCs w:val="32"/>
          <w:highlight w:val="none"/>
        </w:rPr>
        <w:t>质疑函制作说明：</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_Toc222 \h </w:instrText>
      </w:r>
      <w:r>
        <w:rPr>
          <w:rFonts w:hint="eastAsia" w:ascii="宋体" w:hAnsi="宋体" w:eastAsia="宋体" w:cs="宋体"/>
        </w:rPr>
        <w:fldChar w:fldCharType="separate"/>
      </w:r>
      <w:r>
        <w:rPr>
          <w:rFonts w:hint="eastAsia" w:ascii="宋体" w:hAnsi="宋体" w:eastAsia="宋体" w:cs="宋体"/>
        </w:rPr>
        <w:t>87</w:t>
      </w:r>
      <w:r>
        <w:rPr>
          <w:rFonts w:hint="eastAsia" w:ascii="宋体" w:hAnsi="宋体" w:eastAsia="宋体" w:cs="宋体"/>
        </w:rPr>
        <w:fldChar w:fldCharType="end"/>
      </w:r>
      <w:r>
        <w:rPr>
          <w:rFonts w:hint="eastAsia" w:ascii="宋体" w:hAnsi="宋体" w:eastAsia="宋体" w:cs="宋体"/>
          <w:color w:val="auto"/>
          <w:highlight w:val="none"/>
        </w:rPr>
        <w:fldChar w:fldCharType="end"/>
      </w:r>
    </w:p>
    <w:p w14:paraId="60C66133">
      <w:pPr>
        <w:pStyle w:val="45"/>
        <w:tabs>
          <w:tab w:val="right" w:leader="dot" w:pos="8296"/>
        </w:tabs>
        <w:spacing w:line="600" w:lineRule="auto"/>
        <w:rPr>
          <w:rFonts w:asciiTheme="minorEastAsia" w:hAnsiTheme="minorEastAsia"/>
          <w:b/>
          <w:color w:val="auto"/>
          <w:sz w:val="32"/>
          <w:highlight w:val="none"/>
        </w:rPr>
      </w:pPr>
      <w:r>
        <w:rPr>
          <w:rFonts w:hint="eastAsia" w:ascii="宋体" w:hAnsi="宋体" w:eastAsia="宋体" w:cs="宋体"/>
          <w:color w:val="auto"/>
          <w:highlight w:val="none"/>
        </w:rPr>
        <w:fldChar w:fldCharType="end"/>
      </w:r>
    </w:p>
    <w:p w14:paraId="6821D405">
      <w:pPr>
        <w:spacing w:line="360" w:lineRule="auto"/>
        <w:jc w:val="center"/>
        <w:outlineLvl w:val="1"/>
        <w:rPr>
          <w:rFonts w:asciiTheme="minorEastAsia" w:hAnsiTheme="minorEastAsia" w:eastAsiaTheme="minorEastAsia"/>
          <w:b/>
          <w:color w:val="auto"/>
          <w:sz w:val="28"/>
          <w:highlight w:val="none"/>
        </w:rPr>
        <w:sectPr>
          <w:headerReference r:id="rId3" w:type="default"/>
          <w:footerReference r:id="rId4" w:type="default"/>
          <w:pgSz w:w="11907" w:h="16840"/>
          <w:pgMar w:top="1474" w:right="1814" w:bottom="1474" w:left="1814" w:header="851" w:footer="992" w:gutter="0"/>
          <w:pgNumType w:fmt="decimal"/>
          <w:cols w:space="720" w:num="1"/>
          <w:docGrid w:linePitch="462" w:charSpace="0"/>
        </w:sectPr>
      </w:pPr>
    </w:p>
    <w:p w14:paraId="05A6310D">
      <w:pPr>
        <w:spacing w:line="360" w:lineRule="auto"/>
        <w:jc w:val="center"/>
        <w:outlineLvl w:val="0"/>
        <w:rPr>
          <w:rFonts w:asciiTheme="minorEastAsia" w:hAnsiTheme="minorEastAsia" w:eastAsiaTheme="minorEastAsia"/>
          <w:b/>
          <w:color w:val="auto"/>
          <w:sz w:val="28"/>
          <w:highlight w:val="none"/>
        </w:rPr>
      </w:pPr>
      <w:bookmarkStart w:id="1" w:name="_Toc20187"/>
      <w:bookmarkStart w:id="2" w:name="_Toc8000"/>
      <w:r>
        <w:rPr>
          <w:rFonts w:hint="eastAsia" w:asciiTheme="minorEastAsia" w:hAnsiTheme="minorEastAsia" w:eastAsiaTheme="minorEastAsia"/>
          <w:b/>
          <w:color w:val="auto"/>
          <w:sz w:val="28"/>
          <w:highlight w:val="none"/>
        </w:rPr>
        <w:t xml:space="preserve">第一章 </w:t>
      </w:r>
      <w:r>
        <w:rPr>
          <w:rFonts w:asciiTheme="minorEastAsia" w:hAnsiTheme="minorEastAsia" w:eastAsiaTheme="minorEastAsia"/>
          <w:b/>
          <w:color w:val="auto"/>
          <w:sz w:val="28"/>
          <w:highlight w:val="none"/>
        </w:rPr>
        <w:t xml:space="preserve"> </w:t>
      </w:r>
      <w:r>
        <w:rPr>
          <w:rFonts w:hint="eastAsia" w:asciiTheme="minorEastAsia" w:hAnsiTheme="minorEastAsia" w:eastAsiaTheme="minorEastAsia"/>
          <w:b/>
          <w:color w:val="auto"/>
          <w:sz w:val="28"/>
          <w:highlight w:val="none"/>
        </w:rPr>
        <w:t>谈判邀请</w:t>
      </w:r>
      <w:bookmarkEnd w:id="1"/>
      <w:bookmarkEnd w:id="2"/>
    </w:p>
    <w:p w14:paraId="40972D0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1"/>
        <w:rPr>
          <w:rFonts w:hint="eastAsia" w:ascii="仿宋" w:hAnsi="仿宋" w:eastAsia="仿宋" w:cs="仿宋"/>
          <w:b/>
          <w:bCs/>
          <w:color w:val="auto"/>
          <w:sz w:val="28"/>
          <w:szCs w:val="28"/>
          <w:highlight w:val="none"/>
        </w:rPr>
      </w:pPr>
      <w:bookmarkStart w:id="3" w:name="_Toc8980"/>
      <w:bookmarkStart w:id="4" w:name="_Toc4263"/>
      <w:bookmarkStart w:id="5" w:name="_Toc29179"/>
      <w:r>
        <w:rPr>
          <w:rFonts w:hint="eastAsia" w:ascii="仿宋" w:hAnsi="仿宋" w:eastAsia="仿宋" w:cs="仿宋"/>
          <w:b/>
          <w:bCs/>
          <w:color w:val="auto"/>
          <w:sz w:val="28"/>
          <w:szCs w:val="28"/>
          <w:highlight w:val="none"/>
        </w:rPr>
        <w:t>一、项目基本情况</w:t>
      </w:r>
    </w:p>
    <w:p w14:paraId="67718CA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1.项目编号</w:t>
      </w:r>
      <w:r>
        <w:rPr>
          <w:rFonts w:hint="eastAsia" w:ascii="仿宋" w:hAnsi="仿宋" w:eastAsia="仿宋" w:cs="仿宋"/>
          <w:color w:val="auto"/>
          <w:sz w:val="28"/>
          <w:szCs w:val="28"/>
          <w:highlight w:val="none"/>
          <w:u w:val="single"/>
          <w:lang w:val="en-US" w:eastAsia="zh-CN"/>
        </w:rPr>
        <w:t>：ANSC202604-01</w:t>
      </w:r>
    </w:p>
    <w:p w14:paraId="21B11C9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color w:val="auto"/>
          <w:sz w:val="28"/>
          <w:szCs w:val="28"/>
          <w:highlight w:val="none"/>
          <w:lang w:val="en-US"/>
        </w:rPr>
      </w:pPr>
      <w:r>
        <w:rPr>
          <w:rFonts w:hint="eastAsia" w:ascii="仿宋" w:hAnsi="仿宋" w:eastAsia="仿宋" w:cs="仿宋"/>
          <w:color w:val="auto"/>
          <w:sz w:val="28"/>
          <w:szCs w:val="28"/>
          <w:highlight w:val="none"/>
        </w:rPr>
        <w:t>2.项目名称</w:t>
      </w:r>
      <w:r>
        <w:rPr>
          <w:rFonts w:hint="eastAsia" w:ascii="仿宋" w:hAnsi="仿宋" w:eastAsia="仿宋" w:cs="仿宋"/>
          <w:color w:val="auto"/>
          <w:sz w:val="28"/>
          <w:szCs w:val="28"/>
          <w:highlight w:val="none"/>
          <w:u w:val="single"/>
        </w:rPr>
        <w:t>：</w:t>
      </w:r>
      <w:r>
        <w:rPr>
          <w:rFonts w:hint="eastAsia" w:ascii="仿宋" w:hAnsi="仿宋" w:eastAsia="仿宋" w:cs="仿宋"/>
          <w:color w:val="auto"/>
          <w:sz w:val="28"/>
          <w:szCs w:val="28"/>
          <w:highlight w:val="none"/>
          <w:u w:val="single"/>
          <w:lang w:val="en-US" w:eastAsia="zh-CN"/>
        </w:rPr>
        <w:t>定远县总医院120中心大楼室内改造项目</w:t>
      </w:r>
    </w:p>
    <w:p w14:paraId="4A49693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color w:val="auto"/>
          <w:sz w:val="28"/>
          <w:szCs w:val="28"/>
          <w:highlight w:val="red"/>
          <w:lang w:val="en-US" w:eastAsia="zh-CN"/>
        </w:rPr>
      </w:pPr>
      <w:r>
        <w:rPr>
          <w:rFonts w:hint="eastAsia" w:ascii="仿宋" w:hAnsi="仿宋" w:eastAsia="仿宋" w:cs="仿宋"/>
          <w:color w:val="auto"/>
          <w:sz w:val="28"/>
          <w:szCs w:val="28"/>
          <w:highlight w:val="none"/>
        </w:rPr>
        <w:t>3.预算金额</w:t>
      </w:r>
      <w:r>
        <w:rPr>
          <w:rFonts w:hint="eastAsia" w:ascii="仿宋" w:hAnsi="仿宋" w:eastAsia="仿宋" w:cs="仿宋"/>
          <w:color w:val="auto"/>
          <w:sz w:val="28"/>
          <w:szCs w:val="28"/>
          <w:highlight w:val="none"/>
          <w:u w:val="single"/>
        </w:rPr>
        <w:t>：</w:t>
      </w:r>
      <w:r>
        <w:rPr>
          <w:rFonts w:hint="eastAsia" w:ascii="仿宋" w:hAnsi="仿宋" w:eastAsia="仿宋" w:cs="仿宋"/>
          <w:color w:val="auto"/>
          <w:sz w:val="28"/>
          <w:szCs w:val="28"/>
          <w:highlight w:val="none"/>
          <w:u w:val="single"/>
          <w:lang w:val="en-US" w:eastAsia="zh-CN"/>
        </w:rPr>
        <w:t>90594.01</w:t>
      </w:r>
      <w:r>
        <w:rPr>
          <w:rFonts w:hint="eastAsia" w:ascii="仿宋" w:hAnsi="仿宋" w:eastAsia="仿宋" w:cs="仿宋"/>
          <w:color w:val="auto"/>
          <w:sz w:val="28"/>
          <w:szCs w:val="28"/>
          <w:highlight w:val="none"/>
          <w:u w:val="single"/>
        </w:rPr>
        <w:t>元</w:t>
      </w:r>
    </w:p>
    <w:p w14:paraId="37715CF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4.最高限价</w:t>
      </w:r>
      <w:r>
        <w:rPr>
          <w:rFonts w:hint="eastAsia" w:ascii="仿宋" w:hAnsi="仿宋" w:eastAsia="仿宋" w:cs="仿宋"/>
          <w:color w:val="auto"/>
          <w:sz w:val="28"/>
          <w:szCs w:val="28"/>
          <w:highlight w:val="none"/>
          <w:u w:val="single"/>
        </w:rPr>
        <w:t>：</w:t>
      </w:r>
      <w:r>
        <w:rPr>
          <w:rFonts w:hint="eastAsia" w:ascii="仿宋" w:hAnsi="仿宋" w:eastAsia="仿宋" w:cs="仿宋"/>
          <w:color w:val="auto"/>
          <w:sz w:val="28"/>
          <w:szCs w:val="28"/>
          <w:highlight w:val="none"/>
          <w:u w:val="single"/>
          <w:lang w:val="en-US" w:eastAsia="zh-CN"/>
        </w:rPr>
        <w:t>83346.49元，响应报价不得高于最高限价，否则按无效响应处理。</w:t>
      </w:r>
    </w:p>
    <w:p w14:paraId="2C1B89E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val="en-US"/>
        </w:rPr>
      </w:pPr>
      <w:r>
        <w:rPr>
          <w:rFonts w:hint="eastAsia" w:ascii="仿宋" w:hAnsi="仿宋" w:eastAsia="仿宋" w:cs="仿宋"/>
          <w:color w:val="auto"/>
          <w:sz w:val="28"/>
          <w:szCs w:val="28"/>
          <w:highlight w:val="none"/>
        </w:rPr>
        <w:t>5.采购需求：</w:t>
      </w:r>
      <w:r>
        <w:rPr>
          <w:rFonts w:hint="eastAsia" w:ascii="仿宋" w:hAnsi="仿宋" w:eastAsia="仿宋" w:cs="仿宋"/>
          <w:color w:val="auto"/>
          <w:sz w:val="28"/>
          <w:szCs w:val="28"/>
          <w:highlight w:val="none"/>
          <w:u w:val="single"/>
          <w:lang w:val="en-US" w:eastAsia="zh-CN"/>
        </w:rPr>
        <w:t>详见工程量清单</w:t>
      </w:r>
    </w:p>
    <w:p w14:paraId="63D242D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6.合同履行期限：</w:t>
      </w:r>
      <w:r>
        <w:rPr>
          <w:rFonts w:hint="eastAsia" w:ascii="仿宋" w:hAnsi="仿宋" w:eastAsia="仿宋" w:cs="仿宋"/>
          <w:color w:val="auto"/>
          <w:sz w:val="28"/>
          <w:szCs w:val="28"/>
          <w:highlight w:val="none"/>
          <w:u w:val="single"/>
          <w:lang w:val="en-US" w:eastAsia="zh-CN"/>
        </w:rPr>
        <w:t>20个日历天（具体开工时间以开工令为准）</w:t>
      </w:r>
    </w:p>
    <w:p w14:paraId="1762874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7.本项目</w:t>
      </w:r>
      <w:r>
        <w:rPr>
          <w:rFonts w:hint="eastAsia" w:ascii="仿宋" w:hAnsi="仿宋" w:eastAsia="仿宋" w:cs="仿宋"/>
          <w:color w:val="auto"/>
          <w:sz w:val="28"/>
          <w:szCs w:val="28"/>
          <w:highlight w:val="none"/>
          <w:lang w:val="en-US" w:eastAsia="zh-CN"/>
        </w:rPr>
        <w:t>不</w:t>
      </w:r>
      <w:r>
        <w:rPr>
          <w:rFonts w:hint="eastAsia" w:ascii="仿宋" w:hAnsi="仿宋" w:eastAsia="仿宋" w:cs="仿宋"/>
          <w:color w:val="auto"/>
          <w:sz w:val="28"/>
          <w:szCs w:val="28"/>
          <w:highlight w:val="none"/>
        </w:rPr>
        <w:t>接受联合体。</w:t>
      </w:r>
    </w:p>
    <w:p w14:paraId="43D2668E">
      <w:pPr>
        <w:keepNext w:val="0"/>
        <w:keepLines w:val="0"/>
        <w:pageBreakBefore w:val="0"/>
        <w:widowControl w:val="0"/>
        <w:kinsoku/>
        <w:wordWrap/>
        <w:overflowPunct/>
        <w:topLinePunct w:val="0"/>
        <w:autoSpaceDE/>
        <w:autoSpaceDN/>
        <w:bidi w:val="0"/>
        <w:adjustRightInd/>
        <w:snapToGrid/>
        <w:spacing w:line="560" w:lineRule="exact"/>
        <w:ind w:firstLine="435"/>
        <w:textAlignment w:val="auto"/>
        <w:outlineLvl w:val="1"/>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rPr>
        <w:t>二</w:t>
      </w: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val="en-US" w:eastAsia="zh-CN"/>
        </w:rPr>
        <w:t>申请人的</w:t>
      </w:r>
      <w:r>
        <w:rPr>
          <w:rFonts w:hint="eastAsia" w:ascii="仿宋" w:hAnsi="仿宋" w:eastAsia="仿宋" w:cs="仿宋"/>
          <w:b/>
          <w:bCs/>
          <w:color w:val="auto"/>
          <w:sz w:val="28"/>
          <w:szCs w:val="28"/>
          <w:highlight w:val="none"/>
        </w:rPr>
        <w:t>资格</w:t>
      </w:r>
      <w:r>
        <w:rPr>
          <w:rFonts w:hint="eastAsia" w:ascii="仿宋" w:hAnsi="仿宋" w:eastAsia="仿宋" w:cs="仿宋"/>
          <w:b/>
          <w:bCs/>
          <w:color w:val="auto"/>
          <w:sz w:val="28"/>
          <w:szCs w:val="28"/>
          <w:highlight w:val="none"/>
          <w:lang w:val="en-US" w:eastAsia="zh-CN"/>
        </w:rPr>
        <w:t>要求</w:t>
      </w:r>
    </w:p>
    <w:p w14:paraId="1FEEBEE5">
      <w:pPr>
        <w:keepNext w:val="0"/>
        <w:keepLines w:val="0"/>
        <w:pageBreakBefore w:val="0"/>
        <w:widowControl w:val="0"/>
        <w:kinsoku/>
        <w:wordWrap/>
        <w:overflowPunct/>
        <w:topLinePunct w:val="0"/>
        <w:autoSpaceDE/>
        <w:autoSpaceDN/>
        <w:bidi w:val="0"/>
        <w:adjustRightInd/>
        <w:snapToGrid/>
        <w:spacing w:line="560" w:lineRule="exact"/>
        <w:ind w:firstLine="435"/>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1.满足《中华人民共和国政府采购法》第二十二条规定；</w:t>
      </w:r>
    </w:p>
    <w:p w14:paraId="32D8A794">
      <w:pPr>
        <w:keepNext w:val="0"/>
        <w:keepLines w:val="0"/>
        <w:pageBreakBefore w:val="0"/>
        <w:widowControl w:val="0"/>
        <w:kinsoku/>
        <w:wordWrap/>
        <w:overflowPunct/>
        <w:topLinePunct w:val="0"/>
        <w:autoSpaceDE/>
        <w:autoSpaceDN/>
        <w:bidi w:val="0"/>
        <w:adjustRightInd/>
        <w:snapToGrid/>
        <w:spacing w:line="560" w:lineRule="exact"/>
        <w:ind w:firstLine="435"/>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2.落实政府采购政策需满足的资格要求：</w:t>
      </w:r>
      <w:r>
        <w:rPr>
          <w:rFonts w:hint="eastAsia" w:ascii="仿宋" w:hAnsi="仿宋" w:eastAsia="仿宋" w:cs="仿宋"/>
          <w:sz w:val="28"/>
          <w:szCs w:val="28"/>
          <w:u w:val="single"/>
        </w:rPr>
        <w:t>按照财政部、工业和信息化部制定的《政府采购促进中小企业发展管理办法》，本项目为专门面向中小企业采购项目。企业划型标准按照《关于印发中小企业划型标准规定的通知》（工信部联企业〔2011〕300号）规定执行</w:t>
      </w:r>
      <w:r>
        <w:rPr>
          <w:rFonts w:hint="eastAsia" w:ascii="仿宋" w:hAnsi="仿宋" w:eastAsia="仿宋" w:cs="仿宋"/>
          <w:sz w:val="28"/>
          <w:szCs w:val="28"/>
          <w:u w:val="single"/>
          <w:lang w:eastAsia="zh-CN"/>
        </w:rPr>
        <w:t>；</w:t>
      </w:r>
    </w:p>
    <w:p w14:paraId="59DB16B1">
      <w:pPr>
        <w:keepNext w:val="0"/>
        <w:keepLines w:val="0"/>
        <w:pageBreakBefore w:val="0"/>
        <w:widowControl w:val="0"/>
        <w:kinsoku/>
        <w:wordWrap/>
        <w:overflowPunct/>
        <w:topLinePunct w:val="0"/>
        <w:autoSpaceDE/>
        <w:autoSpaceDN/>
        <w:bidi w:val="0"/>
        <w:adjustRightInd/>
        <w:snapToGrid/>
        <w:spacing w:line="560" w:lineRule="exact"/>
        <w:ind w:firstLine="435"/>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3.本项目的特定资格要求：</w:t>
      </w:r>
    </w:p>
    <w:p w14:paraId="1D0E1DFF">
      <w:pPr>
        <w:keepNext w:val="0"/>
        <w:keepLines w:val="0"/>
        <w:pageBreakBefore w:val="0"/>
        <w:widowControl w:val="0"/>
        <w:kinsoku/>
        <w:wordWrap/>
        <w:overflowPunct/>
        <w:topLinePunct w:val="0"/>
        <w:autoSpaceDE/>
        <w:autoSpaceDN/>
        <w:bidi w:val="0"/>
        <w:adjustRightInd/>
        <w:snapToGrid/>
        <w:spacing w:line="560" w:lineRule="exact"/>
        <w:ind w:firstLine="435"/>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①供应商：</w:t>
      </w:r>
      <w:r>
        <w:rPr>
          <w:rFonts w:hint="eastAsia" w:ascii="仿宋" w:hAnsi="仿宋" w:eastAsia="仿宋" w:cs="仿宋"/>
          <w:color w:val="auto"/>
          <w:sz w:val="28"/>
          <w:szCs w:val="28"/>
          <w:highlight w:val="none"/>
          <w:u w:val="single"/>
          <w:lang w:val="en-US" w:eastAsia="zh-CN"/>
        </w:rPr>
        <w:t>具有建筑工程施工总承包叁级及以上资质，具有有效的安全生产许可证；</w:t>
      </w:r>
    </w:p>
    <w:p w14:paraId="79B4FC29">
      <w:pPr>
        <w:keepNext w:val="0"/>
        <w:keepLines w:val="0"/>
        <w:pageBreakBefore w:val="0"/>
        <w:widowControl w:val="0"/>
        <w:kinsoku/>
        <w:wordWrap/>
        <w:overflowPunct/>
        <w:topLinePunct w:val="0"/>
        <w:autoSpaceDE/>
        <w:autoSpaceDN/>
        <w:bidi w:val="0"/>
        <w:adjustRightInd/>
        <w:snapToGrid/>
        <w:spacing w:line="560" w:lineRule="exact"/>
        <w:ind w:firstLine="435"/>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②项目负责人：</w:t>
      </w:r>
      <w:r>
        <w:rPr>
          <w:rFonts w:hint="eastAsia" w:ascii="仿宋" w:hAnsi="仿宋" w:eastAsia="仿宋" w:cs="仿宋"/>
          <w:color w:val="auto"/>
          <w:sz w:val="28"/>
          <w:szCs w:val="28"/>
          <w:highlight w:val="none"/>
          <w:u w:val="single"/>
          <w:lang w:val="en-US" w:eastAsia="zh-CN"/>
        </w:rPr>
        <w:t>具备注册在投标供应商的建筑工程专业二级及以上注册建造师资格，具备有效的安全生产考核合格证书（B证）。</w:t>
      </w:r>
    </w:p>
    <w:p w14:paraId="0FE2EA36">
      <w:pPr>
        <w:keepNext w:val="0"/>
        <w:keepLines w:val="0"/>
        <w:pageBreakBefore w:val="0"/>
        <w:widowControl w:val="0"/>
        <w:kinsoku/>
        <w:wordWrap/>
        <w:overflowPunct/>
        <w:topLinePunct w:val="0"/>
        <w:autoSpaceDE/>
        <w:autoSpaceDN/>
        <w:bidi w:val="0"/>
        <w:adjustRightInd/>
        <w:snapToGrid/>
        <w:spacing w:line="560" w:lineRule="exact"/>
        <w:ind w:firstLine="435"/>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4.信誉要求：供应商不得存在以下情形：</w:t>
      </w:r>
    </w:p>
    <w:p w14:paraId="3881B3F9">
      <w:pPr>
        <w:keepNext w:val="0"/>
        <w:keepLines w:val="0"/>
        <w:pageBreakBefore w:val="0"/>
        <w:widowControl w:val="0"/>
        <w:kinsoku/>
        <w:wordWrap/>
        <w:overflowPunct/>
        <w:topLinePunct w:val="0"/>
        <w:autoSpaceDE/>
        <w:autoSpaceDN/>
        <w:bidi w:val="0"/>
        <w:adjustRightInd/>
        <w:snapToGrid/>
        <w:spacing w:line="560" w:lineRule="exact"/>
        <w:ind w:firstLine="435"/>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①供应商被人民法院列入失信被执行人的；</w:t>
      </w:r>
    </w:p>
    <w:p w14:paraId="48B3D0B1">
      <w:pPr>
        <w:keepNext w:val="0"/>
        <w:keepLines w:val="0"/>
        <w:pageBreakBefore w:val="0"/>
        <w:widowControl w:val="0"/>
        <w:kinsoku/>
        <w:wordWrap/>
        <w:overflowPunct/>
        <w:topLinePunct w:val="0"/>
        <w:autoSpaceDE/>
        <w:autoSpaceDN/>
        <w:bidi w:val="0"/>
        <w:adjustRightInd/>
        <w:snapToGrid/>
        <w:spacing w:line="560" w:lineRule="exact"/>
        <w:ind w:firstLine="435"/>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②供应商或其法定代表人或拟派项目经理（项目负责人）有行贿犯罪行为的；</w:t>
      </w:r>
    </w:p>
    <w:p w14:paraId="5A812AE4">
      <w:pPr>
        <w:keepNext w:val="0"/>
        <w:keepLines w:val="0"/>
        <w:pageBreakBefore w:val="0"/>
        <w:widowControl w:val="0"/>
        <w:kinsoku/>
        <w:wordWrap/>
        <w:overflowPunct/>
        <w:topLinePunct w:val="0"/>
        <w:autoSpaceDE/>
        <w:autoSpaceDN/>
        <w:bidi w:val="0"/>
        <w:adjustRightInd/>
        <w:snapToGrid/>
        <w:spacing w:line="560" w:lineRule="exact"/>
        <w:ind w:firstLine="435"/>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③供应商被市场监督管理部门列入经营异常名录或者严重违法企业名单的，且未被移除的；</w:t>
      </w:r>
    </w:p>
    <w:p w14:paraId="5CDC058D">
      <w:pPr>
        <w:keepNext w:val="0"/>
        <w:keepLines w:val="0"/>
        <w:pageBreakBefore w:val="0"/>
        <w:widowControl w:val="0"/>
        <w:kinsoku/>
        <w:wordWrap/>
        <w:overflowPunct/>
        <w:topLinePunct w:val="0"/>
        <w:autoSpaceDE/>
        <w:autoSpaceDN/>
        <w:bidi w:val="0"/>
        <w:adjustRightInd/>
        <w:snapToGrid/>
        <w:spacing w:line="560" w:lineRule="exact"/>
        <w:ind w:firstLine="435"/>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④供应商被税务部门列入重大税收违法案件当事人的；</w:t>
      </w:r>
    </w:p>
    <w:p w14:paraId="26AC1FE4">
      <w:pPr>
        <w:keepNext w:val="0"/>
        <w:keepLines w:val="0"/>
        <w:pageBreakBefore w:val="0"/>
        <w:widowControl w:val="0"/>
        <w:kinsoku/>
        <w:wordWrap/>
        <w:overflowPunct/>
        <w:topLinePunct w:val="0"/>
        <w:autoSpaceDE/>
        <w:autoSpaceDN/>
        <w:bidi w:val="0"/>
        <w:adjustRightInd/>
        <w:snapToGrid/>
        <w:spacing w:line="560" w:lineRule="exact"/>
        <w:ind w:firstLine="435"/>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⑤供应商被政府采购监管部门列入政府采购严重违法失信行为记录名单的；</w:t>
      </w:r>
    </w:p>
    <w:p w14:paraId="74DD72D8">
      <w:pPr>
        <w:keepNext w:val="0"/>
        <w:keepLines w:val="0"/>
        <w:pageBreakBefore w:val="0"/>
        <w:widowControl w:val="0"/>
        <w:kinsoku/>
        <w:wordWrap/>
        <w:overflowPunct/>
        <w:topLinePunct w:val="0"/>
        <w:autoSpaceDE/>
        <w:autoSpaceDN/>
        <w:bidi w:val="0"/>
        <w:adjustRightInd/>
        <w:snapToGrid/>
        <w:spacing w:line="560" w:lineRule="exact"/>
        <w:ind w:firstLine="435"/>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⑥在“信用中国”网站上披露仍在公示期的严重失信行为的。</w:t>
      </w:r>
    </w:p>
    <w:p w14:paraId="06382BC3">
      <w:pPr>
        <w:keepNext w:val="0"/>
        <w:keepLines w:val="0"/>
        <w:pageBreakBefore w:val="0"/>
        <w:widowControl w:val="0"/>
        <w:kinsoku/>
        <w:wordWrap/>
        <w:overflowPunct/>
        <w:topLinePunct w:val="0"/>
        <w:autoSpaceDE/>
        <w:autoSpaceDN/>
        <w:bidi w:val="0"/>
        <w:adjustRightInd/>
        <w:snapToGrid/>
        <w:spacing w:line="560" w:lineRule="exact"/>
        <w:ind w:firstLine="435"/>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5.供应商所属分公司、办事处等分支机构存在第4款信誉要求①-⑥项情形之一的，接受供应商参加本项目。</w:t>
      </w:r>
    </w:p>
    <w:p w14:paraId="25D44846">
      <w:pPr>
        <w:keepNext w:val="0"/>
        <w:keepLines w:val="0"/>
        <w:pageBreakBefore w:val="0"/>
        <w:widowControl w:val="0"/>
        <w:kinsoku/>
        <w:wordWrap/>
        <w:overflowPunct/>
        <w:topLinePunct w:val="0"/>
        <w:autoSpaceDE/>
        <w:autoSpaceDN/>
        <w:bidi w:val="0"/>
        <w:adjustRightInd/>
        <w:snapToGrid/>
        <w:spacing w:line="560" w:lineRule="exact"/>
        <w:ind w:firstLine="435"/>
        <w:textAlignment w:val="auto"/>
        <w:outlineLvl w:val="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三、获取采购文件</w:t>
      </w:r>
    </w:p>
    <w:p w14:paraId="7431D5C3">
      <w:pPr>
        <w:keepNext w:val="0"/>
        <w:keepLines w:val="0"/>
        <w:pageBreakBefore w:val="0"/>
        <w:widowControl w:val="0"/>
        <w:kinsoku/>
        <w:wordWrap/>
        <w:overflowPunct/>
        <w:topLinePunct w:val="0"/>
        <w:autoSpaceDE/>
        <w:autoSpaceDN/>
        <w:bidi w:val="0"/>
        <w:adjustRightInd/>
        <w:snapToGrid/>
        <w:spacing w:line="560" w:lineRule="exact"/>
        <w:ind w:firstLine="54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时间：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2026 </w:t>
      </w:r>
      <w:r>
        <w:rPr>
          <w:rFonts w:hint="eastAsia" w:ascii="仿宋" w:hAnsi="仿宋" w:eastAsia="仿宋" w:cs="仿宋"/>
          <w:color w:val="auto"/>
          <w:sz w:val="28"/>
          <w:szCs w:val="28"/>
          <w:u w:val="none"/>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4 </w:t>
      </w:r>
      <w:r>
        <w:rPr>
          <w:rFonts w:hint="eastAsia" w:ascii="仿宋" w:hAnsi="仿宋" w:eastAsia="仿宋" w:cs="仿宋"/>
          <w:color w:val="auto"/>
          <w:sz w:val="28"/>
          <w:szCs w:val="28"/>
          <w:u w:val="none"/>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16 </w:t>
      </w:r>
      <w:r>
        <w:rPr>
          <w:rFonts w:hint="eastAsia" w:ascii="仿宋" w:hAnsi="仿宋" w:eastAsia="仿宋" w:cs="仿宋"/>
          <w:color w:val="auto"/>
          <w:sz w:val="28"/>
          <w:szCs w:val="28"/>
          <w:u w:val="none"/>
        </w:rPr>
        <w:t>日</w:t>
      </w:r>
      <w:r>
        <w:rPr>
          <w:rFonts w:hint="eastAsia" w:ascii="仿宋" w:hAnsi="仿宋" w:eastAsia="仿宋" w:cs="仿宋"/>
          <w:color w:val="auto"/>
          <w:sz w:val="28"/>
          <w:szCs w:val="28"/>
        </w:rPr>
        <w:t>至</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2026</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none"/>
        </w:rPr>
        <w:t>年</w:t>
      </w:r>
      <w:r>
        <w:rPr>
          <w:rFonts w:hint="eastAsia" w:ascii="仿宋" w:hAnsi="仿宋" w:eastAsia="仿宋" w:cs="仿宋"/>
          <w:color w:val="auto"/>
          <w:sz w:val="28"/>
          <w:szCs w:val="28"/>
          <w:u w:val="single"/>
          <w:lang w:val="en-US" w:eastAsia="zh-CN"/>
        </w:rPr>
        <w:t xml:space="preserve"> 4</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none"/>
        </w:rPr>
        <w:t>月</w:t>
      </w:r>
      <w:r>
        <w:rPr>
          <w:rFonts w:hint="eastAsia" w:ascii="仿宋" w:hAnsi="仿宋" w:eastAsia="仿宋" w:cs="仿宋"/>
          <w:color w:val="auto"/>
          <w:sz w:val="28"/>
          <w:szCs w:val="28"/>
          <w:u w:val="single"/>
          <w:lang w:val="en-US" w:eastAsia="zh-CN"/>
        </w:rPr>
        <w:t xml:space="preserve"> 21 </w:t>
      </w:r>
      <w:r>
        <w:rPr>
          <w:rFonts w:hint="eastAsia" w:ascii="仿宋" w:hAnsi="仿宋" w:eastAsia="仿宋" w:cs="仿宋"/>
          <w:color w:val="auto"/>
          <w:sz w:val="28"/>
          <w:szCs w:val="28"/>
          <w:u w:val="none"/>
        </w:rPr>
        <w:t>日</w:t>
      </w:r>
    </w:p>
    <w:p w14:paraId="78D97431">
      <w:pPr>
        <w:keepNext w:val="0"/>
        <w:keepLines w:val="0"/>
        <w:pageBreakBefore w:val="0"/>
        <w:widowControl w:val="0"/>
        <w:kinsoku/>
        <w:wordWrap/>
        <w:overflowPunct/>
        <w:topLinePunct w:val="0"/>
        <w:autoSpaceDE/>
        <w:autoSpaceDN/>
        <w:bidi w:val="0"/>
        <w:adjustRightInd/>
        <w:snapToGrid/>
        <w:spacing w:line="560" w:lineRule="exact"/>
        <w:ind w:firstLine="540"/>
        <w:textAlignment w:val="auto"/>
        <w:rPr>
          <w:rFonts w:hint="eastAsia" w:ascii="仿宋" w:hAnsi="仿宋" w:eastAsia="仿宋" w:cs="仿宋"/>
          <w:color w:val="auto"/>
          <w:sz w:val="28"/>
          <w:szCs w:val="28"/>
          <w:u w:val="single"/>
          <w:lang w:val="en-US"/>
        </w:rPr>
      </w:pPr>
      <w:r>
        <w:rPr>
          <w:rFonts w:hint="eastAsia" w:ascii="仿宋" w:hAnsi="仿宋" w:eastAsia="仿宋" w:cs="仿宋"/>
          <w:color w:val="auto"/>
          <w:sz w:val="28"/>
          <w:szCs w:val="28"/>
        </w:rPr>
        <w:t>地点：</w:t>
      </w:r>
      <w:r>
        <w:rPr>
          <w:rFonts w:hint="eastAsia" w:ascii="仿宋" w:hAnsi="仿宋" w:eastAsia="仿宋" w:cs="仿宋"/>
          <w:color w:val="auto"/>
          <w:sz w:val="28"/>
          <w:szCs w:val="28"/>
          <w:highlight w:val="none"/>
          <w:u w:val="single"/>
          <w:lang w:val="en-US" w:eastAsia="zh-CN"/>
        </w:rPr>
        <w:t>定远县人民政府网</w:t>
      </w:r>
      <w:r>
        <w:rPr>
          <w:rFonts w:hint="eastAsia" w:ascii="仿宋" w:hAnsi="仿宋" w:eastAsia="仿宋" w:cs="仿宋"/>
          <w:color w:val="auto"/>
          <w:sz w:val="28"/>
          <w:szCs w:val="28"/>
          <w:u w:val="single"/>
          <w:lang w:val="en-US" w:eastAsia="zh-CN"/>
        </w:rPr>
        <w:t>--</w:t>
      </w:r>
      <w:r>
        <w:rPr>
          <w:rFonts w:hint="eastAsia" w:ascii="仿宋" w:hAnsi="仿宋" w:eastAsia="仿宋" w:cs="仿宋"/>
          <w:color w:val="auto"/>
          <w:sz w:val="28"/>
          <w:szCs w:val="28"/>
          <w:highlight w:val="none"/>
          <w:u w:val="single"/>
          <w:lang w:val="en-US" w:eastAsia="zh-CN"/>
        </w:rPr>
        <w:t>政务信息公开</w:t>
      </w:r>
      <w:r>
        <w:rPr>
          <w:rFonts w:hint="eastAsia" w:ascii="仿宋" w:hAnsi="仿宋" w:eastAsia="仿宋" w:cs="仿宋"/>
          <w:color w:val="auto"/>
          <w:sz w:val="28"/>
          <w:szCs w:val="28"/>
          <w:u w:val="single"/>
          <w:lang w:val="en-US" w:eastAsia="zh-CN"/>
        </w:rPr>
        <w:t>--</w:t>
      </w:r>
      <w:r>
        <w:rPr>
          <w:rFonts w:hint="eastAsia" w:ascii="仿宋" w:hAnsi="仿宋" w:eastAsia="仿宋" w:cs="仿宋"/>
          <w:color w:val="auto"/>
          <w:sz w:val="28"/>
          <w:szCs w:val="28"/>
          <w:highlight w:val="none"/>
          <w:u w:val="single"/>
          <w:lang w:val="en-US" w:eastAsia="zh-CN"/>
        </w:rPr>
        <w:t>定远县总医院</w:t>
      </w:r>
    </w:p>
    <w:p w14:paraId="076A0CB5">
      <w:pPr>
        <w:keepNext w:val="0"/>
        <w:keepLines w:val="0"/>
        <w:pageBreakBefore w:val="0"/>
        <w:widowControl w:val="0"/>
        <w:kinsoku/>
        <w:wordWrap/>
        <w:overflowPunct/>
        <w:topLinePunct w:val="0"/>
        <w:autoSpaceDE/>
        <w:autoSpaceDN/>
        <w:bidi w:val="0"/>
        <w:adjustRightInd/>
        <w:snapToGrid/>
        <w:spacing w:line="560" w:lineRule="exact"/>
        <w:ind w:firstLine="540"/>
        <w:textAlignment w:val="auto"/>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rPr>
        <w:t>方式：</w:t>
      </w:r>
      <w:r>
        <w:rPr>
          <w:rFonts w:hint="eastAsia" w:ascii="仿宋" w:hAnsi="仿宋" w:eastAsia="仿宋" w:cs="仿宋"/>
          <w:color w:val="auto"/>
          <w:sz w:val="28"/>
          <w:szCs w:val="28"/>
          <w:highlight w:val="none"/>
          <w:u w:val="single"/>
          <w:lang w:val="en-US" w:eastAsia="zh-CN"/>
        </w:rPr>
        <w:t>网上下载</w:t>
      </w:r>
    </w:p>
    <w:p w14:paraId="6D7C8073">
      <w:pPr>
        <w:keepNext w:val="0"/>
        <w:keepLines w:val="0"/>
        <w:pageBreakBefore w:val="0"/>
        <w:widowControl w:val="0"/>
        <w:kinsoku/>
        <w:wordWrap/>
        <w:overflowPunct/>
        <w:topLinePunct w:val="0"/>
        <w:autoSpaceDE/>
        <w:autoSpaceDN/>
        <w:bidi w:val="0"/>
        <w:adjustRightInd/>
        <w:snapToGrid/>
        <w:spacing w:line="560" w:lineRule="exact"/>
        <w:ind w:firstLine="435"/>
        <w:textAlignment w:val="auto"/>
        <w:outlineLvl w:val="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四、响应文件提交</w:t>
      </w:r>
    </w:p>
    <w:p w14:paraId="4D42D56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Cs/>
          <w:color w:val="auto"/>
          <w:sz w:val="28"/>
          <w:szCs w:val="28"/>
          <w:lang w:eastAsia="zh-CN"/>
        </w:rPr>
      </w:pPr>
      <w:r>
        <w:rPr>
          <w:rFonts w:hint="eastAsia" w:ascii="仿宋" w:hAnsi="仿宋" w:eastAsia="仿宋" w:cs="仿宋"/>
          <w:color w:val="auto"/>
          <w:sz w:val="28"/>
          <w:szCs w:val="28"/>
        </w:rPr>
        <w:t>截止时间</w:t>
      </w:r>
      <w:r>
        <w:rPr>
          <w:rFonts w:hint="eastAsia" w:ascii="仿宋" w:hAnsi="仿宋" w:eastAsia="仿宋" w:cs="仿宋"/>
          <w:color w:val="auto"/>
          <w:sz w:val="28"/>
          <w:szCs w:val="28"/>
          <w:lang w:eastAsia="zh-CN"/>
        </w:rPr>
        <w:t>：</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single"/>
          <w:lang w:val="en-US" w:eastAsia="zh-CN"/>
        </w:rPr>
        <w:t>2026</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none"/>
        </w:rPr>
        <w:t>年</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single"/>
          <w:lang w:val="en-US" w:eastAsia="zh-CN"/>
        </w:rPr>
        <w:t>4</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none"/>
        </w:rPr>
        <w:t>月</w:t>
      </w:r>
      <w:r>
        <w:rPr>
          <w:rFonts w:hint="eastAsia" w:ascii="仿宋" w:hAnsi="仿宋" w:eastAsia="仿宋" w:cs="仿宋"/>
          <w:bCs/>
          <w:color w:val="auto"/>
          <w:sz w:val="28"/>
          <w:szCs w:val="28"/>
          <w:u w:val="single"/>
          <w:lang w:val="en-US" w:eastAsia="zh-CN"/>
        </w:rPr>
        <w:t xml:space="preserve"> 21 </w:t>
      </w:r>
      <w:r>
        <w:rPr>
          <w:rFonts w:hint="eastAsia" w:ascii="仿宋" w:hAnsi="仿宋" w:eastAsia="仿宋" w:cs="仿宋"/>
          <w:bCs/>
          <w:color w:val="auto"/>
          <w:sz w:val="28"/>
          <w:szCs w:val="28"/>
          <w:u w:val="none"/>
        </w:rPr>
        <w:t>日</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single"/>
          <w:lang w:val="en-US" w:eastAsia="zh-CN"/>
        </w:rPr>
        <w:t xml:space="preserve">9 </w:t>
      </w:r>
      <w:r>
        <w:rPr>
          <w:rFonts w:hint="eastAsia" w:ascii="仿宋" w:hAnsi="仿宋" w:eastAsia="仿宋" w:cs="仿宋"/>
          <w:bCs/>
          <w:color w:val="auto"/>
          <w:sz w:val="28"/>
          <w:szCs w:val="28"/>
          <w:u w:val="none"/>
        </w:rPr>
        <w:t>点</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single"/>
          <w:lang w:val="en-US" w:eastAsia="zh-CN"/>
        </w:rPr>
        <w:t>30</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none"/>
        </w:rPr>
        <w:t>分</w:t>
      </w:r>
      <w:r>
        <w:rPr>
          <w:rFonts w:hint="eastAsia" w:ascii="仿宋" w:hAnsi="仿宋" w:eastAsia="仿宋" w:cs="仿宋"/>
          <w:bCs/>
          <w:color w:val="auto"/>
          <w:sz w:val="28"/>
          <w:szCs w:val="28"/>
        </w:rPr>
        <w:t>（北京时间）</w:t>
      </w:r>
    </w:p>
    <w:p w14:paraId="7711132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rPr>
        <w:t>地点：</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定远县总医院院内行政楼二楼会议室 </w:t>
      </w:r>
    </w:p>
    <w:p w14:paraId="16BE3832">
      <w:pPr>
        <w:keepNext w:val="0"/>
        <w:keepLines w:val="0"/>
        <w:pageBreakBefore w:val="0"/>
        <w:widowControl w:val="0"/>
        <w:kinsoku/>
        <w:wordWrap/>
        <w:overflowPunct/>
        <w:topLinePunct w:val="0"/>
        <w:autoSpaceDE/>
        <w:autoSpaceDN/>
        <w:bidi w:val="0"/>
        <w:adjustRightInd/>
        <w:snapToGrid/>
        <w:spacing w:line="560" w:lineRule="exact"/>
        <w:ind w:firstLine="435"/>
        <w:textAlignment w:val="auto"/>
        <w:outlineLvl w:val="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五、开启</w:t>
      </w:r>
    </w:p>
    <w:p w14:paraId="76460A1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color w:val="auto"/>
          <w:sz w:val="28"/>
          <w:szCs w:val="28"/>
        </w:rPr>
        <w:t>时间：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2026</w:t>
      </w:r>
      <w:r>
        <w:rPr>
          <w:rFonts w:hint="eastAsia" w:ascii="仿宋" w:hAnsi="仿宋" w:eastAsia="仿宋" w:cs="仿宋"/>
          <w:bCs/>
          <w:color w:val="auto"/>
          <w:sz w:val="28"/>
          <w:szCs w:val="28"/>
          <w:u w:val="none"/>
        </w:rPr>
        <w:t>年</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single"/>
          <w:lang w:val="en-US" w:eastAsia="zh-CN"/>
        </w:rPr>
        <w:t>4</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none"/>
        </w:rPr>
        <w:t>月</w:t>
      </w:r>
      <w:r>
        <w:rPr>
          <w:rFonts w:hint="eastAsia" w:ascii="仿宋" w:hAnsi="仿宋" w:eastAsia="仿宋" w:cs="仿宋"/>
          <w:bCs/>
          <w:color w:val="auto"/>
          <w:sz w:val="28"/>
          <w:szCs w:val="28"/>
          <w:u w:val="single"/>
          <w:lang w:val="en-US" w:eastAsia="zh-CN"/>
        </w:rPr>
        <w:t xml:space="preserve"> 21 </w:t>
      </w:r>
      <w:r>
        <w:rPr>
          <w:rFonts w:hint="eastAsia" w:ascii="仿宋" w:hAnsi="仿宋" w:eastAsia="仿宋" w:cs="仿宋"/>
          <w:bCs/>
          <w:color w:val="auto"/>
          <w:sz w:val="28"/>
          <w:szCs w:val="28"/>
          <w:u w:val="none"/>
        </w:rPr>
        <w:t>日</w:t>
      </w:r>
      <w:r>
        <w:rPr>
          <w:rFonts w:hint="eastAsia" w:ascii="仿宋" w:hAnsi="仿宋" w:eastAsia="仿宋" w:cs="仿宋"/>
          <w:bCs/>
          <w:color w:val="auto"/>
          <w:sz w:val="28"/>
          <w:szCs w:val="28"/>
          <w:u w:val="single"/>
          <w:lang w:val="en-US" w:eastAsia="zh-CN"/>
        </w:rPr>
        <w:t xml:space="preserve"> 9</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none"/>
        </w:rPr>
        <w:t>点</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single"/>
          <w:lang w:val="en-US" w:eastAsia="zh-CN"/>
        </w:rPr>
        <w:t>30</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none"/>
        </w:rPr>
        <w:t>分</w:t>
      </w:r>
      <w:r>
        <w:rPr>
          <w:rFonts w:hint="eastAsia" w:ascii="仿宋" w:hAnsi="仿宋" w:eastAsia="仿宋" w:cs="仿宋"/>
          <w:bCs/>
          <w:color w:val="auto"/>
          <w:sz w:val="28"/>
          <w:szCs w:val="28"/>
        </w:rPr>
        <w:t>（北京时间）</w:t>
      </w:r>
    </w:p>
    <w:p w14:paraId="36727146">
      <w:pPr>
        <w:keepNext w:val="0"/>
        <w:keepLines w:val="0"/>
        <w:pageBreakBefore w:val="0"/>
        <w:widowControl w:val="0"/>
        <w:kinsoku/>
        <w:wordWrap/>
        <w:overflowPunct/>
        <w:topLinePunct w:val="0"/>
        <w:autoSpaceDE/>
        <w:autoSpaceDN/>
        <w:bidi w:val="0"/>
        <w:adjustRightInd/>
        <w:snapToGrid/>
        <w:spacing w:line="560" w:lineRule="exact"/>
        <w:ind w:firstLine="435"/>
        <w:textAlignment w:val="auto"/>
        <w:outlineLvl w:val="1"/>
        <w:rPr>
          <w:rFonts w:hint="default"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rPr>
        <w:t>地点：</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定远县总医院院内行政楼二楼会议室 </w:t>
      </w:r>
    </w:p>
    <w:p w14:paraId="378838F4">
      <w:pPr>
        <w:keepNext w:val="0"/>
        <w:keepLines w:val="0"/>
        <w:pageBreakBefore w:val="0"/>
        <w:widowControl w:val="0"/>
        <w:kinsoku/>
        <w:wordWrap/>
        <w:overflowPunct/>
        <w:topLinePunct w:val="0"/>
        <w:autoSpaceDE/>
        <w:autoSpaceDN/>
        <w:bidi w:val="0"/>
        <w:adjustRightInd/>
        <w:snapToGrid/>
        <w:spacing w:line="560" w:lineRule="exact"/>
        <w:ind w:firstLine="435"/>
        <w:textAlignment w:val="auto"/>
        <w:outlineLvl w:val="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六</w:t>
      </w:r>
      <w:r>
        <w:rPr>
          <w:rFonts w:hint="eastAsia" w:ascii="仿宋" w:hAnsi="仿宋" w:eastAsia="仿宋" w:cs="仿宋"/>
          <w:b/>
          <w:bCs/>
          <w:color w:val="auto"/>
          <w:sz w:val="28"/>
          <w:szCs w:val="28"/>
          <w:highlight w:val="none"/>
        </w:rPr>
        <w:t>、公告期限</w:t>
      </w:r>
    </w:p>
    <w:p w14:paraId="6688B13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自本公告发布之日起3个工作日。</w:t>
      </w:r>
    </w:p>
    <w:p w14:paraId="7EE8AEE0">
      <w:pPr>
        <w:keepNext w:val="0"/>
        <w:keepLines w:val="0"/>
        <w:pageBreakBefore w:val="0"/>
        <w:widowControl w:val="0"/>
        <w:kinsoku/>
        <w:wordWrap/>
        <w:overflowPunct/>
        <w:topLinePunct w:val="0"/>
        <w:autoSpaceDE/>
        <w:autoSpaceDN/>
        <w:bidi w:val="0"/>
        <w:adjustRightInd/>
        <w:snapToGrid/>
        <w:spacing w:line="560" w:lineRule="exact"/>
        <w:ind w:firstLine="437"/>
        <w:textAlignment w:val="auto"/>
        <w:outlineLvl w:val="1"/>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七、保证金金额及缴纳账户</w:t>
      </w:r>
    </w:p>
    <w:p w14:paraId="51B5AD6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是否要求供应商提交保证金：不要求。</w:t>
      </w:r>
    </w:p>
    <w:p w14:paraId="30DFED35">
      <w:pPr>
        <w:keepNext w:val="0"/>
        <w:keepLines w:val="0"/>
        <w:pageBreakBefore w:val="0"/>
        <w:widowControl w:val="0"/>
        <w:kinsoku/>
        <w:wordWrap/>
        <w:overflowPunct/>
        <w:topLinePunct w:val="0"/>
        <w:autoSpaceDE/>
        <w:autoSpaceDN/>
        <w:bidi w:val="0"/>
        <w:adjustRightInd/>
        <w:snapToGrid/>
        <w:spacing w:line="560" w:lineRule="exact"/>
        <w:ind w:firstLine="437"/>
        <w:textAlignment w:val="auto"/>
        <w:outlineLvl w:val="1"/>
        <w:rPr>
          <w:rFonts w:hint="eastAsia" w:ascii="仿宋" w:hAnsi="仿宋" w:eastAsia="仿宋" w:cs="仿宋"/>
          <w:b/>
          <w:bCs/>
          <w:color w:val="auto"/>
          <w:sz w:val="28"/>
          <w:szCs w:val="28"/>
          <w:highlight w:val="none"/>
        </w:rPr>
      </w:pPr>
      <w:r>
        <w:rPr>
          <w:rFonts w:hint="eastAsia" w:ascii="仿宋" w:hAnsi="仿宋" w:eastAsia="仿宋" w:cs="仿宋"/>
          <w:b/>
          <w:color w:val="auto"/>
          <w:sz w:val="28"/>
          <w:szCs w:val="28"/>
          <w:highlight w:val="none"/>
          <w:lang w:val="en-US" w:eastAsia="zh-CN"/>
        </w:rPr>
        <w:t>八</w:t>
      </w:r>
      <w:r>
        <w:rPr>
          <w:rFonts w:hint="eastAsia" w:ascii="仿宋" w:hAnsi="仿宋" w:eastAsia="仿宋" w:cs="仿宋"/>
          <w:b/>
          <w:color w:val="auto"/>
          <w:sz w:val="28"/>
          <w:szCs w:val="28"/>
          <w:highlight w:val="none"/>
        </w:rPr>
        <w:t>、</w:t>
      </w:r>
      <w:r>
        <w:rPr>
          <w:rFonts w:hint="eastAsia" w:ascii="仿宋" w:hAnsi="仿宋" w:eastAsia="仿宋" w:cs="仿宋"/>
          <w:b/>
          <w:bCs/>
          <w:color w:val="auto"/>
          <w:sz w:val="28"/>
          <w:szCs w:val="28"/>
          <w:highlight w:val="none"/>
        </w:rPr>
        <w:t>对本次招标提出询问，请按以下方式联系</w:t>
      </w:r>
    </w:p>
    <w:p w14:paraId="31780CC0">
      <w:pPr>
        <w:keepNext w:val="0"/>
        <w:keepLines w:val="0"/>
        <w:pageBreakBefore w:val="0"/>
        <w:widowControl w:val="0"/>
        <w:kinsoku/>
        <w:wordWrap/>
        <w:overflowPunct/>
        <w:topLinePunct w:val="0"/>
        <w:autoSpaceDE/>
        <w:autoSpaceDN/>
        <w:bidi w:val="0"/>
        <w:adjustRightInd/>
        <w:snapToGrid/>
        <w:spacing w:line="560" w:lineRule="exact"/>
        <w:ind w:firstLine="437"/>
        <w:textAlignment w:val="auto"/>
        <w:outlineLvl w:val="2"/>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1.采购人</w:t>
      </w:r>
      <w:r>
        <w:rPr>
          <w:rFonts w:hint="eastAsia" w:ascii="仿宋" w:hAnsi="仿宋" w:eastAsia="仿宋" w:cs="仿宋"/>
          <w:color w:val="auto"/>
          <w:sz w:val="28"/>
          <w:szCs w:val="28"/>
          <w:highlight w:val="none"/>
          <w:lang w:val="en-US" w:eastAsia="zh-CN"/>
        </w:rPr>
        <w:t>信息</w:t>
      </w:r>
    </w:p>
    <w:p w14:paraId="5F4E7C62">
      <w:pPr>
        <w:keepNext w:val="0"/>
        <w:keepLines w:val="0"/>
        <w:pageBreakBefore w:val="0"/>
        <w:widowControl w:val="0"/>
        <w:kinsoku/>
        <w:wordWrap/>
        <w:overflowPunct/>
        <w:topLinePunct w:val="0"/>
        <w:autoSpaceDE/>
        <w:autoSpaceDN/>
        <w:bidi w:val="0"/>
        <w:adjustRightInd/>
        <w:snapToGrid/>
        <w:spacing w:line="560" w:lineRule="exact"/>
        <w:ind w:firstLine="435"/>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名  称</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lang w:val="en-US" w:eastAsia="zh-CN"/>
        </w:rPr>
        <w:t>定远县总医院</w:t>
      </w:r>
    </w:p>
    <w:p w14:paraId="69A1B4AB">
      <w:pPr>
        <w:keepNext w:val="0"/>
        <w:keepLines w:val="0"/>
        <w:pageBreakBefore w:val="0"/>
        <w:widowControl w:val="0"/>
        <w:kinsoku/>
        <w:wordWrap/>
        <w:overflowPunct/>
        <w:topLinePunct w:val="0"/>
        <w:autoSpaceDE/>
        <w:autoSpaceDN/>
        <w:bidi w:val="0"/>
        <w:adjustRightInd/>
        <w:snapToGrid/>
        <w:spacing w:line="560" w:lineRule="exact"/>
        <w:ind w:firstLine="435"/>
        <w:textAlignment w:val="auto"/>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u w:val="single"/>
          <w:lang w:val="en-US" w:eastAsia="zh-CN"/>
        </w:rPr>
        <w:t>定远县幸福东路</w:t>
      </w:r>
    </w:p>
    <w:p w14:paraId="48B491E3">
      <w:pPr>
        <w:keepNext w:val="0"/>
        <w:keepLines w:val="0"/>
        <w:pageBreakBefore w:val="0"/>
        <w:widowControl w:val="0"/>
        <w:kinsoku/>
        <w:wordWrap/>
        <w:overflowPunct/>
        <w:topLinePunct w:val="0"/>
        <w:autoSpaceDE/>
        <w:autoSpaceDN/>
        <w:bidi w:val="0"/>
        <w:adjustRightInd/>
        <w:snapToGrid/>
        <w:spacing w:line="560" w:lineRule="exact"/>
        <w:ind w:firstLine="435"/>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联系人：</w:t>
      </w:r>
      <w:r>
        <w:rPr>
          <w:rFonts w:hint="eastAsia" w:ascii="仿宋" w:hAnsi="仿宋" w:eastAsia="仿宋" w:cs="仿宋"/>
          <w:color w:val="auto"/>
          <w:sz w:val="28"/>
          <w:szCs w:val="28"/>
          <w:highlight w:val="none"/>
          <w:u w:val="single"/>
          <w:lang w:val="en-US" w:eastAsia="zh-CN"/>
        </w:rPr>
        <w:t xml:space="preserve"> 杨主任 </w:t>
      </w:r>
    </w:p>
    <w:p w14:paraId="0295D6C4">
      <w:pPr>
        <w:keepNext w:val="0"/>
        <w:keepLines w:val="0"/>
        <w:pageBreakBefore w:val="0"/>
        <w:widowControl w:val="0"/>
        <w:kinsoku/>
        <w:wordWrap/>
        <w:overflowPunct/>
        <w:topLinePunct w:val="0"/>
        <w:autoSpaceDE/>
        <w:autoSpaceDN/>
        <w:bidi w:val="0"/>
        <w:adjustRightInd/>
        <w:snapToGrid/>
        <w:spacing w:line="560" w:lineRule="exact"/>
        <w:ind w:firstLine="435"/>
        <w:textAlignment w:val="auto"/>
        <w:rPr>
          <w:rFonts w:hint="default" w:ascii="仿宋" w:hAnsi="仿宋" w:eastAsia="仿宋" w:cs="仿宋"/>
          <w:color w:val="auto"/>
          <w:sz w:val="28"/>
          <w:szCs w:val="28"/>
          <w:highlight w:val="none"/>
          <w:lang w:val="en-US"/>
        </w:rPr>
      </w:pPr>
      <w:r>
        <w:rPr>
          <w:rFonts w:hint="eastAsia" w:ascii="仿宋" w:hAnsi="仿宋" w:eastAsia="仿宋" w:cs="仿宋"/>
          <w:color w:val="auto"/>
          <w:sz w:val="28"/>
          <w:szCs w:val="28"/>
          <w:highlight w:val="none"/>
        </w:rPr>
        <w:t>联系</w:t>
      </w:r>
      <w:r>
        <w:rPr>
          <w:rFonts w:hint="eastAsia" w:ascii="仿宋" w:hAnsi="仿宋" w:eastAsia="仿宋" w:cs="仿宋"/>
          <w:color w:val="auto"/>
          <w:sz w:val="28"/>
          <w:szCs w:val="28"/>
          <w:highlight w:val="none"/>
          <w:lang w:val="en-US" w:eastAsia="zh-CN"/>
        </w:rPr>
        <w:t>方式</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lang w:val="en-US" w:eastAsia="zh-CN"/>
        </w:rPr>
        <w:t xml:space="preserve">13955035619 </w:t>
      </w:r>
    </w:p>
    <w:p w14:paraId="3AA7AA74">
      <w:pPr>
        <w:keepNext w:val="0"/>
        <w:keepLines w:val="0"/>
        <w:pageBreakBefore w:val="0"/>
        <w:widowControl w:val="0"/>
        <w:kinsoku/>
        <w:wordWrap/>
        <w:overflowPunct/>
        <w:topLinePunct w:val="0"/>
        <w:autoSpaceDE/>
        <w:autoSpaceDN/>
        <w:bidi w:val="0"/>
        <w:adjustRightInd/>
        <w:snapToGrid/>
        <w:spacing w:line="560" w:lineRule="exact"/>
        <w:ind w:firstLine="437"/>
        <w:textAlignment w:val="auto"/>
        <w:outlineLvl w:val="2"/>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2.采购代理机构</w:t>
      </w:r>
      <w:r>
        <w:rPr>
          <w:rFonts w:hint="eastAsia" w:ascii="仿宋" w:hAnsi="仿宋" w:eastAsia="仿宋" w:cs="仿宋"/>
          <w:color w:val="auto"/>
          <w:sz w:val="28"/>
          <w:szCs w:val="28"/>
          <w:highlight w:val="none"/>
          <w:lang w:val="en-US" w:eastAsia="zh-CN"/>
        </w:rPr>
        <w:t>信息</w:t>
      </w:r>
    </w:p>
    <w:p w14:paraId="57B16E63">
      <w:pPr>
        <w:keepNext w:val="0"/>
        <w:keepLines w:val="0"/>
        <w:pageBreakBefore w:val="0"/>
        <w:widowControl w:val="0"/>
        <w:kinsoku/>
        <w:wordWrap/>
        <w:overflowPunct/>
        <w:topLinePunct w:val="0"/>
        <w:autoSpaceDE/>
        <w:autoSpaceDN/>
        <w:bidi w:val="0"/>
        <w:adjustRightInd/>
        <w:snapToGrid/>
        <w:spacing w:line="560" w:lineRule="exact"/>
        <w:ind w:firstLine="435"/>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名  称：</w:t>
      </w:r>
      <w:r>
        <w:rPr>
          <w:rFonts w:hint="eastAsia" w:ascii="仿宋" w:hAnsi="仿宋" w:eastAsia="仿宋" w:cs="仿宋"/>
          <w:color w:val="auto"/>
          <w:sz w:val="28"/>
          <w:szCs w:val="28"/>
          <w:highlight w:val="none"/>
          <w:u w:val="single"/>
          <w:lang w:val="en-US" w:eastAsia="zh-CN"/>
        </w:rPr>
        <w:t>安徽三辰工程项目管理有限公司</w:t>
      </w:r>
    </w:p>
    <w:p w14:paraId="7D1EADEB">
      <w:pPr>
        <w:keepNext w:val="0"/>
        <w:keepLines w:val="0"/>
        <w:pageBreakBefore w:val="0"/>
        <w:widowControl w:val="0"/>
        <w:kinsoku/>
        <w:wordWrap/>
        <w:overflowPunct/>
        <w:topLinePunct w:val="0"/>
        <w:autoSpaceDE/>
        <w:autoSpaceDN/>
        <w:bidi w:val="0"/>
        <w:adjustRightInd/>
        <w:snapToGrid/>
        <w:spacing w:line="560" w:lineRule="exact"/>
        <w:ind w:firstLine="435"/>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  址：</w:t>
      </w:r>
      <w:r>
        <w:rPr>
          <w:rFonts w:hint="eastAsia" w:ascii="仿宋" w:hAnsi="仿宋" w:eastAsia="仿宋" w:cs="仿宋"/>
          <w:color w:val="auto"/>
          <w:sz w:val="28"/>
          <w:szCs w:val="28"/>
          <w:highlight w:val="none"/>
          <w:u w:val="single"/>
          <w:lang w:val="en-US" w:eastAsia="zh-CN"/>
        </w:rPr>
        <w:t>定远县定城镇长征西路</w:t>
      </w:r>
    </w:p>
    <w:p w14:paraId="74C0B6BC">
      <w:pPr>
        <w:keepNext w:val="0"/>
        <w:keepLines w:val="0"/>
        <w:pageBreakBefore w:val="0"/>
        <w:widowControl w:val="0"/>
        <w:kinsoku/>
        <w:wordWrap/>
        <w:overflowPunct/>
        <w:topLinePunct w:val="0"/>
        <w:autoSpaceDE/>
        <w:autoSpaceDN/>
        <w:bidi w:val="0"/>
        <w:adjustRightInd/>
        <w:snapToGrid/>
        <w:spacing w:line="560" w:lineRule="exact"/>
        <w:ind w:firstLine="435"/>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联系人：</w:t>
      </w:r>
      <w:r>
        <w:rPr>
          <w:rFonts w:hint="eastAsia" w:ascii="仿宋" w:hAnsi="仿宋" w:eastAsia="仿宋" w:cs="仿宋"/>
          <w:color w:val="auto"/>
          <w:sz w:val="28"/>
          <w:szCs w:val="28"/>
          <w:highlight w:val="none"/>
          <w:u w:val="single"/>
          <w:lang w:val="en-US" w:eastAsia="zh-CN"/>
        </w:rPr>
        <w:t>周彬彬</w:t>
      </w:r>
    </w:p>
    <w:p w14:paraId="3FFAAB52">
      <w:pPr>
        <w:keepNext w:val="0"/>
        <w:keepLines w:val="0"/>
        <w:pageBreakBefore w:val="0"/>
        <w:widowControl w:val="0"/>
        <w:kinsoku/>
        <w:wordWrap/>
        <w:overflowPunct/>
        <w:topLinePunct w:val="0"/>
        <w:autoSpaceDE/>
        <w:autoSpaceDN/>
        <w:bidi w:val="0"/>
        <w:adjustRightInd/>
        <w:snapToGrid/>
        <w:spacing w:line="560" w:lineRule="exact"/>
        <w:ind w:firstLine="435"/>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联系方式：</w:t>
      </w:r>
      <w:r>
        <w:rPr>
          <w:rFonts w:hint="eastAsia" w:ascii="仿宋" w:hAnsi="仿宋" w:eastAsia="仿宋" w:cs="仿宋"/>
          <w:color w:val="auto"/>
          <w:sz w:val="28"/>
          <w:szCs w:val="28"/>
          <w:highlight w:val="none"/>
          <w:u w:val="single"/>
          <w:lang w:val="en-US" w:eastAsia="zh-CN"/>
        </w:rPr>
        <w:t>13855066936</w:t>
      </w:r>
    </w:p>
    <w:p w14:paraId="226EB469">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1"/>
        <w:rPr>
          <w:rFonts w:hint="eastAsia" w:ascii="仿宋" w:hAnsi="仿宋" w:eastAsia="仿宋" w:cs="仿宋"/>
          <w:b/>
          <w:bCs/>
          <w:color w:val="auto"/>
          <w:sz w:val="28"/>
          <w:szCs w:val="28"/>
          <w:highlight w:val="none"/>
        </w:rPr>
      </w:pPr>
    </w:p>
    <w:bookmarkEnd w:id="3"/>
    <w:bookmarkEnd w:id="4"/>
    <w:bookmarkEnd w:id="5"/>
    <w:p w14:paraId="69DE98F6">
      <w:pPr>
        <w:keepNext w:val="0"/>
        <w:keepLines w:val="0"/>
        <w:pageBreakBefore w:val="0"/>
        <w:widowControl w:val="0"/>
        <w:kinsoku/>
        <w:wordWrap/>
        <w:overflowPunct/>
        <w:topLinePunct w:val="0"/>
        <w:autoSpaceDE/>
        <w:autoSpaceDN/>
        <w:bidi w:val="0"/>
        <w:adjustRightInd/>
        <w:snapToGrid/>
        <w:spacing w:line="560" w:lineRule="exact"/>
        <w:ind w:firstLine="435"/>
        <w:textAlignment w:val="auto"/>
        <w:rPr>
          <w:color w:val="auto"/>
          <w:sz w:val="24"/>
          <w:szCs w:val="18"/>
          <w:highlight w:val="none"/>
        </w:rPr>
      </w:pPr>
      <w:r>
        <w:rPr>
          <w:color w:val="auto"/>
          <w:sz w:val="24"/>
          <w:szCs w:val="18"/>
          <w:highlight w:val="none"/>
        </w:rPr>
        <w:br w:type="page"/>
      </w:r>
    </w:p>
    <w:p w14:paraId="4FB36FA3">
      <w:pPr>
        <w:spacing w:line="360" w:lineRule="auto"/>
        <w:jc w:val="center"/>
        <w:outlineLvl w:val="0"/>
        <w:rPr>
          <w:rFonts w:asciiTheme="minorEastAsia" w:hAnsiTheme="minorEastAsia" w:eastAsiaTheme="minorEastAsia"/>
          <w:b/>
          <w:color w:val="auto"/>
          <w:sz w:val="28"/>
          <w:highlight w:val="none"/>
        </w:rPr>
      </w:pPr>
      <w:bookmarkStart w:id="6" w:name="_Toc18735"/>
      <w:bookmarkStart w:id="7" w:name="_Toc2632"/>
      <w:r>
        <w:rPr>
          <w:rFonts w:hint="eastAsia" w:asciiTheme="minorEastAsia" w:hAnsiTheme="minorEastAsia" w:eastAsiaTheme="minorEastAsia"/>
          <w:b/>
          <w:color w:val="auto"/>
          <w:sz w:val="28"/>
          <w:highlight w:val="none"/>
        </w:rPr>
        <w:t>第二章</w:t>
      </w:r>
      <w:r>
        <w:rPr>
          <w:rFonts w:asciiTheme="minorEastAsia" w:hAnsiTheme="minorEastAsia" w:eastAsiaTheme="minorEastAsia"/>
          <w:b/>
          <w:color w:val="auto"/>
          <w:sz w:val="28"/>
          <w:highlight w:val="none"/>
        </w:rPr>
        <w:t xml:space="preserve"> </w:t>
      </w:r>
      <w:r>
        <w:rPr>
          <w:rFonts w:hint="eastAsia" w:asciiTheme="minorEastAsia" w:hAnsiTheme="minorEastAsia" w:eastAsiaTheme="minorEastAsia"/>
          <w:b/>
          <w:color w:val="auto"/>
          <w:sz w:val="28"/>
          <w:highlight w:val="none"/>
        </w:rPr>
        <w:t xml:space="preserve"> 供应商</w:t>
      </w:r>
      <w:r>
        <w:rPr>
          <w:rFonts w:asciiTheme="minorEastAsia" w:hAnsiTheme="minorEastAsia" w:eastAsiaTheme="minorEastAsia"/>
          <w:b/>
          <w:color w:val="auto"/>
          <w:sz w:val="28"/>
          <w:highlight w:val="none"/>
        </w:rPr>
        <w:t>须知</w:t>
      </w:r>
      <w:bookmarkEnd w:id="6"/>
      <w:bookmarkEnd w:id="7"/>
    </w:p>
    <w:p w14:paraId="2DE19871">
      <w:pPr>
        <w:spacing w:line="360" w:lineRule="auto"/>
        <w:jc w:val="center"/>
        <w:outlineLvl w:val="1"/>
        <w:rPr>
          <w:rFonts w:asciiTheme="minorEastAsia" w:hAnsiTheme="minorEastAsia" w:eastAsiaTheme="minorEastAsia"/>
          <w:b/>
          <w:color w:val="auto"/>
          <w:sz w:val="24"/>
          <w:highlight w:val="none"/>
        </w:rPr>
      </w:pPr>
      <w:bookmarkStart w:id="8" w:name="_Toc30272"/>
      <w:bookmarkStart w:id="9" w:name="_Toc14562"/>
      <w:bookmarkStart w:id="10" w:name="_Toc8634"/>
      <w:r>
        <w:rPr>
          <w:rFonts w:hint="eastAsia" w:asciiTheme="minorEastAsia" w:hAnsiTheme="minorEastAsia" w:eastAsiaTheme="minorEastAsia"/>
          <w:b/>
          <w:color w:val="auto"/>
          <w:sz w:val="24"/>
          <w:highlight w:val="none"/>
        </w:rPr>
        <w:t>一、供应商</w:t>
      </w:r>
      <w:r>
        <w:rPr>
          <w:rFonts w:asciiTheme="minorEastAsia" w:hAnsiTheme="minorEastAsia" w:eastAsiaTheme="minorEastAsia"/>
          <w:b/>
          <w:color w:val="auto"/>
          <w:sz w:val="24"/>
          <w:highlight w:val="none"/>
        </w:rPr>
        <w:t>须知前附表</w:t>
      </w:r>
      <w:bookmarkEnd w:id="8"/>
      <w:bookmarkEnd w:id="9"/>
      <w:bookmarkEnd w:id="10"/>
    </w:p>
    <w:p w14:paraId="79AC9A9D">
      <w:pPr>
        <w:spacing w:line="360" w:lineRule="auto"/>
        <w:ind w:firstLine="482" w:firstLineChars="200"/>
        <w:rPr>
          <w:color w:val="auto"/>
          <w:sz w:val="24"/>
          <w:szCs w:val="18"/>
          <w:highlight w:val="none"/>
        </w:rPr>
      </w:pPr>
      <w:r>
        <w:rPr>
          <w:rFonts w:hint="eastAsia"/>
          <w:b/>
          <w:bCs/>
          <w:color w:val="auto"/>
          <w:sz w:val="24"/>
          <w:szCs w:val="18"/>
          <w:highlight w:val="none"/>
        </w:rPr>
        <w:t>注：</w:t>
      </w:r>
      <w:r>
        <w:rPr>
          <w:rFonts w:hint="eastAsia"/>
          <w:color w:val="auto"/>
          <w:sz w:val="24"/>
          <w:szCs w:val="18"/>
          <w:highlight w:val="none"/>
        </w:rPr>
        <w:t>本表是本项目的具体要求，是对供应商须知的具体补充和修改，如有不一致，以本表为准。</w:t>
      </w:r>
    </w:p>
    <w:tbl>
      <w:tblPr>
        <w:tblStyle w:val="55"/>
        <w:tblW w:w="51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9"/>
        <w:gridCol w:w="1847"/>
        <w:gridCol w:w="6722"/>
      </w:tblGrid>
      <w:tr w14:paraId="4E579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6CB66042">
            <w:pPr>
              <w:pStyle w:val="75"/>
              <w:widowControl w:val="0"/>
              <w:spacing w:before="0" w:beforeAutospacing="0" w:after="0" w:afterAutospacing="0" w:line="360" w:lineRule="auto"/>
              <w:rPr>
                <w:bCs w:val="0"/>
                <w:color w:val="auto"/>
                <w:kern w:val="2"/>
                <w:sz w:val="24"/>
                <w:szCs w:val="20"/>
                <w:highlight w:val="none"/>
              </w:rPr>
            </w:pPr>
            <w:r>
              <w:rPr>
                <w:rFonts w:hint="eastAsia"/>
                <w:bCs w:val="0"/>
                <w:color w:val="auto"/>
                <w:kern w:val="2"/>
                <w:sz w:val="24"/>
                <w:szCs w:val="20"/>
                <w:highlight w:val="none"/>
              </w:rPr>
              <w:t>条款号</w:t>
            </w:r>
          </w:p>
        </w:tc>
        <w:tc>
          <w:tcPr>
            <w:tcW w:w="977" w:type="pct"/>
            <w:vAlign w:val="center"/>
          </w:tcPr>
          <w:p w14:paraId="1D7E3028">
            <w:pPr>
              <w:pStyle w:val="75"/>
              <w:widowControl w:val="0"/>
              <w:spacing w:before="0" w:beforeAutospacing="0" w:after="0" w:afterAutospacing="0" w:line="360" w:lineRule="auto"/>
              <w:rPr>
                <w:bCs w:val="0"/>
                <w:color w:val="auto"/>
                <w:kern w:val="2"/>
                <w:sz w:val="24"/>
                <w:szCs w:val="20"/>
                <w:highlight w:val="none"/>
              </w:rPr>
            </w:pPr>
            <w:r>
              <w:rPr>
                <w:rFonts w:hint="eastAsia"/>
                <w:bCs w:val="0"/>
                <w:color w:val="auto"/>
                <w:kern w:val="2"/>
                <w:sz w:val="24"/>
                <w:szCs w:val="20"/>
                <w:highlight w:val="none"/>
              </w:rPr>
              <w:t>条款名称</w:t>
            </w:r>
          </w:p>
        </w:tc>
        <w:tc>
          <w:tcPr>
            <w:tcW w:w="3556" w:type="pct"/>
            <w:vAlign w:val="center"/>
          </w:tcPr>
          <w:p w14:paraId="5ACD0367">
            <w:pPr>
              <w:pStyle w:val="75"/>
              <w:widowControl w:val="0"/>
              <w:spacing w:before="0" w:beforeAutospacing="0" w:after="0" w:afterAutospacing="0" w:line="360" w:lineRule="auto"/>
              <w:rPr>
                <w:bCs w:val="0"/>
                <w:color w:val="auto"/>
                <w:kern w:val="2"/>
                <w:sz w:val="24"/>
                <w:szCs w:val="20"/>
                <w:highlight w:val="none"/>
              </w:rPr>
            </w:pPr>
            <w:r>
              <w:rPr>
                <w:rFonts w:hint="eastAsia"/>
                <w:bCs w:val="0"/>
                <w:color w:val="auto"/>
                <w:kern w:val="2"/>
                <w:sz w:val="24"/>
                <w:szCs w:val="20"/>
                <w:highlight w:val="none"/>
              </w:rPr>
              <w:t>内容、说明与要求</w:t>
            </w:r>
          </w:p>
        </w:tc>
      </w:tr>
      <w:tr w14:paraId="4EDCE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6A7CAA4B">
            <w:pPr>
              <w:pStyle w:val="76"/>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eastAsia="zh-CN"/>
              </w:rPr>
            </w:pPr>
            <w:r>
              <w:rPr>
                <w:rFonts w:hint="eastAsia"/>
                <w:bCs/>
                <w:color w:val="auto"/>
                <w:kern w:val="2"/>
                <w:highlight w:val="none"/>
                <w:lang w:val="en-US" w:eastAsia="zh-CN"/>
              </w:rPr>
              <w:t>5</w:t>
            </w:r>
            <w:r>
              <w:rPr>
                <w:bCs/>
                <w:color w:val="auto"/>
                <w:kern w:val="2"/>
                <w:highlight w:val="none"/>
              </w:rPr>
              <w:t>.</w:t>
            </w:r>
            <w:r>
              <w:rPr>
                <w:rFonts w:hint="eastAsia"/>
                <w:bCs/>
                <w:color w:val="auto"/>
                <w:kern w:val="2"/>
                <w:highlight w:val="none"/>
                <w:lang w:val="en-US" w:eastAsia="zh-CN"/>
              </w:rPr>
              <w:t>2</w:t>
            </w:r>
          </w:p>
        </w:tc>
        <w:tc>
          <w:tcPr>
            <w:tcW w:w="1711" w:type="dxa"/>
            <w:vAlign w:val="center"/>
          </w:tcPr>
          <w:p w14:paraId="0585A4EF">
            <w:pPr>
              <w:pStyle w:val="75"/>
              <w:widowControl w:val="0"/>
              <w:spacing w:before="0" w:beforeAutospacing="0" w:after="0" w:afterAutospacing="0" w:line="360" w:lineRule="auto"/>
              <w:jc w:val="left"/>
              <w:rPr>
                <w:b w:val="0"/>
                <w:color w:val="auto"/>
                <w:sz w:val="24"/>
                <w:highlight w:val="none"/>
              </w:rPr>
            </w:pPr>
            <w:r>
              <w:rPr>
                <w:rFonts w:hint="eastAsia" w:ascii="宋体" w:hAnsi="宋体" w:eastAsia="宋体" w:cs="@仿宋_GB2312"/>
                <w:b w:val="0"/>
                <w:bCs/>
                <w:color w:val="auto"/>
                <w:kern w:val="2"/>
                <w:sz w:val="24"/>
                <w:szCs w:val="22"/>
                <w:highlight w:val="none"/>
                <w:lang w:val="en-US" w:eastAsia="zh-CN" w:bidi="ar-SA"/>
              </w:rPr>
              <w:t>现场考察或标前答疑会</w:t>
            </w:r>
          </w:p>
        </w:tc>
        <w:tc>
          <w:tcPr>
            <w:tcW w:w="6229" w:type="dxa"/>
            <w:vAlign w:val="center"/>
          </w:tcPr>
          <w:p w14:paraId="12D52C62">
            <w:pPr>
              <w:spacing w:line="360" w:lineRule="auto"/>
              <w:rPr>
                <w:rFonts w:ascii="宋体" w:hAnsi="宋体" w:eastAsia="宋体"/>
                <w:bCs/>
                <w:color w:val="auto"/>
                <w:sz w:val="24"/>
                <w:highlight w:val="none"/>
              </w:rPr>
            </w:pPr>
            <w:r>
              <w:rPr>
                <w:rFonts w:hint="eastAsia"/>
                <w:bCs/>
                <w:color w:val="auto"/>
                <w:sz w:val="24"/>
                <w:szCs w:val="24"/>
                <w:highlight w:val="none"/>
                <w:lang w:eastAsia="zh-CN"/>
              </w:rPr>
              <w:t>☑</w:t>
            </w:r>
            <w:r>
              <w:rPr>
                <w:rFonts w:hint="eastAsia" w:ascii="宋体" w:hAnsi="宋体" w:eastAsia="宋体"/>
                <w:color w:val="auto"/>
                <w:sz w:val="24"/>
                <w:highlight w:val="none"/>
              </w:rPr>
              <w:t>不组织</w:t>
            </w:r>
            <w:r>
              <w:rPr>
                <w:rFonts w:hint="eastAsia" w:ascii="宋体" w:hAnsi="宋体" w:eastAsia="宋体"/>
                <w:color w:val="auto"/>
                <w:sz w:val="24"/>
                <w:highlight w:val="none"/>
                <w:lang w:val="en-US" w:eastAsia="zh-CN"/>
              </w:rPr>
              <w:t>或不召开</w:t>
            </w:r>
          </w:p>
          <w:p w14:paraId="7413B93F">
            <w:pPr>
              <w:spacing w:line="360" w:lineRule="auto"/>
              <w:rPr>
                <w:rFonts w:ascii="宋体" w:hAnsi="宋体" w:eastAsia="宋体"/>
                <w:bCs/>
                <w:color w:val="auto"/>
                <w:sz w:val="24"/>
                <w:highlight w:val="none"/>
              </w:rPr>
            </w:pPr>
            <w:r>
              <w:rPr>
                <w:rFonts w:hint="eastAsia" w:ascii="宋体" w:hAnsi="宋体" w:eastAsia="宋体"/>
                <w:color w:val="auto"/>
                <w:sz w:val="24"/>
                <w:highlight w:val="none"/>
              </w:rPr>
              <w:t>□</w:t>
            </w:r>
            <w:r>
              <w:rPr>
                <w:rFonts w:hint="eastAsia" w:ascii="宋体" w:hAnsi="宋体" w:eastAsia="宋体"/>
                <w:bCs/>
                <w:color w:val="auto"/>
                <w:sz w:val="24"/>
                <w:highlight w:val="none"/>
              </w:rPr>
              <w:t>统一组织</w:t>
            </w:r>
          </w:p>
          <w:p w14:paraId="376CF5BB">
            <w:pPr>
              <w:spacing w:line="360" w:lineRule="auto"/>
              <w:rPr>
                <w:rFonts w:ascii="宋体" w:hAnsi="宋体" w:eastAsia="宋体"/>
                <w:bCs/>
                <w:color w:val="auto"/>
                <w:sz w:val="24"/>
                <w:highlight w:val="none"/>
                <w:u w:val="single"/>
              </w:rPr>
            </w:pPr>
            <w:r>
              <w:rPr>
                <w:rFonts w:hint="eastAsia" w:ascii="宋体" w:hAnsi="宋体" w:eastAsia="宋体"/>
                <w:bCs/>
                <w:color w:val="auto"/>
                <w:sz w:val="24"/>
                <w:highlight w:val="none"/>
              </w:rPr>
              <w:t>时间：</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rPr>
              <w:t>年</w:t>
            </w:r>
            <w:r>
              <w:rPr>
                <w:rFonts w:hint="eastAsia" w:ascii="宋体" w:hAnsi="宋体" w:eastAsia="宋体"/>
                <w:bCs/>
                <w:color w:val="auto"/>
                <w:sz w:val="24"/>
                <w:highlight w:val="none"/>
                <w:u w:val="single"/>
              </w:rPr>
              <w:t xml:space="preserve"> </w:t>
            </w:r>
            <w:r>
              <w:rPr>
                <w:rFonts w:hint="eastAsia"/>
                <w:bCs/>
                <w:color w:val="auto"/>
                <w:sz w:val="24"/>
                <w:highlight w:val="none"/>
                <w:u w:val="single"/>
                <w:lang w:val="en-US" w:eastAsia="zh-CN"/>
              </w:rPr>
              <w:t xml:space="preserve"> </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rPr>
              <w:t>月</w:t>
            </w:r>
            <w:r>
              <w:rPr>
                <w:rFonts w:hint="eastAsia" w:ascii="宋体" w:hAnsi="宋体" w:eastAsia="宋体"/>
                <w:bCs/>
                <w:color w:val="auto"/>
                <w:sz w:val="24"/>
                <w:highlight w:val="none"/>
                <w:u w:val="single"/>
              </w:rPr>
              <w:t xml:space="preserve"> </w:t>
            </w:r>
            <w:r>
              <w:rPr>
                <w:rFonts w:hint="eastAsia"/>
                <w:bCs/>
                <w:color w:val="auto"/>
                <w:sz w:val="24"/>
                <w:highlight w:val="none"/>
                <w:u w:val="single"/>
                <w:lang w:val="en-US" w:eastAsia="zh-CN"/>
              </w:rPr>
              <w:t xml:space="preserve"> </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rPr>
              <w:t>日</w:t>
            </w:r>
            <w:r>
              <w:rPr>
                <w:rFonts w:hint="eastAsia" w:ascii="宋体" w:hAnsi="宋体" w:eastAsia="宋体"/>
                <w:bCs/>
                <w:color w:val="auto"/>
                <w:sz w:val="24"/>
                <w:highlight w:val="none"/>
                <w:u w:val="single"/>
              </w:rPr>
              <w:t xml:space="preserve"> </w:t>
            </w:r>
            <w:r>
              <w:rPr>
                <w:rFonts w:hint="eastAsia"/>
                <w:bCs/>
                <w:color w:val="auto"/>
                <w:sz w:val="24"/>
                <w:highlight w:val="none"/>
                <w:u w:val="single"/>
                <w:lang w:val="en-US" w:eastAsia="zh-CN"/>
              </w:rPr>
              <w:t xml:space="preserve"> </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rPr>
              <w:t>时</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rPr>
              <w:t>分</w:t>
            </w:r>
          </w:p>
          <w:p w14:paraId="6691DC81">
            <w:pPr>
              <w:spacing w:line="360" w:lineRule="auto"/>
              <w:rPr>
                <w:rFonts w:ascii="宋体" w:hAnsi="宋体" w:eastAsia="宋体"/>
                <w:bCs/>
                <w:color w:val="auto"/>
                <w:sz w:val="24"/>
                <w:highlight w:val="none"/>
                <w:u w:val="single"/>
              </w:rPr>
            </w:pPr>
            <w:r>
              <w:rPr>
                <w:rFonts w:hint="eastAsia" w:ascii="宋体" w:hAnsi="宋体" w:eastAsia="宋体"/>
                <w:bCs/>
                <w:color w:val="auto"/>
                <w:sz w:val="24"/>
                <w:highlight w:val="none"/>
              </w:rPr>
              <w:t>地点：</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p>
          <w:p w14:paraId="04465F16">
            <w:pPr>
              <w:spacing w:line="360" w:lineRule="auto"/>
              <w:rPr>
                <w:rFonts w:ascii="宋体" w:hAnsi="宋体" w:eastAsia="宋体"/>
                <w:bCs/>
                <w:color w:val="auto"/>
                <w:sz w:val="24"/>
                <w:highlight w:val="none"/>
                <w:u w:val="single"/>
              </w:rPr>
            </w:pPr>
            <w:r>
              <w:rPr>
                <w:rFonts w:hint="eastAsia" w:ascii="宋体" w:hAnsi="宋体" w:eastAsia="宋体"/>
                <w:bCs/>
                <w:color w:val="auto"/>
                <w:sz w:val="24"/>
                <w:highlight w:val="none"/>
              </w:rPr>
              <w:t>联系人及联系电话：</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p>
          <w:p w14:paraId="53382D52">
            <w:pPr>
              <w:pStyle w:val="75"/>
              <w:widowControl w:val="0"/>
              <w:spacing w:before="0" w:beforeAutospacing="0" w:after="0" w:afterAutospacing="0" w:line="360" w:lineRule="auto"/>
              <w:jc w:val="both"/>
              <w:rPr>
                <w:color w:val="auto"/>
                <w:sz w:val="24"/>
                <w:highlight w:val="none"/>
              </w:rPr>
            </w:pPr>
            <w:r>
              <w:rPr>
                <w:rFonts w:hint="eastAsia" w:ascii="宋体" w:hAnsi="宋体" w:eastAsia="宋体"/>
                <w:bCs w:val="0"/>
                <w:color w:val="auto"/>
                <w:sz w:val="24"/>
                <w:highlight w:val="none"/>
                <w:lang w:eastAsia="zh-CN"/>
              </w:rPr>
              <w:t>注：</w:t>
            </w:r>
            <w:r>
              <w:rPr>
                <w:rFonts w:hint="eastAsia" w:ascii="宋体" w:hAnsi="宋体" w:eastAsia="宋体"/>
                <w:bCs w:val="0"/>
                <w:color w:val="auto"/>
                <w:sz w:val="24"/>
                <w:highlight w:val="none"/>
              </w:rPr>
              <w:t>如供应商未参加采购人统一组织的现场考察</w:t>
            </w:r>
            <w:r>
              <w:rPr>
                <w:rFonts w:hint="eastAsia" w:ascii="宋体" w:hAnsi="宋体" w:eastAsia="宋体"/>
                <w:bCs w:val="0"/>
                <w:color w:val="auto"/>
                <w:sz w:val="24"/>
                <w:highlight w:val="none"/>
                <w:lang w:val="en-US" w:eastAsia="zh-CN"/>
              </w:rPr>
              <w:t>或采购人统一召开的标前答疑会</w:t>
            </w:r>
            <w:r>
              <w:rPr>
                <w:rFonts w:hint="eastAsia" w:ascii="宋体" w:hAnsi="宋体" w:eastAsia="宋体"/>
                <w:bCs w:val="0"/>
                <w:color w:val="auto"/>
                <w:sz w:val="24"/>
                <w:highlight w:val="none"/>
              </w:rPr>
              <w:t>，视同放弃现场考察</w:t>
            </w:r>
            <w:r>
              <w:rPr>
                <w:rFonts w:hint="eastAsia" w:ascii="宋体" w:hAnsi="宋体" w:eastAsia="宋体"/>
                <w:bCs w:val="0"/>
                <w:color w:val="auto"/>
                <w:sz w:val="24"/>
                <w:highlight w:val="none"/>
                <w:lang w:val="en-US" w:eastAsia="zh-CN"/>
              </w:rPr>
              <w:t>或标前答疑会</w:t>
            </w:r>
            <w:r>
              <w:rPr>
                <w:rFonts w:hint="eastAsia" w:ascii="宋体" w:hAnsi="宋体" w:eastAsia="宋体"/>
                <w:bCs w:val="0"/>
                <w:color w:val="auto"/>
                <w:sz w:val="24"/>
                <w:highlight w:val="none"/>
              </w:rPr>
              <w:t>，由此引起的一切责任由供应商自行承担。</w:t>
            </w:r>
          </w:p>
        </w:tc>
      </w:tr>
      <w:tr w14:paraId="7DAE4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6F40A7CB">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lang w:val="en-US" w:eastAsia="zh-CN"/>
              </w:rPr>
              <w:t>6</w:t>
            </w:r>
            <w:r>
              <w:rPr>
                <w:bCs/>
                <w:color w:val="auto"/>
                <w:kern w:val="2"/>
                <w:highlight w:val="none"/>
              </w:rPr>
              <w:t>.1</w:t>
            </w:r>
          </w:p>
        </w:tc>
        <w:tc>
          <w:tcPr>
            <w:tcW w:w="977" w:type="pct"/>
            <w:vAlign w:val="center"/>
          </w:tcPr>
          <w:p w14:paraId="5D8C420D">
            <w:pPr>
              <w:pStyle w:val="75"/>
              <w:widowControl w:val="0"/>
              <w:spacing w:before="0" w:beforeAutospacing="0" w:after="0" w:afterAutospacing="0" w:line="360" w:lineRule="auto"/>
              <w:jc w:val="left"/>
              <w:rPr>
                <w:b w:val="0"/>
                <w:color w:val="auto"/>
                <w:sz w:val="24"/>
                <w:highlight w:val="none"/>
              </w:rPr>
            </w:pPr>
            <w:r>
              <w:rPr>
                <w:rFonts w:hint="eastAsia"/>
                <w:b w:val="0"/>
                <w:color w:val="auto"/>
                <w:sz w:val="24"/>
                <w:highlight w:val="none"/>
              </w:rPr>
              <w:t>询问截止时间</w:t>
            </w:r>
          </w:p>
        </w:tc>
        <w:tc>
          <w:tcPr>
            <w:tcW w:w="3556" w:type="pct"/>
            <w:vAlign w:val="center"/>
          </w:tcPr>
          <w:p w14:paraId="6241A41B">
            <w:pPr>
              <w:pStyle w:val="75"/>
              <w:widowControl w:val="0"/>
              <w:spacing w:before="0" w:beforeAutospacing="0" w:after="0" w:afterAutospacing="0" w:line="360" w:lineRule="auto"/>
              <w:jc w:val="both"/>
              <w:rPr>
                <w:b w:val="0"/>
                <w:color w:val="auto"/>
                <w:sz w:val="24"/>
                <w:highlight w:val="none"/>
              </w:rPr>
            </w:pPr>
            <w:r>
              <w:rPr>
                <w:b w:val="0"/>
                <w:color w:val="auto"/>
                <w:sz w:val="24"/>
                <w:highlight w:val="none"/>
                <w:u w:val="single"/>
              </w:rPr>
              <w:t xml:space="preserve"> </w:t>
            </w:r>
            <w:r>
              <w:rPr>
                <w:rFonts w:hint="eastAsia"/>
                <w:b w:val="0"/>
                <w:color w:val="auto"/>
                <w:sz w:val="24"/>
                <w:highlight w:val="none"/>
                <w:u w:val="single"/>
                <w:lang w:val="en-US" w:eastAsia="zh-CN"/>
              </w:rPr>
              <w:t>2026</w:t>
            </w:r>
            <w:r>
              <w:rPr>
                <w:b w:val="0"/>
                <w:color w:val="auto"/>
                <w:sz w:val="24"/>
                <w:highlight w:val="none"/>
                <w:u w:val="single"/>
              </w:rPr>
              <w:t xml:space="preserve"> </w:t>
            </w:r>
            <w:r>
              <w:rPr>
                <w:b w:val="0"/>
                <w:color w:val="auto"/>
                <w:sz w:val="24"/>
                <w:highlight w:val="none"/>
              </w:rPr>
              <w:t>年</w:t>
            </w:r>
            <w:r>
              <w:rPr>
                <w:b w:val="0"/>
                <w:color w:val="auto"/>
                <w:sz w:val="24"/>
                <w:highlight w:val="none"/>
                <w:u w:val="single"/>
              </w:rPr>
              <w:t xml:space="preserve"> </w:t>
            </w:r>
            <w:r>
              <w:rPr>
                <w:rFonts w:hint="eastAsia"/>
                <w:b w:val="0"/>
                <w:color w:val="auto"/>
                <w:sz w:val="24"/>
                <w:highlight w:val="none"/>
                <w:u w:val="single"/>
                <w:lang w:val="en-US" w:eastAsia="zh-CN"/>
              </w:rPr>
              <w:t xml:space="preserve">4 </w:t>
            </w:r>
            <w:r>
              <w:rPr>
                <w:b w:val="0"/>
                <w:color w:val="auto"/>
                <w:sz w:val="24"/>
                <w:highlight w:val="none"/>
              </w:rPr>
              <w:t>月</w:t>
            </w:r>
            <w:r>
              <w:rPr>
                <w:b w:val="0"/>
                <w:color w:val="auto"/>
                <w:sz w:val="24"/>
                <w:highlight w:val="none"/>
                <w:u w:val="single"/>
              </w:rPr>
              <w:t xml:space="preserve"> </w:t>
            </w:r>
            <w:r>
              <w:rPr>
                <w:rFonts w:hint="eastAsia"/>
                <w:b w:val="0"/>
                <w:color w:val="auto"/>
                <w:sz w:val="24"/>
                <w:highlight w:val="none"/>
                <w:u w:val="single"/>
                <w:lang w:val="en-US" w:eastAsia="zh-CN"/>
              </w:rPr>
              <w:t xml:space="preserve">17 </w:t>
            </w:r>
            <w:r>
              <w:rPr>
                <w:b w:val="0"/>
                <w:color w:val="auto"/>
                <w:sz w:val="24"/>
                <w:highlight w:val="none"/>
              </w:rPr>
              <w:t>日</w:t>
            </w:r>
            <w:r>
              <w:rPr>
                <w:b w:val="0"/>
                <w:color w:val="auto"/>
                <w:sz w:val="24"/>
                <w:highlight w:val="none"/>
                <w:u w:val="single"/>
              </w:rPr>
              <w:t xml:space="preserve"> </w:t>
            </w:r>
            <w:r>
              <w:rPr>
                <w:rFonts w:hint="eastAsia"/>
                <w:b w:val="0"/>
                <w:color w:val="auto"/>
                <w:sz w:val="24"/>
                <w:highlight w:val="none"/>
                <w:u w:val="single"/>
                <w:lang w:val="en-US" w:eastAsia="zh-CN"/>
              </w:rPr>
              <w:t>17</w:t>
            </w:r>
            <w:r>
              <w:rPr>
                <w:b w:val="0"/>
                <w:color w:val="auto"/>
                <w:sz w:val="24"/>
                <w:highlight w:val="none"/>
                <w:u w:val="single"/>
              </w:rPr>
              <w:t xml:space="preserve"> </w:t>
            </w:r>
            <w:r>
              <w:rPr>
                <w:b w:val="0"/>
                <w:color w:val="auto"/>
                <w:sz w:val="24"/>
                <w:highlight w:val="none"/>
              </w:rPr>
              <w:t>时</w:t>
            </w:r>
            <w:r>
              <w:rPr>
                <w:b w:val="0"/>
                <w:color w:val="auto"/>
                <w:sz w:val="24"/>
                <w:highlight w:val="none"/>
                <w:u w:val="single"/>
              </w:rPr>
              <w:t xml:space="preserve"> </w:t>
            </w:r>
            <w:r>
              <w:rPr>
                <w:rFonts w:hint="eastAsia"/>
                <w:b w:val="0"/>
                <w:color w:val="auto"/>
                <w:sz w:val="24"/>
                <w:highlight w:val="none"/>
                <w:u w:val="single"/>
                <w:lang w:val="en-US" w:eastAsia="zh-CN"/>
              </w:rPr>
              <w:t>00</w:t>
            </w:r>
            <w:r>
              <w:rPr>
                <w:b w:val="0"/>
                <w:color w:val="auto"/>
                <w:sz w:val="24"/>
                <w:highlight w:val="none"/>
                <w:u w:val="single"/>
              </w:rPr>
              <w:t xml:space="preserve"> </w:t>
            </w:r>
            <w:r>
              <w:rPr>
                <w:rFonts w:hint="eastAsia"/>
                <w:b w:val="0"/>
                <w:color w:val="auto"/>
                <w:sz w:val="24"/>
                <w:highlight w:val="none"/>
              </w:rPr>
              <w:t>分</w:t>
            </w:r>
          </w:p>
        </w:tc>
      </w:tr>
      <w:tr w14:paraId="31BB1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jc w:val="center"/>
        </w:trPr>
        <w:tc>
          <w:tcPr>
            <w:tcW w:w="465" w:type="pct"/>
            <w:vAlign w:val="center"/>
          </w:tcPr>
          <w:p w14:paraId="4B76F961">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lang w:val="en-US" w:eastAsia="zh-CN"/>
              </w:rPr>
              <w:t>7</w:t>
            </w:r>
            <w:r>
              <w:rPr>
                <w:bCs/>
                <w:color w:val="auto"/>
                <w:kern w:val="2"/>
                <w:highlight w:val="none"/>
              </w:rPr>
              <w:t>.1</w:t>
            </w:r>
          </w:p>
        </w:tc>
        <w:tc>
          <w:tcPr>
            <w:tcW w:w="977" w:type="pct"/>
            <w:vAlign w:val="center"/>
          </w:tcPr>
          <w:p w14:paraId="6B66D285">
            <w:pPr>
              <w:pStyle w:val="75"/>
              <w:widowControl w:val="0"/>
              <w:spacing w:before="0" w:beforeAutospacing="0" w:after="0" w:afterAutospacing="0" w:line="360" w:lineRule="auto"/>
              <w:jc w:val="left"/>
              <w:rPr>
                <w:b w:val="0"/>
                <w:color w:val="auto"/>
                <w:sz w:val="24"/>
                <w:highlight w:val="none"/>
              </w:rPr>
            </w:pPr>
            <w:r>
              <w:rPr>
                <w:rFonts w:hint="eastAsia"/>
                <w:b w:val="0"/>
                <w:color w:val="auto"/>
                <w:sz w:val="24"/>
                <w:highlight w:val="none"/>
              </w:rPr>
              <w:t>包别划分</w:t>
            </w:r>
          </w:p>
        </w:tc>
        <w:tc>
          <w:tcPr>
            <w:tcW w:w="3556" w:type="pct"/>
            <w:vAlign w:val="center"/>
          </w:tcPr>
          <w:p w14:paraId="151B6F15">
            <w:pPr>
              <w:pStyle w:val="75"/>
              <w:widowControl w:val="0"/>
              <w:spacing w:before="0" w:beforeAutospacing="0" w:after="0" w:afterAutospacing="0" w:line="360" w:lineRule="auto"/>
              <w:jc w:val="both"/>
              <w:rPr>
                <w:b w:val="0"/>
                <w:color w:val="auto"/>
                <w:sz w:val="24"/>
                <w:highlight w:val="none"/>
              </w:rPr>
            </w:pPr>
            <w:r>
              <w:rPr>
                <w:rFonts w:hint="eastAsia"/>
                <w:b w:val="0"/>
                <w:bCs w:val="0"/>
                <w:color w:val="auto"/>
                <w:sz w:val="24"/>
                <w:szCs w:val="24"/>
                <w:highlight w:val="none"/>
                <w:lang w:eastAsia="zh-CN"/>
              </w:rPr>
              <w:t>☑</w:t>
            </w:r>
            <w:r>
              <w:rPr>
                <w:b w:val="0"/>
                <w:color w:val="auto"/>
                <w:sz w:val="24"/>
                <w:highlight w:val="none"/>
              </w:rPr>
              <w:t>不分包     □分为  个包</w:t>
            </w:r>
          </w:p>
          <w:p w14:paraId="330228C5">
            <w:pPr>
              <w:pStyle w:val="75"/>
              <w:widowControl w:val="0"/>
              <w:spacing w:before="0" w:beforeAutospacing="0" w:after="0" w:afterAutospacing="0" w:line="360" w:lineRule="auto"/>
              <w:jc w:val="both"/>
              <w:rPr>
                <w:b w:val="0"/>
                <w:color w:val="auto"/>
                <w:sz w:val="24"/>
                <w:highlight w:val="none"/>
              </w:rPr>
            </w:pPr>
            <w:r>
              <w:rPr>
                <w:rFonts w:hint="eastAsia"/>
                <w:b w:val="0"/>
                <w:bCs w:val="0"/>
                <w:color w:val="auto"/>
                <w:sz w:val="24"/>
                <w:szCs w:val="24"/>
                <w:highlight w:val="none"/>
              </w:rPr>
              <w:t>供应商参加多个包谈判的成交</w:t>
            </w:r>
            <w:r>
              <w:rPr>
                <w:b w:val="0"/>
                <w:bCs w:val="0"/>
                <w:color w:val="auto"/>
                <w:sz w:val="24"/>
                <w:szCs w:val="24"/>
                <w:highlight w:val="none"/>
              </w:rPr>
              <w:t>包</w:t>
            </w:r>
            <w:r>
              <w:rPr>
                <w:rFonts w:hint="eastAsia"/>
                <w:b w:val="0"/>
                <w:bCs w:val="0"/>
                <w:color w:val="auto"/>
                <w:sz w:val="24"/>
                <w:szCs w:val="24"/>
                <w:highlight w:val="none"/>
              </w:rPr>
              <w:t>数规定：</w:t>
            </w:r>
            <w:r>
              <w:rPr>
                <w:rFonts w:hint="eastAsia"/>
                <w:b w:val="0"/>
                <w:bCs w:val="0"/>
                <w:color w:val="auto"/>
                <w:sz w:val="24"/>
                <w:szCs w:val="18"/>
                <w:highlight w:val="none"/>
                <w:u w:val="single"/>
              </w:rPr>
              <w:t xml:space="preserve"> </w:t>
            </w:r>
            <w:r>
              <w:rPr>
                <w:b w:val="0"/>
                <w:bCs w:val="0"/>
                <w:color w:val="auto"/>
                <w:sz w:val="24"/>
                <w:szCs w:val="18"/>
                <w:highlight w:val="none"/>
                <w:u w:val="single"/>
              </w:rPr>
              <w:t xml:space="preserve">     </w:t>
            </w:r>
            <w:r>
              <w:rPr>
                <w:rFonts w:hint="eastAsia"/>
                <w:b w:val="0"/>
                <w:bCs w:val="0"/>
                <w:color w:val="auto"/>
                <w:sz w:val="24"/>
                <w:szCs w:val="18"/>
                <w:highlight w:val="none"/>
                <w:u w:val="single"/>
                <w:lang w:val="en-US" w:eastAsia="zh-CN"/>
              </w:rPr>
              <w:t>/</w:t>
            </w:r>
            <w:r>
              <w:rPr>
                <w:b w:val="0"/>
                <w:bCs w:val="0"/>
                <w:color w:val="auto"/>
                <w:sz w:val="24"/>
                <w:szCs w:val="18"/>
                <w:highlight w:val="none"/>
                <w:u w:val="single"/>
              </w:rPr>
              <w:t xml:space="preserve">       </w:t>
            </w:r>
          </w:p>
        </w:tc>
      </w:tr>
      <w:tr w14:paraId="1C322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465" w:type="pct"/>
            <w:vAlign w:val="center"/>
          </w:tcPr>
          <w:p w14:paraId="6A587C74">
            <w:pPr>
              <w:pStyle w:val="76"/>
              <w:pBdr>
                <w:bottom w:val="none" w:color="auto" w:sz="0" w:space="0"/>
              </w:pBdr>
              <w:tabs>
                <w:tab w:val="clear" w:pos="4153"/>
                <w:tab w:val="clear" w:pos="8306"/>
              </w:tabs>
              <w:adjustRightInd/>
              <w:spacing w:line="240" w:lineRule="auto"/>
              <w:textAlignment w:val="auto"/>
              <w:rPr>
                <w:bCs/>
                <w:color w:val="auto"/>
                <w:kern w:val="2"/>
                <w:highlight w:val="none"/>
              </w:rPr>
            </w:pPr>
            <w:r>
              <w:rPr>
                <w:rFonts w:hint="eastAsia"/>
                <w:bCs/>
                <w:color w:val="auto"/>
                <w:kern w:val="2"/>
                <w:highlight w:val="none"/>
              </w:rPr>
              <w:t>1</w:t>
            </w:r>
            <w:r>
              <w:rPr>
                <w:rFonts w:hint="eastAsia"/>
                <w:bCs/>
                <w:color w:val="auto"/>
                <w:kern w:val="2"/>
                <w:highlight w:val="none"/>
                <w:lang w:val="en-US" w:eastAsia="zh-CN"/>
              </w:rPr>
              <w:t>0</w:t>
            </w:r>
            <w:r>
              <w:rPr>
                <w:bCs/>
                <w:color w:val="auto"/>
                <w:kern w:val="2"/>
                <w:highlight w:val="none"/>
              </w:rPr>
              <w:t>.1</w:t>
            </w:r>
          </w:p>
        </w:tc>
        <w:tc>
          <w:tcPr>
            <w:tcW w:w="977" w:type="pct"/>
            <w:vAlign w:val="center"/>
          </w:tcPr>
          <w:p w14:paraId="2489F435">
            <w:pPr>
              <w:pStyle w:val="75"/>
              <w:widowControl w:val="0"/>
              <w:spacing w:before="0" w:beforeAutospacing="0" w:after="0" w:afterAutospacing="0" w:line="360" w:lineRule="auto"/>
              <w:jc w:val="left"/>
              <w:rPr>
                <w:b w:val="0"/>
                <w:color w:val="auto"/>
                <w:sz w:val="24"/>
                <w:highlight w:val="none"/>
              </w:rPr>
            </w:pPr>
            <w:r>
              <w:rPr>
                <w:rFonts w:hint="eastAsia"/>
                <w:b w:val="0"/>
                <w:color w:val="auto"/>
                <w:sz w:val="24"/>
                <w:highlight w:val="none"/>
              </w:rPr>
              <w:t>谈判保证金</w:t>
            </w:r>
          </w:p>
        </w:tc>
        <w:tc>
          <w:tcPr>
            <w:tcW w:w="3556" w:type="pct"/>
            <w:vAlign w:val="center"/>
          </w:tcPr>
          <w:p w14:paraId="2151F08D">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不收取</w:t>
            </w:r>
          </w:p>
        </w:tc>
      </w:tr>
      <w:tr w14:paraId="17D72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6B94835C">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rPr>
              <w:t>1</w:t>
            </w:r>
            <w:r>
              <w:rPr>
                <w:rFonts w:hint="eastAsia"/>
                <w:bCs/>
                <w:color w:val="auto"/>
                <w:kern w:val="2"/>
                <w:highlight w:val="none"/>
                <w:lang w:val="en-US" w:eastAsia="zh-CN"/>
              </w:rPr>
              <w:t>1</w:t>
            </w:r>
            <w:r>
              <w:rPr>
                <w:bCs/>
                <w:color w:val="auto"/>
                <w:kern w:val="2"/>
                <w:highlight w:val="none"/>
              </w:rPr>
              <w:t>.1</w:t>
            </w:r>
          </w:p>
        </w:tc>
        <w:tc>
          <w:tcPr>
            <w:tcW w:w="977" w:type="pct"/>
            <w:vAlign w:val="center"/>
          </w:tcPr>
          <w:p w14:paraId="374DCCD7">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谈判有效期</w:t>
            </w:r>
          </w:p>
        </w:tc>
        <w:tc>
          <w:tcPr>
            <w:tcW w:w="3556" w:type="pct"/>
            <w:vAlign w:val="center"/>
          </w:tcPr>
          <w:p w14:paraId="20E7EE45">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u w:val="single"/>
              </w:rPr>
              <w:t xml:space="preserve"> </w:t>
            </w:r>
            <w:r>
              <w:rPr>
                <w:rFonts w:hint="eastAsia"/>
                <w:b w:val="0"/>
                <w:color w:val="auto"/>
                <w:sz w:val="24"/>
                <w:highlight w:val="none"/>
                <w:u w:val="single"/>
                <w:lang w:val="en-US" w:eastAsia="zh-CN"/>
              </w:rPr>
              <w:t>90</w:t>
            </w:r>
            <w:r>
              <w:rPr>
                <w:rFonts w:hint="eastAsia"/>
                <w:b w:val="0"/>
                <w:color w:val="auto"/>
                <w:sz w:val="24"/>
                <w:highlight w:val="none"/>
                <w:u w:val="single"/>
              </w:rPr>
              <w:t xml:space="preserve"> </w:t>
            </w:r>
            <w:r>
              <w:rPr>
                <w:rFonts w:hint="eastAsia"/>
                <w:b w:val="0"/>
                <w:color w:val="auto"/>
                <w:sz w:val="24"/>
                <w:highlight w:val="none"/>
              </w:rPr>
              <w:t>日历日</w:t>
            </w:r>
          </w:p>
        </w:tc>
      </w:tr>
      <w:tr w14:paraId="543E3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359AA7DD">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rPr>
              <w:t>1</w:t>
            </w:r>
            <w:r>
              <w:rPr>
                <w:rFonts w:hint="eastAsia"/>
                <w:bCs/>
                <w:color w:val="auto"/>
                <w:kern w:val="2"/>
                <w:highlight w:val="none"/>
                <w:lang w:val="en-US" w:eastAsia="zh-CN"/>
              </w:rPr>
              <w:t>2</w:t>
            </w:r>
            <w:r>
              <w:rPr>
                <w:bCs/>
                <w:color w:val="auto"/>
                <w:kern w:val="2"/>
                <w:highlight w:val="none"/>
              </w:rPr>
              <w:t>.3</w:t>
            </w:r>
          </w:p>
        </w:tc>
        <w:tc>
          <w:tcPr>
            <w:tcW w:w="1711" w:type="dxa"/>
            <w:vAlign w:val="center"/>
          </w:tcPr>
          <w:p w14:paraId="7D289C5C">
            <w:pPr>
              <w:pStyle w:val="75"/>
              <w:widowControl w:val="0"/>
              <w:spacing w:before="0" w:beforeAutospacing="0" w:after="0" w:afterAutospacing="0" w:line="360" w:lineRule="auto"/>
              <w:jc w:val="both"/>
              <w:rPr>
                <w:b w:val="0"/>
                <w:color w:val="auto"/>
                <w:sz w:val="24"/>
                <w:highlight w:val="none"/>
              </w:rPr>
            </w:pPr>
            <w:r>
              <w:rPr>
                <w:rFonts w:hint="eastAsia" w:ascii="宋体" w:hAnsi="宋体" w:eastAsia="宋体"/>
                <w:b w:val="0"/>
                <w:color w:val="auto"/>
                <w:sz w:val="24"/>
                <w:highlight w:val="none"/>
              </w:rPr>
              <w:t>响应文件</w:t>
            </w:r>
            <w:r>
              <w:rPr>
                <w:rFonts w:hint="eastAsia" w:ascii="宋体" w:hAnsi="宋体" w:eastAsia="宋体"/>
                <w:b w:val="0"/>
                <w:color w:val="auto"/>
                <w:sz w:val="24"/>
                <w:highlight w:val="none"/>
                <w:lang w:val="en-US" w:eastAsia="zh-CN"/>
              </w:rPr>
              <w:t>份数</w:t>
            </w:r>
          </w:p>
        </w:tc>
        <w:tc>
          <w:tcPr>
            <w:tcW w:w="6229" w:type="dxa"/>
            <w:vAlign w:val="center"/>
          </w:tcPr>
          <w:p w14:paraId="5400C32C">
            <w:pPr>
              <w:pStyle w:val="75"/>
              <w:widowControl w:val="0"/>
              <w:spacing w:before="0" w:beforeAutospacing="0" w:after="0" w:afterAutospacing="0" w:line="360" w:lineRule="auto"/>
              <w:jc w:val="both"/>
              <w:rPr>
                <w:b w:val="0"/>
                <w:color w:val="auto"/>
                <w:sz w:val="24"/>
                <w:highlight w:val="none"/>
                <w:u w:val="single"/>
              </w:rPr>
            </w:pPr>
            <w:r>
              <w:rPr>
                <w:rFonts w:hint="eastAsia" w:ascii="宋体" w:hAnsi="宋体" w:eastAsia="宋体"/>
                <w:b/>
                <w:bCs w:val="0"/>
                <w:color w:val="auto"/>
                <w:sz w:val="24"/>
                <w:highlight w:val="none"/>
                <w:u w:val="single"/>
                <w:lang w:val="en-US" w:eastAsia="zh-CN"/>
              </w:rPr>
              <w:t>1正2副，密封在一个密封袋中即可</w:t>
            </w:r>
          </w:p>
        </w:tc>
      </w:tr>
      <w:tr w14:paraId="48360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2C49F971">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rPr>
              <w:t>1</w:t>
            </w:r>
            <w:r>
              <w:rPr>
                <w:rFonts w:hint="eastAsia"/>
                <w:bCs/>
                <w:color w:val="auto"/>
                <w:kern w:val="2"/>
                <w:highlight w:val="none"/>
                <w:lang w:val="en-US" w:eastAsia="zh-CN"/>
              </w:rPr>
              <w:t>4</w:t>
            </w:r>
            <w:r>
              <w:rPr>
                <w:rFonts w:hint="eastAsia"/>
                <w:bCs/>
                <w:color w:val="auto"/>
                <w:kern w:val="2"/>
                <w:highlight w:val="none"/>
              </w:rPr>
              <w:t>.3</w:t>
            </w:r>
          </w:p>
        </w:tc>
        <w:tc>
          <w:tcPr>
            <w:tcW w:w="977" w:type="pct"/>
            <w:vAlign w:val="center"/>
          </w:tcPr>
          <w:p w14:paraId="4BBCCF21">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评审方法</w:t>
            </w:r>
          </w:p>
        </w:tc>
        <w:tc>
          <w:tcPr>
            <w:tcW w:w="3556" w:type="pct"/>
            <w:vAlign w:val="center"/>
          </w:tcPr>
          <w:p w14:paraId="673161C6">
            <w:pPr>
              <w:pStyle w:val="75"/>
              <w:widowControl w:val="0"/>
              <w:spacing w:before="0" w:beforeAutospacing="0" w:after="0" w:afterAutospacing="0" w:line="360" w:lineRule="auto"/>
              <w:jc w:val="both"/>
              <w:rPr>
                <w:b w:val="0"/>
                <w:color w:val="auto"/>
                <w:sz w:val="24"/>
                <w:highlight w:val="none"/>
              </w:rPr>
            </w:pPr>
            <w:r>
              <w:rPr>
                <w:rFonts w:hint="eastAsia"/>
                <w:b/>
                <w:bCs w:val="0"/>
                <w:color w:val="auto"/>
                <w:sz w:val="24"/>
                <w:highlight w:val="none"/>
                <w:u w:val="none"/>
              </w:rPr>
              <w:t>最低评标价法</w:t>
            </w:r>
          </w:p>
        </w:tc>
      </w:tr>
      <w:tr w14:paraId="596E0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0329B405">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lang w:val="en-US" w:eastAsia="zh-CN"/>
              </w:rPr>
              <w:t>17</w:t>
            </w:r>
            <w:r>
              <w:rPr>
                <w:bCs/>
                <w:color w:val="auto"/>
                <w:kern w:val="2"/>
                <w:highlight w:val="none"/>
              </w:rPr>
              <w:t>.</w:t>
            </w:r>
            <w:r>
              <w:rPr>
                <w:rFonts w:hint="eastAsia"/>
                <w:bCs/>
                <w:color w:val="auto"/>
                <w:kern w:val="2"/>
                <w:highlight w:val="none"/>
              </w:rPr>
              <w:t>4</w:t>
            </w:r>
          </w:p>
        </w:tc>
        <w:tc>
          <w:tcPr>
            <w:tcW w:w="977" w:type="pct"/>
            <w:vAlign w:val="center"/>
          </w:tcPr>
          <w:p w14:paraId="6D203835">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最后报价扣除</w:t>
            </w:r>
          </w:p>
          <w:p w14:paraId="588AA1E1">
            <w:pPr>
              <w:pStyle w:val="75"/>
              <w:widowControl w:val="0"/>
              <w:spacing w:before="0" w:beforeAutospacing="0" w:after="0" w:afterAutospacing="0" w:line="360" w:lineRule="auto"/>
              <w:jc w:val="both"/>
              <w:rPr>
                <w:b w:val="0"/>
                <w:color w:val="auto"/>
                <w:sz w:val="24"/>
                <w:highlight w:val="none"/>
              </w:rPr>
            </w:pPr>
            <w:r>
              <w:rPr>
                <w:rFonts w:hint="eastAsia"/>
                <w:b w:val="0"/>
                <w:i/>
                <w:color w:val="auto"/>
                <w:sz w:val="24"/>
                <w:highlight w:val="none"/>
              </w:rPr>
              <w:t>（非专门面向中小企业采购项目适用）</w:t>
            </w:r>
          </w:p>
        </w:tc>
        <w:tc>
          <w:tcPr>
            <w:tcW w:w="3556" w:type="pct"/>
            <w:vAlign w:val="center"/>
          </w:tcPr>
          <w:p w14:paraId="480BEA69">
            <w:pPr>
              <w:pStyle w:val="75"/>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（1）</w:t>
            </w:r>
            <w:r>
              <w:rPr>
                <w:rFonts w:ascii="宋体" w:hAnsi="宋体" w:eastAsia="宋体"/>
                <w:b w:val="0"/>
                <w:color w:val="auto"/>
                <w:sz w:val="24"/>
                <w:highlight w:val="none"/>
              </w:rPr>
              <w:t>小型和微型</w:t>
            </w:r>
            <w:r>
              <w:rPr>
                <w:rFonts w:hint="eastAsia" w:ascii="宋体" w:hAnsi="宋体" w:eastAsia="宋体"/>
                <w:b w:val="0"/>
                <w:color w:val="auto"/>
                <w:sz w:val="24"/>
                <w:highlight w:val="none"/>
              </w:rPr>
              <w:t>企业价格扣除：</w:t>
            </w:r>
            <w:r>
              <w:rPr>
                <w:rFonts w:hint="eastAsia" w:ascii="宋体" w:hAnsi="宋体" w:eastAsia="宋体"/>
                <w:b w:val="0"/>
                <w:color w:val="auto"/>
                <w:sz w:val="24"/>
                <w:highlight w:val="none"/>
                <w:u w:val="single"/>
                <w:lang w:val="en-US" w:eastAsia="zh-CN"/>
              </w:rPr>
              <w:t xml:space="preserve">    </w:t>
            </w:r>
            <w:r>
              <w:rPr>
                <w:rFonts w:hint="eastAsia"/>
                <w:b w:val="0"/>
                <w:color w:val="auto"/>
                <w:sz w:val="24"/>
                <w:highlight w:val="none"/>
                <w:u w:val="single"/>
                <w:lang w:val="en-US" w:eastAsia="zh-CN"/>
              </w:rPr>
              <w:t>/</w:t>
            </w:r>
            <w:r>
              <w:rPr>
                <w:rFonts w:hint="eastAsia" w:ascii="宋体" w:hAnsi="宋体" w:eastAsia="宋体"/>
                <w:b w:val="0"/>
                <w:color w:val="auto"/>
                <w:sz w:val="24"/>
                <w:highlight w:val="none"/>
                <w:u w:val="single"/>
                <w:lang w:val="en-US" w:eastAsia="zh-CN"/>
              </w:rPr>
              <w:t xml:space="preserve">    </w:t>
            </w:r>
            <w:r>
              <w:rPr>
                <w:rFonts w:hint="eastAsia" w:ascii="宋体" w:hAnsi="宋体" w:eastAsia="宋体"/>
                <w:b w:val="0"/>
                <w:color w:val="auto"/>
                <w:sz w:val="24"/>
                <w:highlight w:val="none"/>
              </w:rPr>
              <w:t>。</w:t>
            </w:r>
          </w:p>
          <w:p w14:paraId="29F3CB9D">
            <w:pPr>
              <w:pStyle w:val="75"/>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（2）监狱企业价格扣除：</w:t>
            </w:r>
            <w:r>
              <w:rPr>
                <w:rFonts w:hint="eastAsia" w:ascii="宋体" w:hAnsi="宋体" w:eastAsia="宋体"/>
                <w:b w:val="0"/>
                <w:color w:val="auto"/>
                <w:sz w:val="24"/>
                <w:highlight w:val="none"/>
                <w:u w:val="none"/>
              </w:rPr>
              <w:t>同</w:t>
            </w:r>
            <w:r>
              <w:rPr>
                <w:rFonts w:ascii="宋体" w:hAnsi="宋体" w:eastAsia="宋体"/>
                <w:b w:val="0"/>
                <w:color w:val="auto"/>
                <w:sz w:val="24"/>
                <w:highlight w:val="none"/>
                <w:u w:val="none"/>
              </w:rPr>
              <w:t>小型和微型企业</w:t>
            </w:r>
            <w:r>
              <w:rPr>
                <w:rFonts w:hint="eastAsia" w:ascii="宋体" w:hAnsi="宋体" w:eastAsia="宋体"/>
                <w:b w:val="0"/>
                <w:color w:val="auto"/>
                <w:sz w:val="24"/>
                <w:highlight w:val="none"/>
              </w:rPr>
              <w:t>。</w:t>
            </w:r>
          </w:p>
          <w:p w14:paraId="750FEF8B">
            <w:pPr>
              <w:pStyle w:val="75"/>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（3）残疾人福利性单位价格扣除：</w:t>
            </w:r>
            <w:r>
              <w:rPr>
                <w:rFonts w:hint="eastAsia" w:ascii="宋体" w:hAnsi="宋体" w:eastAsia="宋体"/>
                <w:b w:val="0"/>
                <w:color w:val="auto"/>
                <w:sz w:val="24"/>
                <w:highlight w:val="none"/>
                <w:u w:val="none"/>
              </w:rPr>
              <w:t>同</w:t>
            </w:r>
            <w:r>
              <w:rPr>
                <w:rFonts w:ascii="宋体" w:hAnsi="宋体" w:eastAsia="宋体"/>
                <w:b w:val="0"/>
                <w:color w:val="auto"/>
                <w:sz w:val="24"/>
                <w:highlight w:val="none"/>
                <w:u w:val="none"/>
              </w:rPr>
              <w:t>小型和微型企业</w:t>
            </w:r>
            <w:r>
              <w:rPr>
                <w:rFonts w:hint="eastAsia" w:ascii="宋体" w:hAnsi="宋体" w:eastAsia="宋体"/>
                <w:b w:val="0"/>
                <w:color w:val="auto"/>
                <w:sz w:val="24"/>
                <w:highlight w:val="none"/>
              </w:rPr>
              <w:t>。</w:t>
            </w:r>
          </w:p>
          <w:p w14:paraId="60161C89">
            <w:pPr>
              <w:pStyle w:val="75"/>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（4）符合条件的联合体价格扣除：</w:t>
            </w:r>
            <w:r>
              <w:rPr>
                <w:rFonts w:hint="eastAsia" w:ascii="宋体" w:hAnsi="宋体" w:eastAsia="宋体"/>
                <w:b w:val="0"/>
                <w:color w:val="auto"/>
                <w:sz w:val="24"/>
                <w:highlight w:val="none"/>
                <w:u w:val="single"/>
                <w:lang w:val="en-US" w:eastAsia="zh-CN"/>
              </w:rPr>
              <w:t xml:space="preserve">   </w:t>
            </w:r>
            <w:r>
              <w:rPr>
                <w:rFonts w:hint="eastAsia"/>
                <w:b w:val="0"/>
                <w:color w:val="auto"/>
                <w:sz w:val="24"/>
                <w:highlight w:val="none"/>
                <w:u w:val="single"/>
                <w:lang w:val="en-US" w:eastAsia="zh-CN"/>
              </w:rPr>
              <w:t>/</w:t>
            </w:r>
            <w:r>
              <w:rPr>
                <w:rFonts w:hint="eastAsia" w:ascii="宋体" w:hAnsi="宋体" w:eastAsia="宋体"/>
                <w:b w:val="0"/>
                <w:color w:val="auto"/>
                <w:sz w:val="24"/>
                <w:highlight w:val="none"/>
                <w:u w:val="single"/>
                <w:lang w:val="en-US" w:eastAsia="zh-CN"/>
              </w:rPr>
              <w:t xml:space="preserve">     </w:t>
            </w:r>
            <w:r>
              <w:rPr>
                <w:rFonts w:hint="eastAsia" w:ascii="宋体" w:hAnsi="宋体" w:eastAsia="宋体"/>
                <w:b w:val="0"/>
                <w:color w:val="auto"/>
                <w:sz w:val="24"/>
                <w:highlight w:val="none"/>
              </w:rPr>
              <w:t>。</w:t>
            </w:r>
          </w:p>
          <w:p w14:paraId="020234F3">
            <w:pPr>
              <w:pStyle w:val="75"/>
              <w:widowControl w:val="0"/>
              <w:spacing w:before="0" w:beforeAutospacing="0" w:after="0" w:afterAutospacing="0" w:line="360" w:lineRule="auto"/>
              <w:jc w:val="both"/>
              <w:rPr>
                <w:rFonts w:hint="eastAsia" w:ascii="宋体" w:hAnsi="宋体" w:eastAsia="宋体"/>
                <w:b w:val="0"/>
                <w:color w:val="auto"/>
                <w:sz w:val="24"/>
                <w:highlight w:val="none"/>
              </w:rPr>
            </w:pPr>
            <w:r>
              <w:rPr>
                <w:rFonts w:hint="eastAsia" w:ascii="宋体" w:hAnsi="宋体" w:eastAsia="宋体"/>
                <w:b w:val="0"/>
                <w:color w:val="auto"/>
                <w:sz w:val="24"/>
                <w:highlight w:val="none"/>
              </w:rPr>
              <w:t>（5）符合条件的向小微企业分包的大中型企业价格扣除：</w:t>
            </w:r>
          </w:p>
          <w:p w14:paraId="0E2EA4A9">
            <w:pPr>
              <w:pStyle w:val="75"/>
              <w:widowControl w:val="0"/>
              <w:spacing w:before="0" w:beforeAutospacing="0" w:after="0" w:afterAutospacing="0" w:line="360" w:lineRule="auto"/>
              <w:jc w:val="both"/>
              <w:rPr>
                <w:b w:val="0"/>
                <w:color w:val="auto"/>
                <w:sz w:val="24"/>
                <w:highlight w:val="none"/>
              </w:rPr>
            </w:pPr>
            <w:r>
              <w:rPr>
                <w:rFonts w:hint="eastAsia" w:ascii="宋体" w:hAnsi="宋体" w:eastAsia="宋体"/>
                <w:b w:val="0"/>
                <w:color w:val="auto"/>
                <w:sz w:val="24"/>
                <w:highlight w:val="none"/>
                <w:u w:val="single"/>
                <w:lang w:val="en-US" w:eastAsia="zh-CN"/>
              </w:rPr>
              <w:t xml:space="preserve">   </w:t>
            </w:r>
            <w:r>
              <w:rPr>
                <w:rFonts w:hint="eastAsia"/>
                <w:b w:val="0"/>
                <w:color w:val="auto"/>
                <w:sz w:val="24"/>
                <w:highlight w:val="none"/>
                <w:u w:val="single"/>
                <w:lang w:val="en-US" w:eastAsia="zh-CN"/>
              </w:rPr>
              <w:t>/</w:t>
            </w:r>
            <w:r>
              <w:rPr>
                <w:rFonts w:hint="eastAsia" w:ascii="宋体" w:hAnsi="宋体" w:eastAsia="宋体"/>
                <w:b w:val="0"/>
                <w:color w:val="auto"/>
                <w:sz w:val="24"/>
                <w:highlight w:val="none"/>
                <w:u w:val="single"/>
                <w:lang w:val="en-US" w:eastAsia="zh-CN"/>
              </w:rPr>
              <w:t xml:space="preserve">  </w:t>
            </w:r>
            <w:r>
              <w:rPr>
                <w:rFonts w:hint="eastAsia" w:ascii="宋体" w:hAnsi="宋体" w:eastAsia="宋体"/>
                <w:b w:val="0"/>
                <w:color w:val="auto"/>
                <w:sz w:val="24"/>
                <w:highlight w:val="none"/>
              </w:rPr>
              <w:t>。</w:t>
            </w:r>
            <w:r>
              <w:rPr>
                <w:rFonts w:hint="eastAsia" w:ascii="宋体" w:hAnsi="宋体" w:eastAsia="宋体"/>
                <w:b w:val="0"/>
                <w:i/>
                <w:color w:val="auto"/>
                <w:sz w:val="24"/>
                <w:highlight w:val="none"/>
              </w:rPr>
              <w:t>（允许大中型企业向小微企业分包的项目适用）</w:t>
            </w:r>
          </w:p>
        </w:tc>
      </w:tr>
      <w:tr w14:paraId="2385F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Merge w:val="restart"/>
            <w:vAlign w:val="center"/>
          </w:tcPr>
          <w:p w14:paraId="036A30B3">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lang w:val="en-US" w:eastAsia="zh-CN"/>
              </w:rPr>
              <w:t>19</w:t>
            </w:r>
            <w:r>
              <w:rPr>
                <w:bCs/>
                <w:color w:val="auto"/>
                <w:kern w:val="2"/>
                <w:highlight w:val="none"/>
              </w:rPr>
              <w:t>.</w:t>
            </w:r>
            <w:r>
              <w:rPr>
                <w:rFonts w:hint="eastAsia"/>
                <w:bCs/>
                <w:color w:val="auto"/>
                <w:kern w:val="2"/>
                <w:highlight w:val="none"/>
              </w:rPr>
              <w:t>1</w:t>
            </w:r>
          </w:p>
        </w:tc>
        <w:tc>
          <w:tcPr>
            <w:tcW w:w="977" w:type="pct"/>
            <w:vMerge w:val="restart"/>
            <w:vAlign w:val="center"/>
          </w:tcPr>
          <w:p w14:paraId="745BA677">
            <w:pPr>
              <w:pStyle w:val="75"/>
              <w:widowControl w:val="0"/>
              <w:spacing w:before="0" w:beforeAutospacing="0" w:after="0" w:afterAutospacing="0" w:line="360" w:lineRule="auto"/>
              <w:jc w:val="both"/>
              <w:rPr>
                <w:b w:val="0"/>
                <w:color w:val="auto"/>
                <w:sz w:val="24"/>
                <w:highlight w:val="none"/>
              </w:rPr>
            </w:pPr>
            <w:r>
              <w:rPr>
                <w:rFonts w:hint="eastAsia" w:asciiTheme="minorEastAsia" w:hAnsiTheme="minorEastAsia" w:eastAsiaTheme="minorEastAsia"/>
                <w:b w:val="0"/>
                <w:color w:val="auto"/>
                <w:sz w:val="24"/>
                <w:highlight w:val="none"/>
              </w:rPr>
              <w:t>确定成交候选供应商和成交供应商</w:t>
            </w:r>
          </w:p>
        </w:tc>
        <w:tc>
          <w:tcPr>
            <w:tcW w:w="3556" w:type="pct"/>
            <w:vAlign w:val="center"/>
          </w:tcPr>
          <w:p w14:paraId="62AEAFF2">
            <w:pPr>
              <w:pStyle w:val="75"/>
              <w:widowControl w:val="0"/>
              <w:spacing w:before="0" w:beforeAutospacing="0" w:after="0" w:afterAutospacing="0" w:line="360" w:lineRule="auto"/>
              <w:jc w:val="both"/>
              <w:rPr>
                <w:rFonts w:hint="eastAsia" w:ascii="宋体" w:hAnsi="宋体" w:eastAsia="宋体"/>
                <w:b w:val="0"/>
                <w:color w:val="auto"/>
                <w:sz w:val="24"/>
                <w:highlight w:val="none"/>
                <w:lang w:val="en-US" w:eastAsia="zh-CN"/>
              </w:rPr>
            </w:pPr>
            <w:r>
              <w:rPr>
                <w:rFonts w:hint="eastAsia"/>
                <w:b w:val="0"/>
                <w:color w:val="auto"/>
                <w:sz w:val="24"/>
                <w:highlight w:val="none"/>
              </w:rPr>
              <w:t>谈判小组推荐成交</w:t>
            </w:r>
            <w:r>
              <w:rPr>
                <w:b w:val="0"/>
                <w:color w:val="auto"/>
                <w:sz w:val="24"/>
                <w:highlight w:val="none"/>
              </w:rPr>
              <w:t>候选</w:t>
            </w:r>
            <w:r>
              <w:rPr>
                <w:rFonts w:hint="eastAsia"/>
                <w:b w:val="0"/>
                <w:color w:val="auto"/>
                <w:sz w:val="24"/>
                <w:highlight w:val="none"/>
              </w:rPr>
              <w:t>供应商的</w:t>
            </w:r>
            <w:r>
              <w:rPr>
                <w:b w:val="0"/>
                <w:color w:val="auto"/>
                <w:sz w:val="24"/>
                <w:highlight w:val="none"/>
              </w:rPr>
              <w:t>数量</w:t>
            </w:r>
            <w:r>
              <w:rPr>
                <w:rFonts w:hint="eastAsia"/>
                <w:b w:val="0"/>
                <w:color w:val="auto"/>
                <w:sz w:val="24"/>
                <w:highlight w:val="none"/>
              </w:rPr>
              <w:t>：</w:t>
            </w:r>
            <w:r>
              <w:rPr>
                <w:rFonts w:hint="eastAsia" w:ascii="宋体" w:hAnsi="宋体" w:eastAsia="宋体"/>
                <w:b w:val="0"/>
                <w:color w:val="auto"/>
                <w:sz w:val="24"/>
                <w:highlight w:val="none"/>
              </w:rPr>
              <w:t>3家</w:t>
            </w:r>
          </w:p>
          <w:p w14:paraId="6BF23FDF">
            <w:pPr>
              <w:pStyle w:val="75"/>
              <w:widowControl w:val="0"/>
              <w:spacing w:before="0" w:beforeAutospacing="0" w:after="0" w:afterAutospacing="0" w:line="360" w:lineRule="auto"/>
              <w:jc w:val="both"/>
              <w:rPr>
                <w:b w:val="0"/>
                <w:color w:val="auto"/>
                <w:sz w:val="24"/>
                <w:highlight w:val="none"/>
                <w:u w:val="single"/>
              </w:rPr>
            </w:pPr>
            <w:r>
              <w:rPr>
                <w:rFonts w:hint="eastAsia" w:ascii="宋体" w:hAnsi="宋体" w:eastAsia="宋体"/>
                <w:b w:val="0"/>
                <w:color w:val="auto"/>
                <w:sz w:val="24"/>
                <w:highlight w:val="none"/>
                <w:lang w:val="en-US" w:eastAsia="zh-CN"/>
              </w:rPr>
              <w:t>注：法律、法规另有规定的，从其规定</w:t>
            </w:r>
          </w:p>
        </w:tc>
      </w:tr>
      <w:tr w14:paraId="45B56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Merge w:val="continue"/>
            <w:vAlign w:val="center"/>
          </w:tcPr>
          <w:p w14:paraId="6A1508BE">
            <w:pPr>
              <w:pStyle w:val="76"/>
              <w:pBdr>
                <w:bottom w:val="none" w:color="auto" w:sz="0" w:space="0"/>
              </w:pBdr>
              <w:tabs>
                <w:tab w:val="clear" w:pos="4153"/>
                <w:tab w:val="clear" w:pos="8306"/>
              </w:tabs>
              <w:adjustRightInd/>
              <w:spacing w:line="360" w:lineRule="auto"/>
              <w:textAlignment w:val="auto"/>
              <w:rPr>
                <w:bCs/>
                <w:color w:val="auto"/>
                <w:kern w:val="2"/>
                <w:highlight w:val="none"/>
              </w:rPr>
            </w:pPr>
          </w:p>
        </w:tc>
        <w:tc>
          <w:tcPr>
            <w:tcW w:w="977" w:type="pct"/>
            <w:vMerge w:val="continue"/>
            <w:vAlign w:val="center"/>
          </w:tcPr>
          <w:p w14:paraId="3860384B">
            <w:pPr>
              <w:pStyle w:val="75"/>
              <w:widowControl w:val="0"/>
              <w:spacing w:before="0" w:beforeAutospacing="0" w:after="0" w:afterAutospacing="0" w:line="360" w:lineRule="auto"/>
              <w:jc w:val="both"/>
              <w:rPr>
                <w:b w:val="0"/>
                <w:color w:val="auto"/>
                <w:sz w:val="24"/>
                <w:highlight w:val="none"/>
              </w:rPr>
            </w:pPr>
          </w:p>
        </w:tc>
        <w:tc>
          <w:tcPr>
            <w:tcW w:w="3556" w:type="pct"/>
            <w:vAlign w:val="center"/>
          </w:tcPr>
          <w:p w14:paraId="5A03D1F6">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确定成交供应商：</w:t>
            </w:r>
          </w:p>
          <w:p w14:paraId="5E7EADCC">
            <w:pPr>
              <w:pStyle w:val="75"/>
              <w:widowControl w:val="0"/>
              <w:spacing w:before="0" w:beforeAutospacing="0" w:after="0" w:afterAutospacing="0" w:line="360" w:lineRule="auto"/>
              <w:jc w:val="both"/>
              <w:rPr>
                <w:b w:val="0"/>
                <w:color w:val="auto"/>
                <w:sz w:val="24"/>
                <w:highlight w:val="none"/>
              </w:rPr>
            </w:pPr>
            <w:r>
              <w:rPr>
                <w:rFonts w:hint="eastAsia" w:asciiTheme="minorEastAsia" w:hAnsiTheme="minorEastAsia"/>
                <w:color w:val="auto"/>
                <w:sz w:val="24"/>
                <w:szCs w:val="24"/>
                <w:highlight w:val="none"/>
              </w:rPr>
              <w:sym w:font="Wingdings" w:char="00A8"/>
            </w:r>
            <w:r>
              <w:rPr>
                <w:rFonts w:hint="eastAsia"/>
                <w:b w:val="0"/>
                <w:color w:val="auto"/>
                <w:sz w:val="24"/>
                <w:highlight w:val="none"/>
              </w:rPr>
              <w:t xml:space="preserve">采购人委托谈判小组确定 </w:t>
            </w:r>
            <w:r>
              <w:rPr>
                <w:b w:val="0"/>
                <w:color w:val="auto"/>
                <w:sz w:val="24"/>
                <w:highlight w:val="none"/>
              </w:rPr>
              <w:t xml:space="preserve">   </w:t>
            </w:r>
            <w:r>
              <w:rPr>
                <w:rFonts w:hint="eastAsia"/>
                <w:b w:val="0"/>
                <w:color w:val="auto"/>
                <w:sz w:val="24"/>
                <w:highlight w:val="none"/>
              </w:rPr>
              <w:t xml:space="preserve"> </w:t>
            </w:r>
            <w:r>
              <w:rPr>
                <w:rFonts w:hint="eastAsia"/>
                <w:b w:val="0"/>
                <w:color w:val="auto"/>
                <w:sz w:val="24"/>
                <w:highlight w:val="none"/>
                <w:lang w:eastAsia="zh-CN"/>
              </w:rPr>
              <w:t>☑</w:t>
            </w:r>
            <w:r>
              <w:rPr>
                <w:rFonts w:hint="eastAsia"/>
                <w:b w:val="0"/>
                <w:color w:val="auto"/>
                <w:sz w:val="24"/>
                <w:highlight w:val="none"/>
              </w:rPr>
              <w:t>采购人确定</w:t>
            </w:r>
          </w:p>
        </w:tc>
      </w:tr>
      <w:tr w14:paraId="13CAA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42E9A838">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bCs/>
                <w:color w:val="auto"/>
                <w:kern w:val="2"/>
                <w:highlight w:val="none"/>
              </w:rPr>
              <w:t>2</w:t>
            </w:r>
            <w:r>
              <w:rPr>
                <w:rFonts w:hint="eastAsia"/>
                <w:bCs/>
                <w:color w:val="auto"/>
                <w:kern w:val="2"/>
                <w:highlight w:val="none"/>
                <w:lang w:val="en-US" w:eastAsia="zh-CN"/>
              </w:rPr>
              <w:t>2</w:t>
            </w:r>
            <w:r>
              <w:rPr>
                <w:bCs/>
                <w:color w:val="auto"/>
                <w:kern w:val="2"/>
                <w:highlight w:val="none"/>
              </w:rPr>
              <w:t>.</w:t>
            </w:r>
            <w:r>
              <w:rPr>
                <w:rFonts w:hint="eastAsia"/>
                <w:bCs/>
                <w:color w:val="auto"/>
                <w:kern w:val="2"/>
                <w:highlight w:val="none"/>
              </w:rPr>
              <w:t>2</w:t>
            </w:r>
          </w:p>
        </w:tc>
        <w:tc>
          <w:tcPr>
            <w:tcW w:w="977" w:type="pct"/>
            <w:vAlign w:val="center"/>
          </w:tcPr>
          <w:p w14:paraId="41F1671D">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随成交结果公告同时公告的内容</w:t>
            </w:r>
          </w:p>
        </w:tc>
        <w:tc>
          <w:tcPr>
            <w:tcW w:w="3556" w:type="pct"/>
            <w:vAlign w:val="center"/>
          </w:tcPr>
          <w:p w14:paraId="60CED8AE">
            <w:pPr>
              <w:pStyle w:val="75"/>
              <w:widowControl w:val="0"/>
              <w:spacing w:before="0" w:beforeAutospacing="0" w:after="0" w:afterAutospacing="0" w:line="360" w:lineRule="auto"/>
              <w:jc w:val="both"/>
              <w:rPr>
                <w:rFonts w:ascii="宋体" w:hAnsi="宋体" w:eastAsia="宋体"/>
                <w:b w:val="0"/>
                <w:color w:val="auto"/>
                <w:sz w:val="24"/>
                <w:highlight w:val="none"/>
                <w:u w:val="none"/>
              </w:rPr>
            </w:pPr>
            <w:r>
              <w:rPr>
                <w:rFonts w:hint="eastAsia" w:ascii="宋体" w:hAnsi="宋体" w:eastAsia="宋体"/>
                <w:b w:val="0"/>
                <w:color w:val="auto"/>
                <w:sz w:val="24"/>
                <w:highlight w:val="none"/>
                <w:u w:val="none"/>
              </w:rPr>
              <w:t>（</w:t>
            </w:r>
            <w:r>
              <w:rPr>
                <w:rFonts w:hint="eastAsia" w:ascii="宋体" w:hAnsi="宋体" w:eastAsia="宋体"/>
                <w:b w:val="0"/>
                <w:color w:val="auto"/>
                <w:sz w:val="24"/>
                <w:highlight w:val="none"/>
                <w:u w:val="none"/>
                <w:lang w:val="en-US" w:eastAsia="zh-CN"/>
              </w:rPr>
              <w:t>1</w:t>
            </w:r>
            <w:r>
              <w:rPr>
                <w:rFonts w:hint="eastAsia" w:ascii="宋体" w:hAnsi="宋体" w:eastAsia="宋体"/>
                <w:b w:val="0"/>
                <w:color w:val="auto"/>
                <w:sz w:val="24"/>
                <w:highlight w:val="none"/>
                <w:u w:val="none"/>
              </w:rPr>
              <w:t>）中小企业声明函；</w:t>
            </w:r>
          </w:p>
          <w:p w14:paraId="50980EDE">
            <w:pPr>
              <w:pStyle w:val="75"/>
              <w:widowControl w:val="0"/>
              <w:spacing w:before="0" w:beforeAutospacing="0" w:after="0" w:afterAutospacing="0" w:line="360" w:lineRule="auto"/>
              <w:jc w:val="both"/>
              <w:rPr>
                <w:rFonts w:ascii="宋体" w:hAnsi="宋体" w:eastAsia="宋体"/>
                <w:b w:val="0"/>
                <w:i/>
                <w:color w:val="auto"/>
                <w:sz w:val="24"/>
                <w:highlight w:val="none"/>
                <w:u w:val="none"/>
              </w:rPr>
            </w:pPr>
            <w:r>
              <w:rPr>
                <w:rFonts w:hint="eastAsia" w:ascii="宋体" w:hAnsi="宋体" w:eastAsia="宋体"/>
                <w:b w:val="0"/>
                <w:color w:val="auto"/>
                <w:sz w:val="24"/>
                <w:highlight w:val="none"/>
                <w:u w:val="none"/>
              </w:rPr>
              <w:t>（</w:t>
            </w:r>
            <w:r>
              <w:rPr>
                <w:rFonts w:hint="eastAsia" w:ascii="宋体" w:hAnsi="宋体" w:eastAsia="宋体"/>
                <w:b w:val="0"/>
                <w:color w:val="auto"/>
                <w:sz w:val="24"/>
                <w:highlight w:val="none"/>
                <w:u w:val="none"/>
                <w:lang w:val="en-US" w:eastAsia="zh-CN"/>
              </w:rPr>
              <w:t>2）</w:t>
            </w:r>
            <w:r>
              <w:rPr>
                <w:rFonts w:hint="eastAsia" w:ascii="宋体" w:hAnsi="宋体" w:eastAsia="宋体"/>
                <w:b w:val="0"/>
                <w:color w:val="auto"/>
                <w:sz w:val="24"/>
                <w:highlight w:val="none"/>
                <w:u w:val="none"/>
              </w:rPr>
              <w:t>残疾人福利性单位声明函；</w:t>
            </w:r>
            <w:r>
              <w:rPr>
                <w:rFonts w:hint="eastAsia" w:ascii="宋体" w:hAnsi="宋体" w:eastAsia="宋体"/>
                <w:b w:val="0"/>
                <w:i/>
                <w:iCs/>
                <w:color w:val="auto"/>
                <w:sz w:val="24"/>
                <w:highlight w:val="none"/>
                <w:u w:val="none"/>
              </w:rPr>
              <w:t>（如有）</w:t>
            </w:r>
          </w:p>
          <w:p w14:paraId="7E1EACD5">
            <w:pPr>
              <w:pStyle w:val="75"/>
              <w:widowControl w:val="0"/>
              <w:spacing w:before="0" w:beforeAutospacing="0" w:after="0" w:afterAutospacing="0" w:line="360" w:lineRule="auto"/>
              <w:jc w:val="both"/>
              <w:rPr>
                <w:b w:val="0"/>
                <w:bCs w:val="0"/>
                <w:color w:val="auto"/>
                <w:sz w:val="24"/>
                <w:szCs w:val="24"/>
                <w:highlight w:val="none"/>
              </w:rPr>
            </w:pPr>
            <w:r>
              <w:rPr>
                <w:rFonts w:hint="eastAsia" w:ascii="宋体" w:hAnsi="宋体" w:eastAsia="宋体"/>
                <w:b w:val="0"/>
                <w:color w:val="auto"/>
                <w:sz w:val="24"/>
                <w:highlight w:val="none"/>
                <w:u w:val="none"/>
              </w:rPr>
              <w:t>（</w:t>
            </w:r>
            <w:r>
              <w:rPr>
                <w:rFonts w:hint="eastAsia" w:ascii="宋体" w:hAnsi="宋体" w:eastAsia="宋体"/>
                <w:b w:val="0"/>
                <w:color w:val="auto"/>
                <w:sz w:val="24"/>
                <w:highlight w:val="none"/>
                <w:u w:val="none"/>
                <w:lang w:val="en-US" w:eastAsia="zh-CN"/>
              </w:rPr>
              <w:t>3</w:t>
            </w:r>
            <w:r>
              <w:rPr>
                <w:rFonts w:hint="eastAsia" w:ascii="宋体" w:hAnsi="宋体" w:eastAsia="宋体"/>
                <w:b w:val="0"/>
                <w:color w:val="auto"/>
                <w:sz w:val="24"/>
                <w:highlight w:val="none"/>
                <w:u w:val="none"/>
              </w:rPr>
              <w:t>）因落实政府采购政策等原因进行价格扣除后中标</w:t>
            </w:r>
            <w:r>
              <w:rPr>
                <w:rFonts w:hint="eastAsia" w:ascii="宋体" w:hAnsi="宋体" w:eastAsia="宋体"/>
                <w:b w:val="0"/>
                <w:color w:val="auto"/>
                <w:sz w:val="24"/>
                <w:highlight w:val="none"/>
                <w:u w:val="none"/>
                <w:lang w:eastAsia="zh-CN"/>
              </w:rPr>
              <w:t>（</w:t>
            </w:r>
            <w:r>
              <w:rPr>
                <w:rFonts w:hint="eastAsia" w:ascii="宋体" w:hAnsi="宋体" w:eastAsia="宋体"/>
                <w:b w:val="0"/>
                <w:color w:val="auto"/>
                <w:sz w:val="24"/>
                <w:highlight w:val="none"/>
                <w:u w:val="none"/>
              </w:rPr>
              <w:t>成交</w:t>
            </w:r>
            <w:r>
              <w:rPr>
                <w:rFonts w:hint="eastAsia" w:ascii="宋体" w:hAnsi="宋体" w:eastAsia="宋体"/>
                <w:b w:val="0"/>
                <w:color w:val="auto"/>
                <w:sz w:val="24"/>
                <w:highlight w:val="none"/>
                <w:u w:val="none"/>
                <w:lang w:eastAsia="zh-CN"/>
              </w:rPr>
              <w:t>）</w:t>
            </w:r>
            <w:r>
              <w:rPr>
                <w:rFonts w:hint="eastAsia" w:ascii="宋体" w:hAnsi="宋体" w:eastAsia="宋体"/>
                <w:b w:val="0"/>
                <w:color w:val="auto"/>
                <w:sz w:val="24"/>
                <w:highlight w:val="none"/>
                <w:u w:val="none"/>
              </w:rPr>
              <w:t>供应商的评审报价</w:t>
            </w:r>
            <w:r>
              <w:rPr>
                <w:rFonts w:hint="eastAsia"/>
                <w:b w:val="0"/>
                <w:color w:val="auto"/>
                <w:sz w:val="24"/>
                <w:highlight w:val="none"/>
                <w:u w:val="none"/>
                <w:lang w:eastAsia="zh-CN"/>
              </w:rPr>
              <w:t>；</w:t>
            </w:r>
          </w:p>
        </w:tc>
      </w:tr>
      <w:tr w14:paraId="1F93C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3A6CC8EE">
            <w:pPr>
              <w:pStyle w:val="76"/>
              <w:pBdr>
                <w:bottom w:val="none" w:color="auto" w:sz="0" w:space="0"/>
              </w:pBdr>
              <w:tabs>
                <w:tab w:val="clear" w:pos="4153"/>
                <w:tab w:val="clear" w:pos="8306"/>
              </w:tabs>
              <w:adjustRightInd/>
              <w:spacing w:line="240" w:lineRule="auto"/>
              <w:textAlignment w:val="auto"/>
              <w:rPr>
                <w:bCs/>
                <w:color w:val="auto"/>
                <w:kern w:val="2"/>
                <w:highlight w:val="none"/>
              </w:rPr>
            </w:pPr>
            <w:r>
              <w:rPr>
                <w:rFonts w:hint="eastAsia"/>
                <w:bCs/>
                <w:color w:val="auto"/>
                <w:kern w:val="2"/>
                <w:highlight w:val="none"/>
              </w:rPr>
              <w:t>2</w:t>
            </w:r>
            <w:r>
              <w:rPr>
                <w:rFonts w:hint="eastAsia"/>
                <w:bCs/>
                <w:color w:val="auto"/>
                <w:kern w:val="2"/>
                <w:highlight w:val="none"/>
                <w:lang w:val="en-US" w:eastAsia="zh-CN"/>
              </w:rPr>
              <w:t>3</w:t>
            </w:r>
            <w:r>
              <w:rPr>
                <w:bCs/>
                <w:color w:val="auto"/>
                <w:kern w:val="2"/>
                <w:highlight w:val="none"/>
              </w:rPr>
              <w:t>.1</w:t>
            </w:r>
          </w:p>
        </w:tc>
        <w:tc>
          <w:tcPr>
            <w:tcW w:w="977" w:type="pct"/>
            <w:vAlign w:val="center"/>
          </w:tcPr>
          <w:p w14:paraId="15720CB7">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成交通知书发出的形式</w:t>
            </w:r>
          </w:p>
        </w:tc>
        <w:tc>
          <w:tcPr>
            <w:tcW w:w="3556" w:type="pct"/>
            <w:vAlign w:val="center"/>
          </w:tcPr>
          <w:p w14:paraId="523E674D">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lang w:eastAsia="zh-CN"/>
              </w:rPr>
              <w:t>☑</w:t>
            </w:r>
            <w:r>
              <w:rPr>
                <w:rFonts w:hint="eastAsia"/>
                <w:b w:val="0"/>
                <w:color w:val="auto"/>
                <w:sz w:val="24"/>
                <w:highlight w:val="none"/>
              </w:rPr>
              <w:t xml:space="preserve">书面 </w:t>
            </w:r>
            <w:r>
              <w:rPr>
                <w:b w:val="0"/>
                <w:color w:val="auto"/>
                <w:sz w:val="24"/>
                <w:highlight w:val="none"/>
              </w:rPr>
              <w:t xml:space="preserve">    </w:t>
            </w:r>
            <w:r>
              <w:rPr>
                <w:rFonts w:hint="eastAsia"/>
                <w:b w:val="0"/>
                <w:bCs w:val="0"/>
                <w:color w:val="auto"/>
                <w:sz w:val="24"/>
                <w:szCs w:val="24"/>
                <w:highlight w:val="none"/>
              </w:rPr>
              <w:sym w:font="Wingdings" w:char="00A8"/>
            </w:r>
            <w:r>
              <w:rPr>
                <w:rFonts w:hint="eastAsia"/>
                <w:b w:val="0"/>
                <w:color w:val="auto"/>
                <w:sz w:val="24"/>
                <w:highlight w:val="none"/>
              </w:rPr>
              <w:t>数据电文</w:t>
            </w:r>
          </w:p>
        </w:tc>
      </w:tr>
      <w:tr w14:paraId="76E3F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4827BFEB">
            <w:pPr>
              <w:pStyle w:val="76"/>
              <w:pBdr>
                <w:bottom w:val="none" w:color="auto" w:sz="0" w:space="0"/>
              </w:pBdr>
              <w:tabs>
                <w:tab w:val="clear" w:pos="4153"/>
                <w:tab w:val="clear" w:pos="8306"/>
              </w:tabs>
              <w:adjustRightInd/>
              <w:spacing w:line="240" w:lineRule="auto"/>
              <w:textAlignment w:val="auto"/>
              <w:rPr>
                <w:rFonts w:hint="eastAsia" w:ascii="宋体" w:hAnsi="宋体" w:eastAsia="宋体" w:cstheme="minorBidi"/>
                <w:bCs/>
                <w:color w:val="auto"/>
                <w:kern w:val="2"/>
                <w:sz w:val="24"/>
                <w:szCs w:val="20"/>
                <w:highlight w:val="none"/>
                <w:lang w:val="en-US" w:eastAsia="zh-CN" w:bidi="ar-SA"/>
              </w:rPr>
            </w:pPr>
            <w:r>
              <w:rPr>
                <w:rFonts w:hint="eastAsia" w:ascii="宋体" w:hAnsi="宋体" w:eastAsia="宋体" w:cs="宋体"/>
                <w:b w:val="0"/>
                <w:bCs/>
                <w:color w:val="auto"/>
                <w:sz w:val="24"/>
                <w:szCs w:val="24"/>
                <w:lang w:val="en-US" w:eastAsia="zh-CN"/>
              </w:rPr>
              <w:t>2</w:t>
            </w:r>
            <w:r>
              <w:rPr>
                <w:rFonts w:hint="eastAsia" w:cs="宋体"/>
                <w:b w:val="0"/>
                <w:bCs/>
                <w:color w:val="auto"/>
                <w:sz w:val="24"/>
                <w:szCs w:val="24"/>
                <w:lang w:val="en-US" w:eastAsia="zh-CN"/>
              </w:rPr>
              <w:t>4</w:t>
            </w:r>
            <w:r>
              <w:rPr>
                <w:rFonts w:hint="eastAsia" w:ascii="宋体" w:hAnsi="宋体" w:eastAsia="宋体" w:cs="宋体"/>
                <w:b w:val="0"/>
                <w:bCs/>
                <w:color w:val="auto"/>
                <w:sz w:val="24"/>
                <w:szCs w:val="24"/>
                <w:lang w:val="en-US" w:eastAsia="zh-CN"/>
              </w:rPr>
              <w:t>.1</w:t>
            </w:r>
          </w:p>
        </w:tc>
        <w:tc>
          <w:tcPr>
            <w:tcW w:w="977" w:type="pct"/>
            <w:vAlign w:val="center"/>
          </w:tcPr>
          <w:p w14:paraId="16BF930B">
            <w:pPr>
              <w:pStyle w:val="75"/>
              <w:widowControl w:val="0"/>
              <w:spacing w:before="0" w:beforeAutospacing="0" w:after="0" w:afterAutospacing="0" w:line="360" w:lineRule="auto"/>
              <w:jc w:val="both"/>
              <w:rPr>
                <w:rFonts w:hint="eastAsia" w:ascii="宋体" w:hAnsi="宋体" w:eastAsia="宋体" w:cstheme="minorBidi"/>
                <w:b w:val="0"/>
                <w:bCs/>
                <w:color w:val="auto"/>
                <w:sz w:val="24"/>
                <w:szCs w:val="28"/>
                <w:highlight w:val="none"/>
                <w:lang w:val="en-US" w:eastAsia="zh-CN" w:bidi="ar-SA"/>
              </w:rPr>
            </w:pPr>
            <w:r>
              <w:rPr>
                <w:rFonts w:hint="eastAsia" w:ascii="宋体" w:hAnsi="宋体" w:eastAsia="宋体" w:cs="宋体"/>
                <w:b w:val="0"/>
                <w:bCs/>
                <w:color w:val="auto"/>
                <w:sz w:val="24"/>
                <w:szCs w:val="24"/>
                <w:lang w:val="en-US" w:eastAsia="zh-CN"/>
              </w:rPr>
              <w:t>告知谈判结果的形式</w:t>
            </w:r>
          </w:p>
        </w:tc>
        <w:tc>
          <w:tcPr>
            <w:tcW w:w="3556" w:type="pct"/>
            <w:vAlign w:val="center"/>
          </w:tcPr>
          <w:p w14:paraId="3B4C071A">
            <w:pPr>
              <w:pStyle w:val="75"/>
              <w:widowControl w:val="0"/>
              <w:spacing w:before="0" w:beforeAutospacing="0" w:after="0" w:afterAutospacing="0" w:line="360" w:lineRule="auto"/>
              <w:jc w:val="both"/>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sym w:font="Wingdings" w:char="00A8"/>
            </w:r>
            <w:r>
              <w:rPr>
                <w:rFonts w:hint="eastAsia" w:ascii="宋体" w:hAnsi="宋体" w:eastAsia="宋体" w:cs="宋体"/>
                <w:b w:val="0"/>
                <w:bCs/>
                <w:color w:val="auto"/>
                <w:sz w:val="24"/>
                <w:szCs w:val="24"/>
                <w:lang w:val="en-US" w:eastAsia="zh-CN"/>
              </w:rPr>
              <w:t>供应商自行登录电子</w:t>
            </w:r>
            <w:r>
              <w:rPr>
                <w:rFonts w:hint="eastAsia" w:ascii="宋体" w:hAnsi="宋体" w:eastAsia="宋体" w:cs="宋体"/>
                <w:b w:val="0"/>
                <w:bCs w:val="0"/>
                <w:color w:val="auto"/>
                <w:sz w:val="24"/>
                <w:szCs w:val="24"/>
                <w:highlight w:val="none"/>
                <w:lang w:val="en-US" w:eastAsia="zh-CN"/>
              </w:rPr>
              <w:t>交易</w:t>
            </w:r>
            <w:r>
              <w:rPr>
                <w:rFonts w:hint="eastAsia" w:ascii="宋体" w:hAnsi="宋体" w:eastAsia="宋体" w:cs="宋体"/>
                <w:b w:val="0"/>
                <w:bCs/>
                <w:color w:val="auto"/>
                <w:sz w:val="24"/>
                <w:szCs w:val="24"/>
                <w:lang w:val="en-US" w:eastAsia="zh-CN"/>
              </w:rPr>
              <w:t>系统查看</w:t>
            </w:r>
          </w:p>
          <w:p w14:paraId="3E23D41F">
            <w:pPr>
              <w:pStyle w:val="75"/>
              <w:widowControl w:val="0"/>
              <w:spacing w:before="0" w:beforeAutospacing="0" w:after="0" w:afterAutospacing="0" w:line="360" w:lineRule="auto"/>
              <w:jc w:val="both"/>
              <w:rPr>
                <w:rFonts w:hint="eastAsia" w:ascii="宋体" w:hAnsi="宋体" w:eastAsia="宋体"/>
                <w:b w:val="0"/>
                <w:color w:val="auto"/>
                <w:sz w:val="24"/>
                <w:highlight w:val="none"/>
                <w:lang w:val="en-US" w:eastAsia="zh-CN"/>
              </w:rPr>
            </w:pPr>
            <w:r>
              <w:rPr>
                <w:rFonts w:hint="eastAsia" w:cs="宋体"/>
                <w:b w:val="0"/>
                <w:bCs/>
                <w:color w:val="auto"/>
                <w:sz w:val="24"/>
                <w:szCs w:val="24"/>
                <w:lang w:val="en-US" w:eastAsia="zh-CN"/>
              </w:rPr>
              <w:t>☑</w:t>
            </w:r>
            <w:r>
              <w:rPr>
                <w:rFonts w:hint="eastAsia" w:ascii="宋体" w:hAnsi="宋体" w:eastAsia="宋体"/>
                <w:b w:val="0"/>
                <w:color w:val="auto"/>
                <w:sz w:val="24"/>
                <w:highlight w:val="none"/>
                <w:lang w:val="en-US" w:eastAsia="zh-CN"/>
              </w:rPr>
              <w:t>谈判现场告知</w:t>
            </w:r>
            <w:r>
              <w:rPr>
                <w:rFonts w:hint="eastAsia" w:ascii="宋体" w:hAnsi="宋体" w:eastAsia="宋体"/>
                <w:b w:val="0"/>
                <w:color w:val="auto"/>
                <w:sz w:val="24"/>
                <w:highlight w:val="none"/>
                <w:lang w:eastAsia="zh-CN"/>
              </w:rPr>
              <w:t>，</w:t>
            </w:r>
            <w:r>
              <w:rPr>
                <w:rFonts w:hint="eastAsia" w:ascii="宋体" w:hAnsi="宋体" w:eastAsia="宋体"/>
                <w:b w:val="0"/>
                <w:color w:val="auto"/>
                <w:sz w:val="24"/>
                <w:highlight w:val="none"/>
                <w:lang w:val="en-US" w:eastAsia="zh-CN"/>
              </w:rPr>
              <w:t>网上公示</w:t>
            </w:r>
          </w:p>
        </w:tc>
      </w:tr>
      <w:tr w14:paraId="65B2B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0E663351">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lang w:val="en-US" w:eastAsia="zh-CN"/>
              </w:rPr>
              <w:t>25</w:t>
            </w:r>
            <w:r>
              <w:rPr>
                <w:bCs/>
                <w:color w:val="auto"/>
                <w:kern w:val="2"/>
                <w:highlight w:val="none"/>
              </w:rPr>
              <w:t>.1</w:t>
            </w:r>
          </w:p>
        </w:tc>
        <w:tc>
          <w:tcPr>
            <w:tcW w:w="977" w:type="pct"/>
            <w:vAlign w:val="center"/>
          </w:tcPr>
          <w:p w14:paraId="7002B5E4">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履约保证金</w:t>
            </w:r>
          </w:p>
        </w:tc>
        <w:tc>
          <w:tcPr>
            <w:tcW w:w="3556" w:type="pct"/>
          </w:tcPr>
          <w:p w14:paraId="7DA6EFF6">
            <w:pPr>
              <w:spacing w:line="360" w:lineRule="auto"/>
              <w:rPr>
                <w:rFonts w:cs="@仿宋_GB2312"/>
                <w:bCs/>
                <w:color w:val="auto"/>
                <w:sz w:val="24"/>
                <w:szCs w:val="28"/>
                <w:highlight w:val="none"/>
              </w:rPr>
            </w:pPr>
            <w:r>
              <w:rPr>
                <w:rFonts w:hint="eastAsia" w:cs="@仿宋_GB2312"/>
                <w:bCs/>
                <w:color w:val="auto"/>
                <w:sz w:val="24"/>
                <w:szCs w:val="28"/>
                <w:highlight w:val="none"/>
              </w:rPr>
              <w:t>（1）金额：</w:t>
            </w:r>
          </w:p>
          <w:p w14:paraId="2E283FD1">
            <w:pPr>
              <w:spacing w:line="360" w:lineRule="auto"/>
              <w:rPr>
                <w:rFonts w:cs="@仿宋_GB2312"/>
                <w:bCs/>
                <w:color w:val="auto"/>
                <w:sz w:val="24"/>
                <w:szCs w:val="28"/>
                <w:highlight w:val="none"/>
              </w:rPr>
            </w:pPr>
            <w:r>
              <w:rPr>
                <w:rFonts w:hint="eastAsia" w:cs="@仿宋_GB2312"/>
                <w:bCs/>
                <w:color w:val="auto"/>
                <w:sz w:val="24"/>
                <w:szCs w:val="28"/>
                <w:highlight w:val="none"/>
                <w:lang w:eastAsia="zh-CN"/>
              </w:rPr>
              <w:t>☑</w:t>
            </w:r>
            <w:r>
              <w:rPr>
                <w:rFonts w:hint="eastAsia" w:cs="@仿宋_GB2312"/>
                <w:bCs/>
                <w:color w:val="auto"/>
                <w:sz w:val="24"/>
                <w:szCs w:val="28"/>
                <w:highlight w:val="none"/>
              </w:rPr>
              <w:t>免收</w:t>
            </w:r>
          </w:p>
          <w:p w14:paraId="412694C9">
            <w:pPr>
              <w:spacing w:line="360" w:lineRule="auto"/>
              <w:rPr>
                <w:rFonts w:cs="@仿宋_GB2312"/>
                <w:bCs/>
                <w:color w:val="auto"/>
                <w:sz w:val="24"/>
                <w:szCs w:val="28"/>
                <w:highlight w:val="none"/>
              </w:rPr>
            </w:pPr>
            <w:r>
              <w:rPr>
                <w:rFonts w:cs="@仿宋_GB2312"/>
                <w:bCs/>
                <w:color w:val="auto"/>
                <w:sz w:val="24"/>
                <w:szCs w:val="28"/>
                <w:highlight w:val="none"/>
              </w:rPr>
              <w:t>□</w:t>
            </w:r>
            <w:r>
              <w:rPr>
                <w:rFonts w:hint="eastAsia" w:cs="@仿宋_GB2312"/>
                <w:bCs/>
                <w:color w:val="auto"/>
                <w:sz w:val="24"/>
                <w:szCs w:val="28"/>
                <w:highlight w:val="none"/>
              </w:rPr>
              <w:t>合同价的</w:t>
            </w:r>
            <w:r>
              <w:rPr>
                <w:rFonts w:cs="@仿宋_GB2312"/>
                <w:bCs/>
                <w:color w:val="auto"/>
                <w:sz w:val="24"/>
                <w:szCs w:val="28"/>
                <w:highlight w:val="none"/>
                <w:u w:val="single"/>
              </w:rPr>
              <w:t xml:space="preserve">   </w:t>
            </w:r>
            <w:r>
              <w:rPr>
                <w:rFonts w:cs="@仿宋_GB2312"/>
                <w:bCs/>
                <w:color w:val="auto"/>
                <w:sz w:val="24"/>
                <w:szCs w:val="28"/>
                <w:highlight w:val="none"/>
              </w:rPr>
              <w:t>%</w:t>
            </w:r>
          </w:p>
          <w:p w14:paraId="0B0B65D4">
            <w:pPr>
              <w:spacing w:line="360" w:lineRule="auto"/>
              <w:rPr>
                <w:rFonts w:cs="@仿宋_GB2312"/>
                <w:bCs/>
                <w:color w:val="auto"/>
                <w:sz w:val="24"/>
                <w:szCs w:val="28"/>
                <w:highlight w:val="none"/>
              </w:rPr>
            </w:pPr>
            <w:r>
              <w:rPr>
                <w:rFonts w:cs="@仿宋_GB2312"/>
                <w:bCs/>
                <w:color w:val="auto"/>
                <w:sz w:val="24"/>
                <w:szCs w:val="28"/>
                <w:highlight w:val="none"/>
              </w:rPr>
              <w:t>□</w:t>
            </w:r>
            <w:r>
              <w:rPr>
                <w:rFonts w:hint="eastAsia" w:cs="@仿宋_GB2312"/>
                <w:bCs/>
                <w:color w:val="auto"/>
                <w:sz w:val="24"/>
                <w:szCs w:val="28"/>
                <w:highlight w:val="none"/>
              </w:rPr>
              <w:t>定额收取：人民币</w:t>
            </w:r>
            <w:r>
              <w:rPr>
                <w:rFonts w:hint="eastAsia" w:cs="@仿宋_GB2312"/>
                <w:bCs/>
                <w:color w:val="auto"/>
                <w:sz w:val="24"/>
                <w:szCs w:val="28"/>
                <w:highlight w:val="none"/>
                <w:u w:val="single"/>
              </w:rPr>
              <w:t xml:space="preserve">              </w:t>
            </w:r>
            <w:r>
              <w:rPr>
                <w:rFonts w:hint="eastAsia" w:cs="@仿宋_GB2312"/>
                <w:bCs/>
                <w:color w:val="auto"/>
                <w:sz w:val="24"/>
                <w:szCs w:val="28"/>
                <w:highlight w:val="none"/>
              </w:rPr>
              <w:t>元</w:t>
            </w:r>
          </w:p>
          <w:p w14:paraId="61F052EE">
            <w:pPr>
              <w:spacing w:line="360" w:lineRule="auto"/>
              <w:rPr>
                <w:rFonts w:cs="@仿宋_GB2312"/>
                <w:bCs/>
                <w:color w:val="auto"/>
                <w:sz w:val="24"/>
                <w:szCs w:val="28"/>
                <w:highlight w:val="none"/>
              </w:rPr>
            </w:pPr>
            <w:r>
              <w:rPr>
                <w:rFonts w:hint="eastAsia" w:cs="@仿宋_GB2312"/>
                <w:bCs/>
                <w:color w:val="auto"/>
                <w:sz w:val="24"/>
                <w:szCs w:val="28"/>
                <w:highlight w:val="none"/>
              </w:rPr>
              <w:t>（2）支付方式：</w:t>
            </w:r>
          </w:p>
          <w:p w14:paraId="02EA0B01">
            <w:pPr>
              <w:spacing w:line="360" w:lineRule="auto"/>
              <w:rPr>
                <w:rFonts w:cs="@仿宋_GB2312"/>
                <w:bCs/>
                <w:color w:val="auto"/>
                <w:sz w:val="24"/>
                <w:szCs w:val="28"/>
                <w:highlight w:val="none"/>
              </w:rPr>
            </w:pPr>
            <w:r>
              <w:rPr>
                <w:rFonts w:hint="eastAsia" w:cs="@仿宋_GB2312"/>
                <w:bCs/>
                <w:color w:val="auto"/>
                <w:sz w:val="24"/>
                <w:szCs w:val="28"/>
                <w:highlight w:val="none"/>
              </w:rPr>
              <w:sym w:font="Wingdings" w:char="00A8"/>
            </w:r>
            <w:r>
              <w:rPr>
                <w:rFonts w:cs="@仿宋_GB2312"/>
                <w:bCs/>
                <w:color w:val="auto"/>
                <w:sz w:val="24"/>
                <w:szCs w:val="28"/>
                <w:highlight w:val="none"/>
              </w:rPr>
              <w:t>转账/电汇</w:t>
            </w:r>
            <w:r>
              <w:rPr>
                <w:rFonts w:hint="eastAsia" w:cs="@仿宋_GB2312"/>
                <w:bCs/>
                <w:color w:val="auto"/>
                <w:sz w:val="24"/>
                <w:szCs w:val="28"/>
                <w:highlight w:val="none"/>
              </w:rPr>
              <w:t xml:space="preserve"> </w:t>
            </w:r>
            <w:r>
              <w:rPr>
                <w:rFonts w:hint="eastAsia" w:cs="@仿宋_GB2312"/>
                <w:bCs/>
                <w:color w:val="auto"/>
                <w:sz w:val="24"/>
                <w:szCs w:val="28"/>
                <w:highlight w:val="none"/>
              </w:rPr>
              <w:sym w:font="Wingdings" w:char="00A8"/>
            </w:r>
            <w:r>
              <w:rPr>
                <w:rFonts w:cs="@仿宋_GB2312"/>
                <w:bCs/>
                <w:color w:val="auto"/>
                <w:sz w:val="24"/>
                <w:szCs w:val="28"/>
                <w:highlight w:val="none"/>
              </w:rPr>
              <w:t xml:space="preserve">支票 </w:t>
            </w:r>
            <w:r>
              <w:rPr>
                <w:rFonts w:hint="eastAsia" w:cs="@仿宋_GB2312"/>
                <w:bCs/>
                <w:color w:val="auto"/>
                <w:sz w:val="24"/>
                <w:szCs w:val="28"/>
                <w:highlight w:val="none"/>
              </w:rPr>
              <w:sym w:font="Wingdings" w:char="00A8"/>
            </w:r>
            <w:r>
              <w:rPr>
                <w:rFonts w:cs="@仿宋_GB2312"/>
                <w:bCs/>
                <w:color w:val="auto"/>
                <w:sz w:val="24"/>
                <w:szCs w:val="28"/>
                <w:highlight w:val="none"/>
              </w:rPr>
              <w:t>汇票</w:t>
            </w:r>
            <w:r>
              <w:rPr>
                <w:rFonts w:hint="eastAsia" w:cs="@仿宋_GB2312"/>
                <w:bCs/>
                <w:color w:val="auto"/>
                <w:sz w:val="24"/>
                <w:szCs w:val="28"/>
                <w:highlight w:val="none"/>
              </w:rPr>
              <w:t xml:space="preserve"> </w:t>
            </w:r>
            <w:r>
              <w:rPr>
                <w:rFonts w:hint="eastAsia" w:cs="@仿宋_GB2312"/>
                <w:bCs/>
                <w:color w:val="auto"/>
                <w:sz w:val="24"/>
                <w:szCs w:val="28"/>
                <w:highlight w:val="none"/>
              </w:rPr>
              <w:sym w:font="Wingdings" w:char="00A8"/>
            </w:r>
            <w:r>
              <w:rPr>
                <w:rFonts w:hint="eastAsia" w:cs="@仿宋_GB2312"/>
                <w:bCs/>
                <w:color w:val="auto"/>
                <w:sz w:val="24"/>
                <w:szCs w:val="28"/>
                <w:highlight w:val="none"/>
              </w:rPr>
              <w:t xml:space="preserve">本票 </w:t>
            </w:r>
            <w:r>
              <w:rPr>
                <w:rFonts w:hint="eastAsia" w:cs="@仿宋_GB2312"/>
                <w:bCs/>
                <w:color w:val="auto"/>
                <w:sz w:val="24"/>
                <w:szCs w:val="28"/>
                <w:highlight w:val="none"/>
              </w:rPr>
              <w:sym w:font="Wingdings" w:char="00A8"/>
            </w:r>
            <w:r>
              <w:rPr>
                <w:rFonts w:cs="@仿宋_GB2312"/>
                <w:bCs/>
                <w:color w:val="auto"/>
                <w:sz w:val="24"/>
                <w:szCs w:val="28"/>
                <w:highlight w:val="none"/>
              </w:rPr>
              <w:t>保</w:t>
            </w:r>
            <w:r>
              <w:rPr>
                <w:rFonts w:hint="eastAsia" w:cs="@仿宋_GB2312"/>
                <w:bCs/>
                <w:color w:val="auto"/>
                <w:sz w:val="24"/>
                <w:szCs w:val="28"/>
                <w:highlight w:val="none"/>
              </w:rPr>
              <w:t xml:space="preserve">险 </w:t>
            </w:r>
            <w:r>
              <w:rPr>
                <w:rFonts w:hint="eastAsia" w:cs="@仿宋_GB2312"/>
                <w:bCs/>
                <w:color w:val="auto"/>
                <w:sz w:val="24"/>
                <w:szCs w:val="28"/>
                <w:highlight w:val="none"/>
              </w:rPr>
              <w:sym w:font="Wingdings" w:char="00A8"/>
            </w:r>
            <w:r>
              <w:rPr>
                <w:rFonts w:hint="eastAsia" w:cs="@仿宋_GB2312"/>
                <w:bCs/>
                <w:color w:val="auto"/>
                <w:sz w:val="24"/>
                <w:szCs w:val="28"/>
                <w:highlight w:val="none"/>
              </w:rPr>
              <w:t>保</w:t>
            </w:r>
            <w:r>
              <w:rPr>
                <w:rFonts w:cs="@仿宋_GB2312"/>
                <w:bCs/>
                <w:color w:val="auto"/>
                <w:sz w:val="24"/>
                <w:szCs w:val="28"/>
                <w:highlight w:val="none"/>
              </w:rPr>
              <w:t>函</w:t>
            </w:r>
          </w:p>
          <w:p w14:paraId="7B87B74D">
            <w:pPr>
              <w:numPr>
                <w:ilvl w:val="0"/>
                <w:numId w:val="0"/>
              </w:numPr>
              <w:spacing w:line="360" w:lineRule="auto"/>
              <w:rPr>
                <w:rFonts w:hint="eastAsia" w:ascii="宋体" w:hAnsi="宋体" w:eastAsia="宋体"/>
                <w:bCs/>
                <w:color w:val="auto"/>
                <w:kern w:val="0"/>
                <w:sz w:val="24"/>
                <w:szCs w:val="28"/>
                <w:highlight w:val="none"/>
              </w:rPr>
            </w:pPr>
            <w:r>
              <w:rPr>
                <w:rFonts w:hint="eastAsia" w:ascii="宋体" w:hAnsi="宋体" w:eastAsia="宋体"/>
                <w:bCs/>
                <w:color w:val="auto"/>
                <w:kern w:val="0"/>
                <w:sz w:val="24"/>
                <w:szCs w:val="28"/>
                <w:highlight w:val="none"/>
                <w:lang w:eastAsia="zh-CN"/>
              </w:rPr>
              <w:t>（</w:t>
            </w:r>
            <w:r>
              <w:rPr>
                <w:rFonts w:hint="eastAsia" w:ascii="宋体" w:hAnsi="宋体" w:eastAsia="宋体"/>
                <w:bCs/>
                <w:color w:val="auto"/>
                <w:kern w:val="0"/>
                <w:sz w:val="24"/>
                <w:szCs w:val="28"/>
                <w:highlight w:val="none"/>
                <w:lang w:val="en-US" w:eastAsia="zh-CN"/>
              </w:rPr>
              <w:t>3</w:t>
            </w:r>
            <w:r>
              <w:rPr>
                <w:rFonts w:hint="eastAsia" w:ascii="宋体" w:hAnsi="宋体" w:eastAsia="宋体"/>
                <w:bCs/>
                <w:color w:val="auto"/>
                <w:kern w:val="0"/>
                <w:sz w:val="24"/>
                <w:szCs w:val="28"/>
                <w:highlight w:val="none"/>
                <w:lang w:eastAsia="zh-CN"/>
              </w:rPr>
              <w:t>）</w:t>
            </w:r>
            <w:r>
              <w:rPr>
                <w:rFonts w:hint="eastAsia" w:ascii="宋体" w:hAnsi="宋体" w:eastAsia="宋体"/>
                <w:bCs/>
                <w:color w:val="auto"/>
                <w:kern w:val="0"/>
                <w:sz w:val="24"/>
                <w:szCs w:val="28"/>
                <w:highlight w:val="none"/>
              </w:rPr>
              <w:t>收取单位：</w:t>
            </w:r>
            <w:r>
              <w:rPr>
                <w:rFonts w:hint="eastAsia" w:ascii="宋体" w:hAnsi="宋体" w:eastAsia="宋体"/>
                <w:bCs/>
                <w:color w:val="auto"/>
                <w:kern w:val="0"/>
                <w:sz w:val="24"/>
                <w:szCs w:val="28"/>
                <w:highlight w:val="none"/>
                <w:u w:val="single"/>
              </w:rPr>
              <w:t xml:space="preserve">              </w:t>
            </w:r>
            <w:r>
              <w:rPr>
                <w:rFonts w:hint="eastAsia" w:ascii="宋体" w:hAnsi="宋体" w:eastAsia="宋体"/>
                <w:bCs/>
                <w:color w:val="auto"/>
                <w:kern w:val="0"/>
                <w:sz w:val="24"/>
                <w:szCs w:val="28"/>
                <w:highlight w:val="none"/>
              </w:rPr>
              <w:t xml:space="preserve">              </w:t>
            </w:r>
          </w:p>
          <w:p w14:paraId="69290735">
            <w:pPr>
              <w:spacing w:line="360" w:lineRule="auto"/>
              <w:rPr>
                <w:rFonts w:hint="eastAsia" w:ascii="宋体" w:hAnsi="宋体" w:eastAsia="宋体"/>
                <w:bCs/>
                <w:color w:val="auto"/>
                <w:kern w:val="0"/>
                <w:sz w:val="24"/>
                <w:szCs w:val="28"/>
                <w:highlight w:val="none"/>
              </w:rPr>
            </w:pPr>
            <w:r>
              <w:rPr>
                <w:rFonts w:hint="eastAsia" w:ascii="宋体" w:hAnsi="宋体" w:eastAsia="宋体"/>
                <w:bCs/>
                <w:color w:val="auto"/>
                <w:kern w:val="0"/>
                <w:sz w:val="24"/>
                <w:szCs w:val="28"/>
                <w:highlight w:val="none"/>
                <w:lang w:val="en-US" w:eastAsia="zh-CN"/>
              </w:rPr>
              <w:t>（4）收取账号：</w:t>
            </w:r>
            <w:r>
              <w:rPr>
                <w:rFonts w:hint="eastAsia" w:ascii="宋体" w:hAnsi="宋体" w:eastAsia="宋体"/>
                <w:bCs/>
                <w:color w:val="auto"/>
                <w:kern w:val="0"/>
                <w:sz w:val="24"/>
                <w:szCs w:val="28"/>
                <w:highlight w:val="none"/>
                <w:u w:val="single"/>
              </w:rPr>
              <w:t xml:space="preserve">              </w:t>
            </w:r>
          </w:p>
          <w:p w14:paraId="73F16008">
            <w:pPr>
              <w:spacing w:line="360" w:lineRule="auto"/>
              <w:rPr>
                <w:rFonts w:ascii="宋体" w:hAnsi="宋体" w:eastAsia="宋体"/>
                <w:color w:val="auto"/>
                <w:sz w:val="24"/>
                <w:highlight w:val="none"/>
              </w:rPr>
            </w:pPr>
            <w:r>
              <w:rPr>
                <w:rFonts w:hint="eastAsia" w:ascii="宋体" w:hAnsi="宋体" w:eastAsia="宋体"/>
                <w:bCs/>
                <w:color w:val="auto"/>
                <w:kern w:val="0"/>
                <w:sz w:val="24"/>
                <w:szCs w:val="28"/>
                <w:highlight w:val="none"/>
              </w:rPr>
              <w:t>（</w:t>
            </w:r>
            <w:r>
              <w:rPr>
                <w:rFonts w:hint="eastAsia" w:ascii="宋体" w:hAnsi="宋体" w:eastAsia="宋体"/>
                <w:bCs/>
                <w:color w:val="auto"/>
                <w:kern w:val="0"/>
                <w:sz w:val="24"/>
                <w:szCs w:val="28"/>
                <w:highlight w:val="none"/>
                <w:lang w:val="en-US" w:eastAsia="zh-CN"/>
              </w:rPr>
              <w:t>5</w:t>
            </w:r>
            <w:r>
              <w:rPr>
                <w:rFonts w:hint="eastAsia" w:ascii="宋体" w:hAnsi="宋体" w:eastAsia="宋体"/>
                <w:bCs/>
                <w:color w:val="auto"/>
                <w:kern w:val="0"/>
                <w:sz w:val="24"/>
                <w:szCs w:val="28"/>
                <w:highlight w:val="none"/>
              </w:rPr>
              <w:t>）</w:t>
            </w:r>
            <w:r>
              <w:rPr>
                <w:rFonts w:hint="eastAsia" w:ascii="宋体" w:hAnsi="宋体" w:eastAsia="宋体"/>
                <w:color w:val="auto"/>
                <w:sz w:val="24"/>
                <w:highlight w:val="none"/>
              </w:rPr>
              <w:t>退还时间：</w:t>
            </w:r>
            <w:r>
              <w:rPr>
                <w:rFonts w:hint="eastAsia" w:ascii="宋体" w:hAnsi="宋体" w:eastAsia="宋体"/>
                <w:bCs/>
                <w:color w:val="auto"/>
                <w:kern w:val="0"/>
                <w:sz w:val="24"/>
                <w:szCs w:val="28"/>
                <w:highlight w:val="none"/>
                <w:u w:val="single"/>
              </w:rPr>
              <w:t xml:space="preserve">              </w:t>
            </w:r>
          </w:p>
          <w:p w14:paraId="323469F1">
            <w:pPr>
              <w:spacing w:line="360" w:lineRule="auto"/>
              <w:rPr>
                <w:rFonts w:cs="@仿宋_GB2312"/>
                <w:b/>
                <w:bCs/>
                <w:color w:val="auto"/>
                <w:sz w:val="24"/>
                <w:szCs w:val="24"/>
                <w:highlight w:val="none"/>
              </w:rPr>
            </w:pPr>
            <w:r>
              <w:rPr>
                <w:rFonts w:hint="eastAsia" w:cs="@仿宋_GB2312"/>
                <w:b/>
                <w:bCs/>
                <w:color w:val="auto"/>
                <w:sz w:val="24"/>
                <w:szCs w:val="24"/>
                <w:highlight w:val="none"/>
              </w:rPr>
              <w:t>注意事项：</w:t>
            </w:r>
          </w:p>
          <w:p w14:paraId="0E681529">
            <w:pPr>
              <w:spacing w:line="360" w:lineRule="auto"/>
              <w:rPr>
                <w:rFonts w:cs="@仿宋_GB2312"/>
                <w:b/>
                <w:bCs/>
                <w:color w:val="auto"/>
                <w:sz w:val="24"/>
                <w:szCs w:val="24"/>
                <w:highlight w:val="none"/>
              </w:rPr>
            </w:pPr>
            <w:r>
              <w:rPr>
                <w:rFonts w:hint="eastAsia" w:cs="@仿宋_GB2312"/>
                <w:b/>
                <w:bCs/>
                <w:color w:val="auto"/>
                <w:sz w:val="24"/>
                <w:szCs w:val="24"/>
                <w:highlight w:val="none"/>
              </w:rPr>
              <w:t>（1）以上各类机构出具的以担保函、保证保险承担责任的方式均须满足无条件见索即付条件。</w:t>
            </w:r>
          </w:p>
          <w:p w14:paraId="744907A6">
            <w:pPr>
              <w:pStyle w:val="75"/>
              <w:widowControl w:val="0"/>
              <w:spacing w:before="0" w:beforeAutospacing="0" w:after="0" w:afterAutospacing="0" w:line="360" w:lineRule="auto"/>
              <w:jc w:val="both"/>
              <w:rPr>
                <w:color w:val="auto"/>
                <w:sz w:val="24"/>
                <w:highlight w:val="none"/>
              </w:rPr>
            </w:pPr>
            <w:r>
              <w:rPr>
                <w:rFonts w:hint="eastAsia" w:cs="@仿宋_GB2312"/>
                <w:bCs w:val="0"/>
                <w:color w:val="auto"/>
                <w:sz w:val="24"/>
                <w:szCs w:val="24"/>
                <w:highlight w:val="none"/>
              </w:rPr>
              <w:t>（2）以担保函、保证保险形式缴纳履约保证金的，受益人和收取单位须为采购人。</w:t>
            </w:r>
          </w:p>
        </w:tc>
      </w:tr>
      <w:tr w14:paraId="29F51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198EDC9D">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lang w:val="en-US" w:eastAsia="zh-CN"/>
              </w:rPr>
              <w:t>26.1</w:t>
            </w:r>
          </w:p>
        </w:tc>
        <w:tc>
          <w:tcPr>
            <w:tcW w:w="977" w:type="pct"/>
            <w:vAlign w:val="center"/>
          </w:tcPr>
          <w:p w14:paraId="723E8FC3">
            <w:pPr>
              <w:pStyle w:val="75"/>
              <w:widowControl w:val="0"/>
              <w:spacing w:before="0" w:beforeAutospacing="0" w:after="0" w:afterAutospacing="0" w:line="360" w:lineRule="auto"/>
              <w:jc w:val="both"/>
              <w:rPr>
                <w:b w:val="0"/>
                <w:color w:val="auto"/>
                <w:sz w:val="24"/>
                <w:highlight w:val="none"/>
              </w:rPr>
            </w:pPr>
            <w:r>
              <w:rPr>
                <w:rFonts w:hint="eastAsia" w:ascii="宋体" w:hAnsi="宋体" w:eastAsia="宋体"/>
                <w:b w:val="0"/>
                <w:color w:val="auto"/>
                <w:sz w:val="24"/>
                <w:highlight w:val="none"/>
                <w:lang w:val="en-US" w:eastAsia="zh-CN"/>
              </w:rPr>
              <w:t>代理费用</w:t>
            </w:r>
          </w:p>
        </w:tc>
        <w:tc>
          <w:tcPr>
            <w:tcW w:w="3556" w:type="pct"/>
            <w:vAlign w:val="center"/>
          </w:tcPr>
          <w:p w14:paraId="5D7258E4">
            <w:pPr>
              <w:keepNext w:val="0"/>
              <w:keepLines w:val="0"/>
              <w:pageBreakBefore w:val="0"/>
              <w:widowControl w:val="0"/>
              <w:kinsoku/>
              <w:wordWrap/>
              <w:overflowPunct/>
              <w:topLinePunct w:val="0"/>
              <w:autoSpaceDE/>
              <w:autoSpaceDN/>
              <w:bidi w:val="0"/>
              <w:adjustRightInd/>
              <w:snapToGrid/>
              <w:spacing w:before="39" w:line="360" w:lineRule="auto"/>
              <w:textAlignment w:val="auto"/>
              <w:rPr>
                <w:rFonts w:hint="default" w:ascii="宋体" w:hAnsi="宋体" w:eastAsia="宋体" w:cs="宋体"/>
                <w:color w:val="auto"/>
                <w:sz w:val="24"/>
                <w:szCs w:val="24"/>
                <w:lang w:val="en-US" w:eastAsia="zh-CN"/>
              </w:rPr>
            </w:pPr>
            <w:r>
              <w:rPr>
                <w:rFonts w:hint="eastAsia" w:ascii="宋体" w:hAnsi="宋体" w:eastAsia="宋体"/>
                <w:bCs/>
                <w:color w:val="auto"/>
                <w:kern w:val="0"/>
                <w:sz w:val="24"/>
                <w:szCs w:val="28"/>
                <w:highlight w:val="none"/>
                <w:lang w:eastAsia="zh-CN"/>
              </w:rPr>
              <w:t>（</w:t>
            </w:r>
            <w:r>
              <w:rPr>
                <w:rFonts w:hint="eastAsia" w:ascii="宋体" w:hAnsi="宋体" w:eastAsia="宋体"/>
                <w:bCs/>
                <w:color w:val="auto"/>
                <w:kern w:val="0"/>
                <w:sz w:val="24"/>
                <w:szCs w:val="28"/>
                <w:highlight w:val="none"/>
                <w:lang w:val="en-US" w:eastAsia="zh-CN"/>
              </w:rPr>
              <w:t>1</w:t>
            </w:r>
            <w:r>
              <w:rPr>
                <w:rFonts w:hint="eastAsia" w:ascii="宋体" w:hAnsi="宋体" w:eastAsia="宋体"/>
                <w:bCs/>
                <w:color w:val="auto"/>
                <w:kern w:val="0"/>
                <w:sz w:val="24"/>
                <w:szCs w:val="28"/>
                <w:highlight w:val="none"/>
                <w:lang w:eastAsia="zh-CN"/>
              </w:rPr>
              <w:t>）</w:t>
            </w:r>
            <w:r>
              <w:rPr>
                <w:rFonts w:hint="default" w:ascii="宋体" w:hAnsi="宋体" w:eastAsia="宋体"/>
                <w:bCs/>
                <w:color w:val="auto"/>
                <w:kern w:val="0"/>
                <w:sz w:val="24"/>
                <w:szCs w:val="28"/>
                <w:highlight w:val="none"/>
              </w:rPr>
              <w:t>收费对象</w:t>
            </w:r>
            <w:r>
              <w:rPr>
                <w:rFonts w:ascii="宋体" w:hAnsi="宋体" w:eastAsia="宋体" w:cs="宋体"/>
                <w:color w:val="auto"/>
                <w:spacing w:val="-12"/>
                <w:sz w:val="24"/>
                <w:szCs w:val="24"/>
              </w:rPr>
              <w:t>：</w:t>
            </w:r>
            <w:r>
              <w:rPr>
                <w:rFonts w:hint="eastAsia" w:ascii="宋体" w:hAnsi="宋体" w:eastAsia="宋体"/>
                <w:bCs/>
                <w:color w:val="auto"/>
                <w:kern w:val="0"/>
                <w:sz w:val="24"/>
                <w:szCs w:val="28"/>
                <w:highlight w:val="none"/>
              </w:rPr>
              <w:sym w:font="Wingdings" w:char="00A8"/>
            </w:r>
            <w:r>
              <w:rPr>
                <w:rFonts w:ascii="宋体" w:hAnsi="宋体" w:eastAsia="宋体" w:cs="宋体"/>
                <w:color w:val="auto"/>
                <w:spacing w:val="14"/>
                <w:sz w:val="24"/>
                <w:szCs w:val="24"/>
              </w:rPr>
              <w:t>采购人</w:t>
            </w:r>
            <w:r>
              <w:rPr>
                <w:rFonts w:hint="eastAsia" w:ascii="宋体" w:hAnsi="宋体" w:eastAsia="宋体" w:cs="宋体"/>
                <w:color w:val="auto"/>
                <w:spacing w:val="14"/>
                <w:sz w:val="24"/>
                <w:szCs w:val="24"/>
                <w:lang w:val="en-US" w:eastAsia="zh-CN"/>
              </w:rPr>
              <w:t xml:space="preserve">   </w:t>
            </w:r>
            <w:r>
              <w:rPr>
                <w:rFonts w:hint="eastAsia" w:ascii="宋体" w:hAnsi="宋体" w:eastAsia="宋体"/>
                <w:bCs/>
                <w:color w:val="auto"/>
                <w:kern w:val="0"/>
                <w:sz w:val="24"/>
                <w:szCs w:val="28"/>
                <w:highlight w:val="none"/>
              </w:rPr>
              <w:sym w:font="Wingdings" w:char="00FE"/>
            </w:r>
            <w:r>
              <w:rPr>
                <w:rFonts w:hint="eastAsia"/>
                <w:bCs/>
                <w:color w:val="auto"/>
                <w:kern w:val="0"/>
                <w:sz w:val="24"/>
                <w:szCs w:val="28"/>
                <w:highlight w:val="none"/>
                <w:lang w:val="en-US" w:eastAsia="zh-CN"/>
              </w:rPr>
              <w:t>成交供应商</w:t>
            </w:r>
          </w:p>
          <w:p w14:paraId="1955D930">
            <w:pPr>
              <w:keepNext w:val="0"/>
              <w:keepLines w:val="0"/>
              <w:pageBreakBefore w:val="0"/>
              <w:widowControl w:val="0"/>
              <w:kinsoku/>
              <w:wordWrap/>
              <w:overflowPunct/>
              <w:topLinePunct w:val="0"/>
              <w:autoSpaceDE/>
              <w:autoSpaceDN/>
              <w:bidi w:val="0"/>
              <w:adjustRightInd/>
              <w:snapToGrid/>
              <w:spacing w:before="24" w:line="360" w:lineRule="auto"/>
              <w:textAlignment w:val="auto"/>
              <w:rPr>
                <w:rFonts w:hint="eastAsia" w:ascii="宋体" w:hAnsi="宋体" w:eastAsia="宋体"/>
                <w:bCs/>
                <w:color w:val="auto"/>
                <w:kern w:val="0"/>
                <w:sz w:val="24"/>
                <w:szCs w:val="28"/>
                <w:highlight w:val="none"/>
              </w:rPr>
            </w:pPr>
            <w:r>
              <w:rPr>
                <w:rFonts w:hint="eastAsia" w:ascii="宋体" w:hAnsi="宋体" w:eastAsia="宋体"/>
                <w:bCs/>
                <w:color w:val="auto"/>
                <w:kern w:val="0"/>
                <w:sz w:val="24"/>
                <w:szCs w:val="28"/>
                <w:highlight w:val="none"/>
              </w:rPr>
              <w:t>（2）</w:t>
            </w:r>
            <w:r>
              <w:rPr>
                <w:rFonts w:hint="default" w:ascii="宋体" w:hAnsi="宋体" w:eastAsia="宋体"/>
                <w:bCs/>
                <w:color w:val="auto"/>
                <w:kern w:val="0"/>
                <w:sz w:val="24"/>
                <w:szCs w:val="28"/>
                <w:highlight w:val="none"/>
              </w:rPr>
              <w:t>收取方式</w:t>
            </w:r>
            <w:r>
              <w:rPr>
                <w:rFonts w:ascii="宋体" w:hAnsi="宋体" w:eastAsia="宋体" w:cs="宋体"/>
                <w:color w:val="auto"/>
                <w:sz w:val="24"/>
                <w:szCs w:val="24"/>
              </w:rPr>
              <w:t>：</w:t>
            </w:r>
            <w:r>
              <w:rPr>
                <w:rFonts w:ascii="宋体" w:hAnsi="宋体" w:eastAsia="宋体" w:cs="宋体"/>
                <w:color w:val="auto"/>
                <w:sz w:val="24"/>
                <w:szCs w:val="24"/>
                <w:u w:val="single" w:color="auto"/>
              </w:rPr>
              <w:t xml:space="preserve"> </w:t>
            </w:r>
            <w:r>
              <w:rPr>
                <w:rFonts w:hint="eastAsia" w:cs="宋体"/>
                <w:color w:val="auto"/>
                <w:sz w:val="24"/>
                <w:szCs w:val="24"/>
                <w:u w:val="single" w:color="auto"/>
                <w:lang w:val="en-US" w:eastAsia="zh-CN"/>
              </w:rPr>
              <w:t>转账</w:t>
            </w:r>
            <w:r>
              <w:rPr>
                <w:rFonts w:ascii="宋体" w:hAnsi="宋体" w:eastAsia="宋体" w:cs="宋体"/>
                <w:color w:val="auto"/>
                <w:sz w:val="24"/>
                <w:szCs w:val="24"/>
                <w:u w:val="single" w:color="auto"/>
              </w:rPr>
              <w:t xml:space="preserve"> </w:t>
            </w:r>
          </w:p>
          <w:p w14:paraId="3319C5F9">
            <w:pPr>
              <w:pStyle w:val="7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both"/>
              <w:textAlignment w:val="auto"/>
              <w:rPr>
                <w:rFonts w:hint="default"/>
                <w:bCs/>
                <w:color w:val="auto"/>
                <w:sz w:val="24"/>
                <w:szCs w:val="28"/>
                <w:highlight w:val="none"/>
                <w:lang w:val="en-US"/>
              </w:rPr>
            </w:pPr>
            <w:r>
              <w:rPr>
                <w:rFonts w:hint="eastAsia" w:ascii="宋体" w:hAnsi="宋体" w:eastAsia="宋体"/>
                <w:b w:val="0"/>
                <w:bCs w:val="0"/>
                <w:color w:val="auto"/>
                <w:kern w:val="0"/>
                <w:sz w:val="24"/>
                <w:szCs w:val="28"/>
                <w:highlight w:val="none"/>
              </w:rPr>
              <w:t>（3）</w:t>
            </w:r>
            <w:r>
              <w:rPr>
                <w:rFonts w:hint="default" w:ascii="宋体" w:hAnsi="宋体" w:eastAsia="宋体" w:cs="@仿宋_GB2312"/>
                <w:b w:val="0"/>
                <w:bCs/>
                <w:color w:val="auto"/>
                <w:kern w:val="0"/>
                <w:sz w:val="24"/>
                <w:szCs w:val="28"/>
                <w:highlight w:val="none"/>
                <w:lang w:val="en-US" w:eastAsia="zh-CN" w:bidi="ar-SA"/>
              </w:rPr>
              <w:t>收费标准：</w:t>
            </w:r>
            <w:r>
              <w:rPr>
                <w:rFonts w:ascii="宋体" w:hAnsi="宋体" w:eastAsia="宋体" w:cs="宋体"/>
                <w:color w:val="auto"/>
                <w:sz w:val="24"/>
                <w:szCs w:val="24"/>
                <w:u w:val="single" w:color="auto"/>
              </w:rPr>
              <w:t xml:space="preserve"> </w:t>
            </w:r>
            <w:r>
              <w:rPr>
                <w:rFonts w:hint="eastAsia" w:ascii="宋体" w:hAnsi="宋体" w:eastAsia="宋体" w:cs="宋体"/>
                <w:b w:val="0"/>
                <w:bCs w:val="0"/>
                <w:color w:val="auto"/>
                <w:sz w:val="24"/>
                <w:szCs w:val="24"/>
                <w:u w:val="single" w:color="auto"/>
                <w:lang w:val="en-US" w:eastAsia="zh-CN" w:bidi="ar-SA"/>
              </w:rPr>
              <w:t>参考《国家计委关于印发&lt;招标代理服务收费管理暂行办法&gt;的通知》(计价格【2002】1980号)执行，代理费：</w:t>
            </w:r>
            <w:r>
              <w:rPr>
                <w:rFonts w:hint="eastAsia" w:cs="宋体"/>
                <w:b w:val="0"/>
                <w:bCs w:val="0"/>
                <w:color w:val="auto"/>
                <w:sz w:val="24"/>
                <w:szCs w:val="24"/>
                <w:u w:val="single" w:color="auto"/>
                <w:lang w:val="en-US" w:eastAsia="zh-CN" w:bidi="ar-SA"/>
              </w:rPr>
              <w:t>3</w:t>
            </w:r>
            <w:r>
              <w:rPr>
                <w:rFonts w:hint="eastAsia" w:ascii="宋体" w:hAnsi="宋体" w:eastAsia="宋体" w:cs="宋体"/>
                <w:b w:val="0"/>
                <w:bCs w:val="0"/>
                <w:color w:val="auto"/>
                <w:sz w:val="24"/>
                <w:szCs w:val="24"/>
                <w:u w:val="single" w:color="auto"/>
                <w:lang w:val="en-US" w:eastAsia="zh-CN" w:bidi="ar-SA"/>
              </w:rPr>
              <w:t>000.00元。</w:t>
            </w:r>
          </w:p>
        </w:tc>
      </w:tr>
      <w:tr w14:paraId="32FFC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7F7716ED">
            <w:pPr>
              <w:pStyle w:val="76"/>
              <w:pBdr>
                <w:bottom w:val="none" w:color="auto" w:sz="0" w:space="0"/>
              </w:pBdr>
              <w:tabs>
                <w:tab w:val="clear" w:pos="4153"/>
                <w:tab w:val="clear" w:pos="8306"/>
              </w:tabs>
              <w:adjustRightInd/>
              <w:spacing w:line="360" w:lineRule="auto"/>
              <w:textAlignment w:val="auto"/>
              <w:rPr>
                <w:rFonts w:hint="default" w:ascii="宋体" w:hAnsi="宋体" w:eastAsia="宋体" w:cs="@仿宋_GB2312"/>
                <w:bCs/>
                <w:color w:val="auto"/>
                <w:kern w:val="2"/>
                <w:sz w:val="24"/>
                <w:szCs w:val="20"/>
                <w:highlight w:val="none"/>
                <w:lang w:val="en-US" w:eastAsia="zh-CN" w:bidi="ar-SA"/>
              </w:rPr>
            </w:pPr>
            <w:r>
              <w:rPr>
                <w:rFonts w:hint="eastAsia"/>
                <w:bCs/>
                <w:color w:val="auto"/>
                <w:kern w:val="2"/>
                <w:highlight w:val="none"/>
                <w:lang w:val="en-US" w:eastAsia="zh-CN"/>
              </w:rPr>
              <w:t>27.1</w:t>
            </w:r>
          </w:p>
        </w:tc>
        <w:tc>
          <w:tcPr>
            <w:tcW w:w="977" w:type="pct"/>
            <w:vAlign w:val="center"/>
          </w:tcPr>
          <w:p w14:paraId="39A40245">
            <w:pPr>
              <w:pStyle w:val="75"/>
              <w:widowControl w:val="0"/>
              <w:spacing w:before="0" w:beforeAutospacing="0" w:after="0" w:afterAutospacing="0" w:line="360" w:lineRule="auto"/>
              <w:jc w:val="both"/>
              <w:rPr>
                <w:rFonts w:hint="eastAsia" w:ascii="宋体" w:hAnsi="宋体" w:eastAsia="宋体" w:cs="@仿宋_GB2312"/>
                <w:b w:val="0"/>
                <w:bCs/>
                <w:color w:val="auto"/>
                <w:kern w:val="0"/>
                <w:sz w:val="24"/>
                <w:szCs w:val="28"/>
                <w:highlight w:val="none"/>
                <w:lang w:val="en-US" w:eastAsia="zh-CN" w:bidi="ar-SA"/>
              </w:rPr>
            </w:pPr>
            <w:r>
              <w:rPr>
                <w:rFonts w:hint="eastAsia" w:ascii="宋体" w:hAnsi="宋体" w:eastAsia="宋体"/>
                <w:b w:val="0"/>
                <w:color w:val="auto"/>
                <w:sz w:val="24"/>
                <w:highlight w:val="none"/>
                <w:lang w:val="en-US" w:eastAsia="zh-CN"/>
              </w:rPr>
              <w:t>签订合同和合同公告时间</w:t>
            </w:r>
          </w:p>
        </w:tc>
        <w:tc>
          <w:tcPr>
            <w:tcW w:w="3556" w:type="pct"/>
            <w:vAlign w:val="center"/>
          </w:tcPr>
          <w:p w14:paraId="52ECA3AC">
            <w:pPr>
              <w:pStyle w:val="75"/>
              <w:widowControl w:val="0"/>
              <w:spacing w:before="0" w:beforeAutospacing="0" w:after="0" w:afterAutospacing="0" w:line="360" w:lineRule="auto"/>
              <w:jc w:val="both"/>
              <w:rPr>
                <w:rFonts w:hint="eastAsia" w:ascii="宋体" w:hAnsi="宋体" w:eastAsia="宋体"/>
                <w:b w:val="0"/>
                <w:bCs/>
                <w:color w:val="auto"/>
                <w:sz w:val="24"/>
                <w:highlight w:val="none"/>
                <w:lang w:val="en-US" w:eastAsia="zh-CN"/>
              </w:rPr>
            </w:pPr>
            <w:r>
              <w:rPr>
                <w:rFonts w:hint="eastAsia"/>
                <w:b w:val="0"/>
                <w:bCs/>
                <w:color w:val="auto"/>
                <w:sz w:val="24"/>
                <w:highlight w:val="none"/>
                <w:lang w:val="en-US" w:eastAsia="zh-CN"/>
              </w:rPr>
              <w:t>（1）</w:t>
            </w:r>
            <w:r>
              <w:rPr>
                <w:rFonts w:hint="eastAsia" w:ascii="宋体" w:hAnsi="宋体" w:eastAsia="宋体"/>
                <w:b w:val="0"/>
                <w:bCs/>
                <w:color w:val="auto"/>
                <w:sz w:val="24"/>
                <w:highlight w:val="none"/>
                <w:lang w:val="en-US" w:eastAsia="zh-CN"/>
              </w:rPr>
              <w:t>采购人与成交供应商应当自发出成交通知书之日起7个工作日内签订合同，采购合同签订之日起2个工作日内完成政府采购合同公开。</w:t>
            </w:r>
          </w:p>
          <w:p w14:paraId="4677233E">
            <w:pPr>
              <w:pStyle w:val="75"/>
              <w:widowControl w:val="0"/>
              <w:spacing w:before="0" w:beforeAutospacing="0" w:after="0" w:afterAutospacing="0" w:line="360" w:lineRule="auto"/>
              <w:jc w:val="both"/>
              <w:rPr>
                <w:rFonts w:hint="eastAsia" w:ascii="宋体" w:hAnsi="宋体" w:eastAsia="宋体"/>
                <w:b w:val="0"/>
                <w:color w:val="auto"/>
                <w:sz w:val="24"/>
                <w:highlight w:val="none"/>
                <w:lang w:val="en-US" w:eastAsia="zh-CN"/>
              </w:rPr>
            </w:pPr>
            <w:r>
              <w:rPr>
                <w:rFonts w:ascii="宋体" w:hAnsi="宋体" w:eastAsia="宋体" w:cs="宋体"/>
                <w:b w:val="0"/>
                <w:bCs/>
                <w:sz w:val="24"/>
                <w:szCs w:val="24"/>
              </w:rPr>
              <w:t>（2）采购人与</w:t>
            </w:r>
            <w:r>
              <w:rPr>
                <w:rFonts w:hint="eastAsia" w:ascii="宋体" w:hAnsi="宋体" w:eastAsia="宋体"/>
                <w:b w:val="0"/>
                <w:bCs/>
                <w:color w:val="auto"/>
                <w:sz w:val="24"/>
                <w:highlight w:val="none"/>
                <w:lang w:val="en-US" w:eastAsia="zh-CN"/>
              </w:rPr>
              <w:t>成交供应商</w:t>
            </w:r>
            <w:r>
              <w:rPr>
                <w:rFonts w:ascii="宋体" w:hAnsi="宋体" w:eastAsia="宋体" w:cs="宋体"/>
                <w:b w:val="0"/>
                <w:bCs/>
                <w:sz w:val="24"/>
                <w:szCs w:val="24"/>
              </w:rPr>
              <w:t>不得擅自变更合同，依照政府采购法确需变更政府采购合同内容的。</w:t>
            </w:r>
          </w:p>
        </w:tc>
      </w:tr>
      <w:tr w14:paraId="4B9F6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15956118">
            <w:pPr>
              <w:pStyle w:val="76"/>
              <w:pBdr>
                <w:bottom w:val="none" w:color="auto" w:sz="0" w:space="0"/>
              </w:pBdr>
              <w:tabs>
                <w:tab w:val="clear" w:pos="4153"/>
                <w:tab w:val="clear" w:pos="8306"/>
              </w:tabs>
              <w:adjustRightInd/>
              <w:spacing w:line="360" w:lineRule="auto"/>
              <w:textAlignment w:val="auto"/>
              <w:rPr>
                <w:rFonts w:hint="default" w:eastAsia="宋体"/>
                <w:bCs/>
                <w:color w:val="auto"/>
                <w:kern w:val="2"/>
                <w:highlight w:val="none"/>
                <w:lang w:val="en-US" w:eastAsia="zh-CN"/>
              </w:rPr>
            </w:pPr>
            <w:r>
              <w:rPr>
                <w:rFonts w:hint="eastAsia"/>
                <w:bCs/>
                <w:color w:val="auto"/>
                <w:kern w:val="2"/>
                <w:highlight w:val="none"/>
                <w:lang w:val="en-US" w:eastAsia="zh-CN"/>
              </w:rPr>
              <w:t>29.3</w:t>
            </w:r>
          </w:p>
        </w:tc>
        <w:tc>
          <w:tcPr>
            <w:tcW w:w="977" w:type="pct"/>
            <w:vAlign w:val="center"/>
          </w:tcPr>
          <w:p w14:paraId="6C24670D">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质疑函递交方式、接收部门、联系电话和通讯地址</w:t>
            </w:r>
          </w:p>
        </w:tc>
        <w:tc>
          <w:tcPr>
            <w:tcW w:w="3556" w:type="pct"/>
            <w:vAlign w:val="center"/>
          </w:tcPr>
          <w:p w14:paraId="282738F4">
            <w:pPr>
              <w:pStyle w:val="75"/>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递交方式：</w:t>
            </w:r>
            <w:r>
              <w:rPr>
                <w:rFonts w:hint="eastAsia" w:ascii="宋体" w:hAnsi="宋体" w:eastAsia="宋体"/>
                <w:bCs/>
                <w:color w:val="auto"/>
                <w:kern w:val="0"/>
                <w:sz w:val="24"/>
                <w:szCs w:val="28"/>
                <w:highlight w:val="none"/>
                <w:u w:val="single"/>
              </w:rPr>
              <w:t xml:space="preserve"> </w:t>
            </w:r>
            <w:r>
              <w:rPr>
                <w:rFonts w:hint="eastAsia" w:ascii="宋体" w:hAnsi="宋体" w:eastAsia="宋体"/>
                <w:b w:val="0"/>
                <w:bCs/>
                <w:color w:val="auto"/>
                <w:kern w:val="0"/>
                <w:sz w:val="24"/>
                <w:szCs w:val="28"/>
                <w:highlight w:val="none"/>
                <w:u w:val="single"/>
              </w:rPr>
              <w:t>如供应商对</w:t>
            </w:r>
            <w:r>
              <w:rPr>
                <w:rFonts w:hint="eastAsia" w:ascii="宋体" w:hAnsi="宋体" w:eastAsia="宋体"/>
                <w:b w:val="0"/>
                <w:bCs/>
                <w:color w:val="auto"/>
                <w:kern w:val="0"/>
                <w:sz w:val="24"/>
                <w:szCs w:val="28"/>
                <w:highlight w:val="none"/>
                <w:u w:val="single"/>
                <w:lang w:val="en-US" w:eastAsia="zh-CN"/>
              </w:rPr>
              <w:t>谈判</w:t>
            </w:r>
            <w:r>
              <w:rPr>
                <w:rFonts w:hint="eastAsia" w:ascii="宋体" w:hAnsi="宋体" w:eastAsia="宋体"/>
                <w:b w:val="0"/>
                <w:bCs/>
                <w:color w:val="auto"/>
                <w:kern w:val="0"/>
                <w:sz w:val="24"/>
                <w:szCs w:val="28"/>
                <w:highlight w:val="none"/>
                <w:u w:val="single"/>
              </w:rPr>
              <w:t>文件有质疑，依据中华人民共和国财政部令第94号《政府采购质疑和投诉办法》规定提出质疑；</w:t>
            </w:r>
            <w:r>
              <w:rPr>
                <w:rFonts w:hint="eastAsia" w:ascii="宋体" w:hAnsi="宋体" w:eastAsia="宋体"/>
                <w:bCs/>
                <w:color w:val="auto"/>
                <w:kern w:val="0"/>
                <w:sz w:val="24"/>
                <w:szCs w:val="28"/>
                <w:highlight w:val="none"/>
                <w:u w:val="single"/>
              </w:rPr>
              <w:t xml:space="preserve"> </w:t>
            </w:r>
          </w:p>
          <w:p w14:paraId="6A4ED93F">
            <w:pPr>
              <w:pStyle w:val="75"/>
              <w:widowControl w:val="0"/>
              <w:spacing w:before="0" w:beforeAutospacing="0" w:after="0" w:afterAutospacing="0" w:line="360" w:lineRule="auto"/>
              <w:jc w:val="both"/>
              <w:rPr>
                <w:rFonts w:hint="default" w:ascii="宋体" w:hAnsi="宋体" w:eastAsia="宋体"/>
                <w:b w:val="0"/>
                <w:bCs w:val="0"/>
                <w:color w:val="auto"/>
                <w:sz w:val="24"/>
                <w:szCs w:val="18"/>
                <w:highlight w:val="none"/>
                <w:lang w:val="en-US" w:eastAsia="zh-CN"/>
              </w:rPr>
            </w:pPr>
            <w:r>
              <w:rPr>
                <w:rFonts w:hint="eastAsia" w:ascii="宋体" w:hAnsi="宋体" w:eastAsia="宋体"/>
                <w:b w:val="0"/>
                <w:color w:val="auto"/>
                <w:sz w:val="24"/>
                <w:highlight w:val="none"/>
              </w:rPr>
              <w:t>接收部门：</w:t>
            </w:r>
            <w:r>
              <w:rPr>
                <w:rFonts w:hint="eastAsia"/>
                <w:b w:val="0"/>
                <w:bCs w:val="0"/>
                <w:color w:val="auto"/>
                <w:kern w:val="0"/>
                <w:sz w:val="24"/>
                <w:szCs w:val="28"/>
                <w:highlight w:val="none"/>
                <w:u w:val="single"/>
                <w:lang w:val="en-US" w:eastAsia="zh-CN"/>
              </w:rPr>
              <w:t>定远县总医院、安徽三辰工程项目管理有限公司</w:t>
            </w:r>
          </w:p>
          <w:p w14:paraId="5643296D">
            <w:pPr>
              <w:pStyle w:val="75"/>
              <w:widowControl w:val="0"/>
              <w:spacing w:before="0" w:beforeAutospacing="0" w:after="0" w:afterAutospacing="0" w:line="360" w:lineRule="auto"/>
              <w:jc w:val="both"/>
              <w:rPr>
                <w:rFonts w:hint="default" w:ascii="宋体" w:hAnsi="宋体" w:eastAsia="宋体" w:cs="宋体"/>
                <w:b w:val="0"/>
                <w:bCs/>
                <w:color w:val="auto"/>
                <w:sz w:val="24"/>
                <w:szCs w:val="24"/>
                <w:highlight w:val="none"/>
                <w:lang w:val="en-US"/>
              </w:rPr>
            </w:pPr>
            <w:r>
              <w:rPr>
                <w:rFonts w:hint="eastAsia" w:ascii="宋体" w:hAnsi="宋体" w:eastAsia="宋体" w:cs="宋体"/>
                <w:b w:val="0"/>
                <w:bCs/>
                <w:color w:val="auto"/>
                <w:sz w:val="24"/>
                <w:szCs w:val="24"/>
                <w:highlight w:val="none"/>
              </w:rPr>
              <w:t>联系电话：</w:t>
            </w:r>
            <w:r>
              <w:rPr>
                <w:rFonts w:hint="eastAsia" w:cs="宋体"/>
                <w:b w:val="0"/>
                <w:bCs/>
                <w:color w:val="auto"/>
                <w:sz w:val="24"/>
                <w:szCs w:val="24"/>
                <w:highlight w:val="none"/>
                <w:u w:val="single"/>
                <w:lang w:val="en-US" w:eastAsia="zh-CN"/>
              </w:rPr>
              <w:t xml:space="preserve"> 13955035619 </w:t>
            </w:r>
            <w:r>
              <w:rPr>
                <w:rFonts w:hint="eastAsia" w:ascii="宋体" w:hAnsi="宋体" w:eastAsia="宋体" w:cs="宋体"/>
                <w:b w:val="0"/>
                <w:bCs/>
                <w:color w:val="auto"/>
                <w:sz w:val="24"/>
                <w:szCs w:val="24"/>
                <w:highlight w:val="none"/>
                <w:u w:val="single"/>
                <w:lang w:val="en-US" w:eastAsia="zh-CN"/>
              </w:rPr>
              <w:t>、13855066936</w:t>
            </w:r>
          </w:p>
          <w:p w14:paraId="31976473">
            <w:pPr>
              <w:pStyle w:val="75"/>
              <w:widowControl w:val="0"/>
              <w:spacing w:before="0" w:beforeAutospacing="0" w:after="0" w:afterAutospacing="0" w:line="360" w:lineRule="auto"/>
              <w:jc w:val="both"/>
              <w:rPr>
                <w:rFonts w:hint="default"/>
                <w:b w:val="0"/>
                <w:color w:val="auto"/>
                <w:sz w:val="24"/>
                <w:highlight w:val="none"/>
                <w:lang w:val="en-US"/>
              </w:rPr>
            </w:pPr>
            <w:r>
              <w:rPr>
                <w:rFonts w:hint="eastAsia" w:ascii="宋体" w:hAnsi="宋体" w:eastAsia="宋体"/>
                <w:b w:val="0"/>
                <w:color w:val="auto"/>
                <w:sz w:val="24"/>
                <w:highlight w:val="none"/>
              </w:rPr>
              <w:t>通讯地址：</w:t>
            </w:r>
            <w:r>
              <w:rPr>
                <w:rFonts w:hint="eastAsia"/>
                <w:b w:val="0"/>
                <w:bCs w:val="0"/>
                <w:color w:val="auto"/>
                <w:kern w:val="0"/>
                <w:sz w:val="24"/>
                <w:szCs w:val="28"/>
                <w:highlight w:val="none"/>
                <w:u w:val="single"/>
                <w:lang w:val="en-US" w:eastAsia="zh-CN"/>
              </w:rPr>
              <w:t>定远县总医院</w:t>
            </w:r>
            <w:r>
              <w:rPr>
                <w:rFonts w:hint="eastAsia"/>
                <w:b w:val="0"/>
                <w:color w:val="auto"/>
                <w:sz w:val="24"/>
                <w:highlight w:val="none"/>
                <w:u w:val="single"/>
                <w:lang w:val="en-US" w:eastAsia="zh-CN"/>
              </w:rPr>
              <w:t>、定远县定城镇长征西路</w:t>
            </w:r>
          </w:p>
        </w:tc>
      </w:tr>
      <w:tr w14:paraId="5DFA6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16" w:type="dxa"/>
            <w:vAlign w:val="center"/>
          </w:tcPr>
          <w:p w14:paraId="38307228">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rPr>
              <w:t>3</w:t>
            </w:r>
            <w:r>
              <w:rPr>
                <w:rFonts w:hint="eastAsia"/>
                <w:bCs/>
                <w:color w:val="auto"/>
                <w:kern w:val="2"/>
                <w:highlight w:val="none"/>
                <w:lang w:val="en-US" w:eastAsia="zh-CN"/>
              </w:rPr>
              <w:t>0</w:t>
            </w:r>
          </w:p>
        </w:tc>
        <w:tc>
          <w:tcPr>
            <w:tcW w:w="977" w:type="pct"/>
            <w:vAlign w:val="center"/>
          </w:tcPr>
          <w:p w14:paraId="3EA0CB19">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其他内容</w:t>
            </w:r>
          </w:p>
        </w:tc>
        <w:tc>
          <w:tcPr>
            <w:tcW w:w="3556" w:type="pct"/>
            <w:vAlign w:val="center"/>
          </w:tcPr>
          <w:p w14:paraId="317BB46C">
            <w:pPr>
              <w:spacing w:line="360" w:lineRule="auto"/>
              <w:rPr>
                <w:rFonts w:hint="default" w:asciiTheme="minorEastAsia" w:hAnsiTheme="minorEastAsia" w:eastAsiaTheme="minorEastAsia"/>
                <w:bCs/>
                <w:color w:val="auto"/>
                <w:sz w:val="24"/>
                <w:szCs w:val="24"/>
                <w:highlight w:val="none"/>
                <w:lang w:val="en-US" w:eastAsia="zh-CN"/>
              </w:rPr>
            </w:pPr>
            <w:r>
              <w:rPr>
                <w:rFonts w:hint="eastAsia" w:asciiTheme="minorEastAsia" w:hAnsiTheme="minorEastAsia" w:eastAsiaTheme="minorEastAsia"/>
                <w:bCs/>
                <w:color w:val="auto"/>
                <w:sz w:val="24"/>
                <w:szCs w:val="24"/>
                <w:highlight w:val="none"/>
                <w:lang w:val="en-US" w:eastAsia="zh-CN"/>
              </w:rPr>
              <w:t>1.解释权</w:t>
            </w:r>
          </w:p>
          <w:p w14:paraId="7A4605E0">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（1）</w:t>
            </w:r>
            <w:r>
              <w:rPr>
                <w:rFonts w:asciiTheme="minorEastAsia" w:hAnsiTheme="minorEastAsia" w:eastAsiaTheme="minorEastAsia"/>
                <w:bCs/>
                <w:color w:val="auto"/>
                <w:sz w:val="24"/>
                <w:szCs w:val="24"/>
                <w:highlight w:val="none"/>
              </w:rPr>
              <w:t>构成本</w:t>
            </w:r>
            <w:r>
              <w:rPr>
                <w:rFonts w:hint="eastAsia" w:asciiTheme="minorEastAsia" w:hAnsiTheme="minorEastAsia" w:eastAsiaTheme="minorEastAsia"/>
                <w:bCs/>
                <w:color w:val="auto"/>
                <w:sz w:val="24"/>
                <w:szCs w:val="24"/>
                <w:highlight w:val="none"/>
                <w:lang w:eastAsia="zh-CN"/>
              </w:rPr>
              <w:t>谈判</w:t>
            </w:r>
            <w:r>
              <w:rPr>
                <w:rFonts w:asciiTheme="minorEastAsia" w:hAnsiTheme="minorEastAsia" w:eastAsiaTheme="minorEastAsia"/>
                <w:bCs/>
                <w:color w:val="auto"/>
                <w:sz w:val="24"/>
                <w:szCs w:val="24"/>
                <w:highlight w:val="none"/>
              </w:rPr>
              <w:t>文件的各个组成文件应互为解释，互为说明；</w:t>
            </w:r>
          </w:p>
          <w:p w14:paraId="2F1F667F">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（2）</w:t>
            </w:r>
            <w:r>
              <w:rPr>
                <w:rFonts w:asciiTheme="minorEastAsia" w:hAnsiTheme="minorEastAsia" w:eastAsiaTheme="minorEastAsia"/>
                <w:bCs/>
                <w:color w:val="auto"/>
                <w:sz w:val="24"/>
                <w:szCs w:val="24"/>
                <w:highlight w:val="none"/>
              </w:rPr>
              <w:t>同一组成文件中就同一事项的规定或约定不一致的，以编排顺序在后者为准；</w:t>
            </w:r>
          </w:p>
          <w:p w14:paraId="59E4CCD0">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（3）</w:t>
            </w:r>
            <w:r>
              <w:rPr>
                <w:rFonts w:asciiTheme="minorEastAsia" w:hAnsiTheme="minorEastAsia" w:eastAsiaTheme="minorEastAsia"/>
                <w:bCs/>
                <w:color w:val="auto"/>
                <w:sz w:val="24"/>
                <w:szCs w:val="24"/>
                <w:highlight w:val="none"/>
              </w:rPr>
              <w:t>如有不明确或不一致，构成合同文件组成内容的，以合同文件约定内容为准，且以专用合同条款约定的合同文件优先顺序解释；</w:t>
            </w:r>
          </w:p>
          <w:p w14:paraId="3F80539A">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（4）</w:t>
            </w:r>
            <w:r>
              <w:rPr>
                <w:rFonts w:asciiTheme="minorEastAsia" w:hAnsiTheme="minorEastAsia" w:eastAsiaTheme="minorEastAsia"/>
                <w:bCs/>
                <w:color w:val="auto"/>
                <w:sz w:val="24"/>
                <w:szCs w:val="24"/>
                <w:highlight w:val="none"/>
              </w:rPr>
              <w:t>除</w:t>
            </w:r>
            <w:r>
              <w:rPr>
                <w:rFonts w:hint="eastAsia" w:asciiTheme="minorEastAsia" w:hAnsiTheme="minorEastAsia" w:eastAsiaTheme="minorEastAsia"/>
                <w:bCs/>
                <w:color w:val="auto"/>
                <w:sz w:val="24"/>
                <w:szCs w:val="24"/>
                <w:highlight w:val="none"/>
                <w:lang w:eastAsia="zh-CN"/>
              </w:rPr>
              <w:t>谈判</w:t>
            </w:r>
            <w:r>
              <w:rPr>
                <w:rFonts w:asciiTheme="minorEastAsia" w:hAnsiTheme="minorEastAsia" w:eastAsiaTheme="minorEastAsia"/>
                <w:bCs/>
                <w:color w:val="auto"/>
                <w:sz w:val="24"/>
                <w:szCs w:val="24"/>
                <w:highlight w:val="none"/>
              </w:rPr>
              <w:t>文件中有特别规定外，仅适用于</w:t>
            </w:r>
            <w:r>
              <w:rPr>
                <w:rFonts w:hint="eastAsia" w:asciiTheme="minorEastAsia" w:hAnsiTheme="minorEastAsia" w:eastAsiaTheme="minorEastAsia"/>
                <w:bCs/>
                <w:color w:val="auto"/>
                <w:sz w:val="24"/>
                <w:szCs w:val="24"/>
                <w:highlight w:val="none"/>
                <w:lang w:eastAsia="zh-CN"/>
              </w:rPr>
              <w:t>谈判</w:t>
            </w:r>
            <w:r>
              <w:rPr>
                <w:rFonts w:hint="eastAsia" w:asciiTheme="minorEastAsia" w:hAnsiTheme="minorEastAsia" w:eastAsiaTheme="minorEastAsia"/>
                <w:bCs/>
                <w:color w:val="auto"/>
                <w:sz w:val="24"/>
                <w:szCs w:val="24"/>
                <w:highlight w:val="none"/>
              </w:rPr>
              <w:t>及响应文件提交</w:t>
            </w:r>
            <w:r>
              <w:rPr>
                <w:rFonts w:asciiTheme="minorEastAsia" w:hAnsiTheme="minorEastAsia" w:eastAsiaTheme="minorEastAsia"/>
                <w:bCs/>
                <w:color w:val="auto"/>
                <w:sz w:val="24"/>
                <w:szCs w:val="24"/>
                <w:highlight w:val="none"/>
              </w:rPr>
              <w:t>阶段的规定，按</w:t>
            </w:r>
            <w:r>
              <w:rPr>
                <w:rFonts w:hint="eastAsia" w:asciiTheme="minorEastAsia" w:hAnsiTheme="minorEastAsia" w:eastAsiaTheme="minorEastAsia"/>
                <w:bCs/>
                <w:color w:val="auto"/>
                <w:sz w:val="24"/>
                <w:szCs w:val="24"/>
                <w:highlight w:val="none"/>
              </w:rPr>
              <w:t>竞争性</w:t>
            </w:r>
            <w:r>
              <w:rPr>
                <w:rFonts w:hint="eastAsia" w:asciiTheme="minorEastAsia" w:hAnsiTheme="minorEastAsia" w:eastAsiaTheme="minorEastAsia"/>
                <w:bCs/>
                <w:color w:val="auto"/>
                <w:sz w:val="24"/>
                <w:szCs w:val="24"/>
                <w:highlight w:val="none"/>
                <w:lang w:eastAsia="zh-CN"/>
              </w:rPr>
              <w:t>谈判</w:t>
            </w:r>
            <w:r>
              <w:rPr>
                <w:rFonts w:asciiTheme="minorEastAsia" w:hAnsiTheme="minorEastAsia" w:eastAsiaTheme="minorEastAsia"/>
                <w:bCs/>
                <w:color w:val="auto"/>
                <w:sz w:val="24"/>
                <w:szCs w:val="24"/>
                <w:highlight w:val="none"/>
              </w:rPr>
              <w:t>公告、</w:t>
            </w:r>
            <w:r>
              <w:rPr>
                <w:rFonts w:hint="eastAsia" w:asciiTheme="minorEastAsia" w:hAnsiTheme="minorEastAsia" w:eastAsiaTheme="minorEastAsia"/>
                <w:bCs/>
                <w:color w:val="auto"/>
                <w:sz w:val="24"/>
                <w:szCs w:val="24"/>
                <w:highlight w:val="none"/>
                <w:lang w:eastAsia="zh-CN"/>
              </w:rPr>
              <w:t>谈判</w:t>
            </w:r>
            <w:r>
              <w:rPr>
                <w:rFonts w:hint="eastAsia" w:asciiTheme="minorEastAsia" w:hAnsiTheme="minorEastAsia" w:eastAsiaTheme="minorEastAsia"/>
                <w:bCs/>
                <w:color w:val="auto"/>
                <w:sz w:val="24"/>
                <w:szCs w:val="24"/>
                <w:highlight w:val="none"/>
              </w:rPr>
              <w:t>邀请、供应商</w:t>
            </w:r>
            <w:r>
              <w:rPr>
                <w:rFonts w:asciiTheme="minorEastAsia" w:hAnsiTheme="minorEastAsia" w:eastAsiaTheme="minorEastAsia"/>
                <w:bCs/>
                <w:color w:val="auto"/>
                <w:sz w:val="24"/>
                <w:szCs w:val="24"/>
                <w:highlight w:val="none"/>
              </w:rPr>
              <w:t>须知、评</w:t>
            </w:r>
            <w:r>
              <w:rPr>
                <w:rFonts w:hint="eastAsia" w:asciiTheme="minorEastAsia" w:hAnsiTheme="minorEastAsia" w:eastAsiaTheme="minorEastAsia"/>
                <w:bCs/>
                <w:color w:val="auto"/>
                <w:sz w:val="24"/>
                <w:szCs w:val="24"/>
                <w:highlight w:val="none"/>
              </w:rPr>
              <w:t>审方</w:t>
            </w:r>
            <w:r>
              <w:rPr>
                <w:rFonts w:asciiTheme="minorEastAsia" w:hAnsiTheme="minorEastAsia" w:eastAsiaTheme="minorEastAsia"/>
                <w:bCs/>
                <w:color w:val="auto"/>
                <w:sz w:val="24"/>
                <w:szCs w:val="24"/>
                <w:highlight w:val="none"/>
              </w:rPr>
              <w:t>法</w:t>
            </w:r>
            <w:r>
              <w:rPr>
                <w:rFonts w:hint="eastAsia" w:asciiTheme="minorEastAsia" w:hAnsiTheme="minorEastAsia" w:eastAsiaTheme="minorEastAsia"/>
                <w:bCs/>
                <w:color w:val="auto"/>
                <w:sz w:val="24"/>
                <w:szCs w:val="24"/>
                <w:highlight w:val="none"/>
              </w:rPr>
              <w:t>和标准</w:t>
            </w:r>
            <w:r>
              <w:rPr>
                <w:rFonts w:asciiTheme="minorEastAsia" w:hAnsiTheme="minorEastAsia" w:eastAsiaTheme="minorEastAsia"/>
                <w:bCs/>
                <w:color w:val="auto"/>
                <w:sz w:val="24"/>
                <w:szCs w:val="24"/>
                <w:highlight w:val="none"/>
              </w:rPr>
              <w:t>、</w:t>
            </w:r>
            <w:r>
              <w:rPr>
                <w:rFonts w:hint="eastAsia" w:asciiTheme="minorEastAsia" w:hAnsiTheme="minorEastAsia" w:eastAsiaTheme="minorEastAsia"/>
                <w:bCs/>
                <w:color w:val="auto"/>
                <w:sz w:val="24"/>
                <w:szCs w:val="24"/>
                <w:highlight w:val="none"/>
              </w:rPr>
              <w:t>响应</w:t>
            </w:r>
            <w:r>
              <w:rPr>
                <w:rFonts w:asciiTheme="minorEastAsia" w:hAnsiTheme="minorEastAsia" w:eastAsiaTheme="minorEastAsia"/>
                <w:bCs/>
                <w:color w:val="auto"/>
                <w:sz w:val="24"/>
                <w:szCs w:val="24"/>
                <w:highlight w:val="none"/>
              </w:rPr>
              <w:t>文件格式的先后顺序解释；</w:t>
            </w:r>
          </w:p>
          <w:p w14:paraId="2722090B">
            <w:pPr>
              <w:spacing w:line="360" w:lineRule="auto"/>
              <w:rPr>
                <w:b w:val="0"/>
                <w:color w:val="auto"/>
                <w:sz w:val="24"/>
                <w:highlight w:val="none"/>
              </w:rPr>
            </w:pPr>
            <w:r>
              <w:rPr>
                <w:rFonts w:hint="eastAsia" w:asciiTheme="minorEastAsia" w:hAnsiTheme="minorEastAsia" w:eastAsiaTheme="minorEastAsia"/>
                <w:bCs/>
                <w:color w:val="auto"/>
                <w:sz w:val="24"/>
                <w:szCs w:val="24"/>
                <w:highlight w:val="none"/>
              </w:rPr>
              <w:t>（5）</w:t>
            </w:r>
            <w:r>
              <w:rPr>
                <w:rFonts w:asciiTheme="minorEastAsia" w:hAnsiTheme="minorEastAsia" w:eastAsiaTheme="minorEastAsia"/>
                <w:bCs/>
                <w:color w:val="auto"/>
                <w:sz w:val="24"/>
                <w:szCs w:val="24"/>
                <w:highlight w:val="none"/>
              </w:rPr>
              <w:t>按本款前述规定仍不能形成结论的，由</w:t>
            </w:r>
            <w:r>
              <w:rPr>
                <w:rFonts w:hint="eastAsia" w:asciiTheme="minorEastAsia" w:hAnsiTheme="minorEastAsia" w:eastAsiaTheme="minorEastAsia"/>
                <w:bCs/>
                <w:color w:val="auto"/>
                <w:sz w:val="24"/>
                <w:szCs w:val="24"/>
                <w:highlight w:val="none"/>
              </w:rPr>
              <w:t>采购</w:t>
            </w:r>
            <w:r>
              <w:rPr>
                <w:rFonts w:asciiTheme="minorEastAsia" w:hAnsiTheme="minorEastAsia" w:eastAsiaTheme="minorEastAsia"/>
                <w:bCs/>
                <w:color w:val="auto"/>
                <w:sz w:val="24"/>
                <w:szCs w:val="24"/>
                <w:highlight w:val="none"/>
              </w:rPr>
              <w:t>人负责解释。</w:t>
            </w:r>
          </w:p>
        </w:tc>
      </w:tr>
      <w:tr w14:paraId="70A06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16" w:type="dxa"/>
            <w:vAlign w:val="center"/>
          </w:tcPr>
          <w:p w14:paraId="0C1F79ED">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rPr>
              <w:t>1</w:t>
            </w:r>
          </w:p>
        </w:tc>
        <w:tc>
          <w:tcPr>
            <w:tcW w:w="977" w:type="pct"/>
            <w:vAlign w:val="center"/>
          </w:tcPr>
          <w:p w14:paraId="434DDD34">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承包方式</w:t>
            </w:r>
          </w:p>
        </w:tc>
        <w:tc>
          <w:tcPr>
            <w:tcW w:w="3556" w:type="pct"/>
            <w:vAlign w:val="center"/>
          </w:tcPr>
          <w:p w14:paraId="45965EF1">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lang w:eastAsia="zh-CN"/>
              </w:rPr>
              <w:t>☑</w:t>
            </w:r>
            <w:r>
              <w:rPr>
                <w:rFonts w:hint="eastAsia"/>
                <w:b w:val="0"/>
                <w:color w:val="auto"/>
                <w:sz w:val="24"/>
                <w:highlight w:val="none"/>
              </w:rPr>
              <w:t xml:space="preserve">施工总承包  </w:t>
            </w:r>
            <w:r>
              <w:rPr>
                <w:rFonts w:hint="eastAsia"/>
                <w:b w:val="0"/>
                <w:color w:val="auto"/>
                <w:sz w:val="24"/>
                <w:highlight w:val="none"/>
                <w:lang w:eastAsia="zh-CN"/>
              </w:rPr>
              <w:t>□</w:t>
            </w:r>
            <w:r>
              <w:rPr>
                <w:rFonts w:hint="eastAsia"/>
                <w:b w:val="0"/>
                <w:color w:val="auto"/>
                <w:sz w:val="24"/>
                <w:highlight w:val="none"/>
              </w:rPr>
              <w:t>专业承包</w:t>
            </w:r>
          </w:p>
        </w:tc>
      </w:tr>
      <w:tr w14:paraId="38C1E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16" w:type="dxa"/>
            <w:vAlign w:val="center"/>
          </w:tcPr>
          <w:p w14:paraId="4F5FF8B0">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rPr>
              <w:t>2</w:t>
            </w:r>
          </w:p>
        </w:tc>
        <w:tc>
          <w:tcPr>
            <w:tcW w:w="977" w:type="pct"/>
            <w:vAlign w:val="center"/>
          </w:tcPr>
          <w:p w14:paraId="20D87DCE">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计价方式</w:t>
            </w:r>
          </w:p>
        </w:tc>
        <w:tc>
          <w:tcPr>
            <w:tcW w:w="3556" w:type="pct"/>
            <w:vAlign w:val="center"/>
          </w:tcPr>
          <w:p w14:paraId="3C581C20">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lang w:eastAsia="zh-CN"/>
              </w:rPr>
              <w:t>☑</w:t>
            </w:r>
            <w:r>
              <w:rPr>
                <w:rFonts w:hint="eastAsia"/>
                <w:b w:val="0"/>
                <w:color w:val="auto"/>
                <w:sz w:val="24"/>
                <w:highlight w:val="none"/>
              </w:rPr>
              <w:t>工程量清单综合单价报价法</w:t>
            </w:r>
          </w:p>
          <w:p w14:paraId="3399AD87">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lang w:eastAsia="zh-CN"/>
              </w:rPr>
              <w:t>□</w:t>
            </w:r>
            <w:r>
              <w:rPr>
                <w:rFonts w:hint="eastAsia"/>
                <w:b w:val="0"/>
                <w:color w:val="auto"/>
                <w:sz w:val="24"/>
                <w:highlight w:val="none"/>
              </w:rPr>
              <w:t>全费用综合单价报价法</w:t>
            </w:r>
          </w:p>
        </w:tc>
      </w:tr>
      <w:tr w14:paraId="7110F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16" w:type="dxa"/>
            <w:vAlign w:val="center"/>
          </w:tcPr>
          <w:p w14:paraId="583B8FEB">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rPr>
              <w:t>3</w:t>
            </w:r>
          </w:p>
        </w:tc>
        <w:tc>
          <w:tcPr>
            <w:tcW w:w="977" w:type="pct"/>
            <w:vAlign w:val="center"/>
          </w:tcPr>
          <w:p w14:paraId="5ADD988C">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计划</w:t>
            </w:r>
            <w:r>
              <w:rPr>
                <w:b w:val="0"/>
                <w:color w:val="auto"/>
                <w:sz w:val="24"/>
                <w:highlight w:val="none"/>
              </w:rPr>
              <w:t>工期</w:t>
            </w:r>
          </w:p>
        </w:tc>
        <w:tc>
          <w:tcPr>
            <w:tcW w:w="3556" w:type="pct"/>
            <w:vAlign w:val="center"/>
          </w:tcPr>
          <w:p w14:paraId="253B5372">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计划</w:t>
            </w:r>
            <w:r>
              <w:rPr>
                <w:b w:val="0"/>
                <w:color w:val="auto"/>
                <w:sz w:val="24"/>
                <w:highlight w:val="none"/>
              </w:rPr>
              <w:t>工期：</w:t>
            </w:r>
            <w:r>
              <w:rPr>
                <w:rFonts w:hint="eastAsia"/>
                <w:b w:val="0"/>
                <w:color w:val="auto"/>
                <w:sz w:val="24"/>
                <w:highlight w:val="none"/>
                <w:u w:val="single"/>
                <w:lang w:val="en-US" w:eastAsia="zh-CN"/>
              </w:rPr>
              <w:t>20个</w:t>
            </w:r>
            <w:r>
              <w:rPr>
                <w:b w:val="0"/>
                <w:color w:val="auto"/>
                <w:sz w:val="24"/>
                <w:highlight w:val="none"/>
              </w:rPr>
              <w:t>日历天</w:t>
            </w:r>
            <w:r>
              <w:rPr>
                <w:rFonts w:hint="eastAsia"/>
                <w:b w:val="0"/>
                <w:color w:val="auto"/>
                <w:sz w:val="24"/>
                <w:highlight w:val="none"/>
                <w:lang w:val="en-US" w:eastAsia="zh-CN"/>
              </w:rPr>
              <w:t>（具体开工时间以开工令为准）</w:t>
            </w:r>
          </w:p>
          <w:p w14:paraId="546B982F">
            <w:pPr>
              <w:pStyle w:val="75"/>
              <w:widowControl w:val="0"/>
              <w:spacing w:before="0" w:beforeAutospacing="0" w:after="0" w:afterAutospacing="0" w:line="360" w:lineRule="auto"/>
              <w:jc w:val="both"/>
              <w:rPr>
                <w:b w:val="0"/>
                <w:color w:val="auto"/>
                <w:sz w:val="24"/>
                <w:highlight w:val="none"/>
              </w:rPr>
            </w:pPr>
            <w:r>
              <w:rPr>
                <w:b w:val="0"/>
                <w:color w:val="auto"/>
                <w:sz w:val="24"/>
                <w:highlight w:val="none"/>
              </w:rPr>
              <w:t>计划开工日期：</w:t>
            </w:r>
            <w:r>
              <w:rPr>
                <w:b w:val="0"/>
                <w:color w:val="auto"/>
                <w:sz w:val="24"/>
                <w:highlight w:val="none"/>
                <w:u w:val="single"/>
              </w:rPr>
              <w:t xml:space="preserve">  </w:t>
            </w:r>
            <w:r>
              <w:rPr>
                <w:rFonts w:hint="eastAsia"/>
                <w:b w:val="0"/>
                <w:color w:val="auto"/>
                <w:sz w:val="24"/>
                <w:highlight w:val="none"/>
                <w:u w:val="single"/>
                <w:lang w:val="en-US" w:eastAsia="zh-CN"/>
              </w:rPr>
              <w:t>/</w:t>
            </w:r>
            <w:r>
              <w:rPr>
                <w:b w:val="0"/>
                <w:color w:val="auto"/>
                <w:sz w:val="24"/>
                <w:highlight w:val="none"/>
                <w:u w:val="single"/>
              </w:rPr>
              <w:t xml:space="preserve">  </w:t>
            </w:r>
            <w:r>
              <w:rPr>
                <w:b w:val="0"/>
                <w:color w:val="auto"/>
                <w:sz w:val="24"/>
                <w:highlight w:val="none"/>
              </w:rPr>
              <w:t>年</w:t>
            </w:r>
            <w:r>
              <w:rPr>
                <w:b w:val="0"/>
                <w:color w:val="auto"/>
                <w:sz w:val="24"/>
                <w:highlight w:val="none"/>
                <w:u w:val="single"/>
              </w:rPr>
              <w:t xml:space="preserve"> </w:t>
            </w:r>
            <w:r>
              <w:rPr>
                <w:rFonts w:hint="eastAsia"/>
                <w:b w:val="0"/>
                <w:color w:val="auto"/>
                <w:sz w:val="24"/>
                <w:highlight w:val="none"/>
                <w:u w:val="single"/>
                <w:lang w:val="en-US" w:eastAsia="zh-CN"/>
              </w:rPr>
              <w:t>/</w:t>
            </w:r>
            <w:r>
              <w:rPr>
                <w:b w:val="0"/>
                <w:color w:val="auto"/>
                <w:sz w:val="24"/>
                <w:highlight w:val="none"/>
                <w:u w:val="single"/>
              </w:rPr>
              <w:t xml:space="preserve"> </w:t>
            </w:r>
            <w:r>
              <w:rPr>
                <w:b w:val="0"/>
                <w:color w:val="auto"/>
                <w:sz w:val="24"/>
                <w:highlight w:val="none"/>
              </w:rPr>
              <w:t>月</w:t>
            </w:r>
            <w:r>
              <w:rPr>
                <w:b w:val="0"/>
                <w:color w:val="auto"/>
                <w:sz w:val="24"/>
                <w:highlight w:val="none"/>
                <w:u w:val="single"/>
              </w:rPr>
              <w:t xml:space="preserve"> </w:t>
            </w:r>
            <w:r>
              <w:rPr>
                <w:rFonts w:hint="eastAsia"/>
                <w:b w:val="0"/>
                <w:color w:val="auto"/>
                <w:sz w:val="24"/>
                <w:highlight w:val="none"/>
                <w:u w:val="single"/>
                <w:lang w:val="en-US" w:eastAsia="zh-CN"/>
              </w:rPr>
              <w:t>/</w:t>
            </w:r>
            <w:r>
              <w:rPr>
                <w:b w:val="0"/>
                <w:color w:val="auto"/>
                <w:sz w:val="24"/>
                <w:highlight w:val="none"/>
                <w:u w:val="single"/>
              </w:rPr>
              <w:t xml:space="preserve"> </w:t>
            </w:r>
            <w:r>
              <w:rPr>
                <w:b w:val="0"/>
                <w:color w:val="auto"/>
                <w:sz w:val="24"/>
                <w:highlight w:val="none"/>
              </w:rPr>
              <w:t>日</w:t>
            </w:r>
            <w:r>
              <w:rPr>
                <w:rFonts w:hint="eastAsia"/>
                <w:b w:val="0"/>
                <w:color w:val="auto"/>
                <w:sz w:val="24"/>
                <w:highlight w:val="none"/>
              </w:rPr>
              <w:t>，</w:t>
            </w:r>
            <w:bookmarkStart w:id="11" w:name="EB2a2e1a22d449405a860670c095486ab8"/>
            <w:r>
              <w:rPr>
                <w:rFonts w:hint="eastAsia"/>
                <w:b w:val="0"/>
                <w:color w:val="auto"/>
                <w:sz w:val="24"/>
                <w:highlight w:val="none"/>
              </w:rPr>
              <w:t>具体开工时间以开工令为准。</w:t>
            </w:r>
            <w:bookmarkEnd w:id="11"/>
          </w:p>
        </w:tc>
      </w:tr>
      <w:tr w14:paraId="5B6E6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16" w:type="dxa"/>
            <w:vAlign w:val="center"/>
          </w:tcPr>
          <w:p w14:paraId="52D18871">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rPr>
              <w:t>4</w:t>
            </w:r>
          </w:p>
        </w:tc>
        <w:tc>
          <w:tcPr>
            <w:tcW w:w="977" w:type="pct"/>
            <w:vAlign w:val="center"/>
          </w:tcPr>
          <w:p w14:paraId="26D2FC73">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质量标准要求</w:t>
            </w:r>
          </w:p>
        </w:tc>
        <w:tc>
          <w:tcPr>
            <w:tcW w:w="3556" w:type="pct"/>
            <w:vAlign w:val="center"/>
          </w:tcPr>
          <w:p w14:paraId="6EBC96E1">
            <w:pPr>
              <w:pStyle w:val="102"/>
              <w:tabs>
                <w:tab w:val="left" w:pos="1152"/>
              </w:tabs>
              <w:spacing w:before="0" w:beforeAutospacing="0" w:after="0" w:afterAutospacing="0" w:line="360" w:lineRule="auto"/>
              <w:rPr>
                <w:b/>
                <w:color w:val="auto"/>
                <w:highlight w:val="none"/>
              </w:rPr>
            </w:pPr>
            <w:r>
              <w:rPr>
                <w:rFonts w:hint="eastAsia" w:cs="@仿宋_GB2312"/>
                <w:bCs/>
                <w:color w:val="auto"/>
                <w:szCs w:val="28"/>
                <w:highlight w:val="none"/>
              </w:rPr>
              <w:t>质量标准：合格</w:t>
            </w:r>
          </w:p>
        </w:tc>
      </w:tr>
      <w:tr w14:paraId="4E9E5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16" w:type="dxa"/>
            <w:vAlign w:val="center"/>
          </w:tcPr>
          <w:p w14:paraId="71EA449D">
            <w:pPr>
              <w:pStyle w:val="76"/>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lang w:val="en-US" w:eastAsia="zh-CN"/>
              </w:rPr>
              <w:t>5</w:t>
            </w:r>
          </w:p>
        </w:tc>
        <w:tc>
          <w:tcPr>
            <w:tcW w:w="977" w:type="pct"/>
            <w:vAlign w:val="center"/>
          </w:tcPr>
          <w:p w14:paraId="5B8E07DD">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安全文明要求</w:t>
            </w:r>
          </w:p>
        </w:tc>
        <w:tc>
          <w:tcPr>
            <w:tcW w:w="3556" w:type="pct"/>
            <w:vAlign w:val="center"/>
          </w:tcPr>
          <w:p w14:paraId="5E1E386F">
            <w:pPr>
              <w:pStyle w:val="75"/>
              <w:widowControl w:val="0"/>
              <w:spacing w:before="0" w:beforeAutospacing="0" w:after="0" w:afterAutospacing="0" w:line="360" w:lineRule="auto"/>
              <w:jc w:val="both"/>
              <w:rPr>
                <w:b w:val="0"/>
                <w:color w:val="auto"/>
                <w:sz w:val="24"/>
                <w:highlight w:val="none"/>
              </w:rPr>
            </w:pPr>
            <w:r>
              <w:rPr>
                <w:rFonts w:hint="eastAsia"/>
                <w:color w:val="auto"/>
                <w:sz w:val="24"/>
                <w:highlight w:val="none"/>
              </w:rPr>
              <w:t>必须确保安全文明施工，符合国家和项目所在地现行相关规定</w:t>
            </w:r>
          </w:p>
        </w:tc>
      </w:tr>
      <w:tr w14:paraId="3295E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16" w:type="dxa"/>
            <w:vAlign w:val="center"/>
          </w:tcPr>
          <w:p w14:paraId="658E37A5">
            <w:pPr>
              <w:pStyle w:val="76"/>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lang w:val="en-US" w:eastAsia="zh-CN"/>
              </w:rPr>
              <w:t>6</w:t>
            </w:r>
          </w:p>
        </w:tc>
        <w:tc>
          <w:tcPr>
            <w:tcW w:w="977" w:type="pct"/>
            <w:vAlign w:val="center"/>
          </w:tcPr>
          <w:p w14:paraId="1E22DDF2">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总包及分包规定</w:t>
            </w:r>
          </w:p>
        </w:tc>
        <w:tc>
          <w:tcPr>
            <w:tcW w:w="3556" w:type="pct"/>
            <w:vAlign w:val="center"/>
          </w:tcPr>
          <w:p w14:paraId="10E3BFD1">
            <w:pPr>
              <w:spacing w:line="360" w:lineRule="auto"/>
              <w:rPr>
                <w:rFonts w:ascii="Calibri" w:hAnsi="Calibri" w:cs="Times New Roman"/>
                <w:b/>
                <w:bCs/>
                <w:color w:val="auto"/>
                <w:kern w:val="2"/>
                <w:sz w:val="24"/>
                <w:szCs w:val="28"/>
                <w:highlight w:val="none"/>
              </w:rPr>
            </w:pPr>
            <w:r>
              <w:rPr>
                <w:rFonts w:hint="eastAsia" w:ascii="Calibri" w:hAnsi="Calibri" w:cs="Times New Roman"/>
                <w:b/>
                <w:bCs/>
                <w:color w:val="auto"/>
                <w:kern w:val="2"/>
                <w:sz w:val="24"/>
                <w:szCs w:val="28"/>
                <w:highlight w:val="none"/>
              </w:rPr>
              <w:t>供应商不得在成交后将工程转包给其它施工单位。</w:t>
            </w:r>
          </w:p>
          <w:p w14:paraId="78A33538">
            <w:pPr>
              <w:spacing w:line="360" w:lineRule="auto"/>
              <w:jc w:val="left"/>
              <w:rPr>
                <w:rFonts w:cs="Times New Roman"/>
                <w:b/>
                <w:color w:val="auto"/>
                <w:kern w:val="2"/>
                <w:sz w:val="24"/>
                <w:szCs w:val="22"/>
                <w:highlight w:val="none"/>
              </w:rPr>
            </w:pPr>
            <w:r>
              <w:rPr>
                <w:rFonts w:hint="eastAsia" w:cs="Times New Roman"/>
                <w:b/>
                <w:color w:val="auto"/>
                <w:kern w:val="2"/>
                <w:sz w:val="24"/>
                <w:szCs w:val="22"/>
                <w:highlight w:val="none"/>
              </w:rPr>
              <w:t>分包情况</w:t>
            </w:r>
          </w:p>
          <w:p w14:paraId="7E6E177C">
            <w:pPr>
              <w:spacing w:line="360" w:lineRule="auto"/>
              <w:jc w:val="left"/>
              <w:rPr>
                <w:rFonts w:cs="Times New Roman"/>
                <w:color w:val="auto"/>
                <w:kern w:val="2"/>
                <w:sz w:val="24"/>
                <w:szCs w:val="22"/>
                <w:highlight w:val="none"/>
              </w:rPr>
            </w:pPr>
            <w:r>
              <w:rPr>
                <w:rFonts w:hint="eastAsia" w:cs="Times New Roman"/>
                <w:color w:val="auto"/>
                <w:kern w:val="2"/>
                <w:sz w:val="24"/>
                <w:szCs w:val="22"/>
                <w:highlight w:val="none"/>
              </w:rPr>
              <w:t>□允许专业分包，</w:t>
            </w:r>
            <w:r>
              <w:rPr>
                <w:rFonts w:hint="eastAsia" w:ascii="Calibri" w:hAnsi="Calibri" w:cs="Times New Roman"/>
                <w:color w:val="auto"/>
                <w:kern w:val="2"/>
                <w:sz w:val="24"/>
                <w:szCs w:val="22"/>
                <w:highlight w:val="none"/>
              </w:rPr>
              <w:t>分包项目、内容及分包商须经采购人及监理单位同意和认可</w:t>
            </w:r>
          </w:p>
          <w:p w14:paraId="705983BC">
            <w:pPr>
              <w:pStyle w:val="75"/>
              <w:widowControl w:val="0"/>
              <w:spacing w:before="0" w:beforeAutospacing="0" w:after="0" w:afterAutospacing="0" w:line="360" w:lineRule="auto"/>
              <w:jc w:val="both"/>
              <w:rPr>
                <w:b w:val="0"/>
                <w:color w:val="auto"/>
                <w:sz w:val="24"/>
                <w:highlight w:val="none"/>
              </w:rPr>
            </w:pPr>
            <w:r>
              <w:rPr>
                <w:rFonts w:hint="eastAsia" w:cs="Times New Roman"/>
                <w:b w:val="0"/>
                <w:bCs w:val="0"/>
                <w:color w:val="auto"/>
                <w:kern w:val="2"/>
                <w:sz w:val="24"/>
                <w:szCs w:val="22"/>
                <w:highlight w:val="none"/>
                <w:lang w:eastAsia="zh-CN"/>
              </w:rPr>
              <w:t>☑</w:t>
            </w:r>
            <w:r>
              <w:rPr>
                <w:rFonts w:hint="eastAsia" w:cs="Times New Roman"/>
                <w:b w:val="0"/>
                <w:bCs w:val="0"/>
                <w:color w:val="auto"/>
                <w:kern w:val="2"/>
                <w:sz w:val="24"/>
                <w:szCs w:val="22"/>
                <w:highlight w:val="none"/>
              </w:rPr>
              <w:t>不允许</w:t>
            </w:r>
          </w:p>
        </w:tc>
      </w:tr>
      <w:tr w14:paraId="6E6ED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16" w:type="dxa"/>
            <w:vAlign w:val="center"/>
          </w:tcPr>
          <w:p w14:paraId="2BB10C61">
            <w:pPr>
              <w:pStyle w:val="76"/>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lang w:val="en-US" w:eastAsia="zh-CN"/>
              </w:rPr>
              <w:t>7</w:t>
            </w:r>
          </w:p>
        </w:tc>
        <w:tc>
          <w:tcPr>
            <w:tcW w:w="977" w:type="pct"/>
            <w:vAlign w:val="center"/>
          </w:tcPr>
          <w:p w14:paraId="1D8D76E0">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现场条件</w:t>
            </w:r>
          </w:p>
        </w:tc>
        <w:tc>
          <w:tcPr>
            <w:tcW w:w="3556" w:type="pct"/>
            <w:vAlign w:val="center"/>
          </w:tcPr>
          <w:p w14:paraId="4AD452F7">
            <w:pPr>
              <w:pStyle w:val="75"/>
              <w:widowControl w:val="0"/>
              <w:spacing w:before="0" w:beforeAutospacing="0" w:after="0" w:afterAutospacing="0" w:line="360" w:lineRule="auto"/>
              <w:jc w:val="both"/>
              <w:rPr>
                <w:b w:val="0"/>
                <w:color w:val="auto"/>
                <w:sz w:val="24"/>
                <w:highlight w:val="none"/>
              </w:rPr>
            </w:pPr>
            <w:r>
              <w:rPr>
                <w:rFonts w:hint="eastAsia"/>
                <w:color w:val="auto"/>
                <w:sz w:val="24"/>
                <w:highlight w:val="none"/>
              </w:rPr>
              <w:t>具备开工条件</w:t>
            </w:r>
          </w:p>
        </w:tc>
      </w:tr>
      <w:tr w14:paraId="4CCB4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16" w:type="dxa"/>
            <w:vAlign w:val="center"/>
          </w:tcPr>
          <w:p w14:paraId="37AD6EF3">
            <w:pPr>
              <w:pStyle w:val="76"/>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lang w:val="en-US" w:eastAsia="zh-CN"/>
              </w:rPr>
              <w:t>8</w:t>
            </w:r>
          </w:p>
        </w:tc>
        <w:tc>
          <w:tcPr>
            <w:tcW w:w="977" w:type="pct"/>
            <w:vAlign w:val="center"/>
          </w:tcPr>
          <w:p w14:paraId="48AE0CD0">
            <w:pPr>
              <w:pStyle w:val="75"/>
              <w:widowControl w:val="0"/>
              <w:spacing w:before="0" w:beforeAutospacing="0" w:after="0" w:afterAutospacing="0" w:line="360" w:lineRule="auto"/>
              <w:jc w:val="both"/>
              <w:rPr>
                <w:b w:val="0"/>
                <w:color w:val="auto"/>
                <w:sz w:val="24"/>
                <w:highlight w:val="none"/>
              </w:rPr>
            </w:pPr>
            <w:r>
              <w:rPr>
                <w:rFonts w:hint="eastAsia"/>
                <w:b w:val="0"/>
                <w:bCs w:val="0"/>
                <w:color w:val="auto"/>
                <w:sz w:val="24"/>
                <w:highlight w:val="none"/>
              </w:rPr>
              <w:t>采购人提供的资料</w:t>
            </w:r>
          </w:p>
        </w:tc>
        <w:tc>
          <w:tcPr>
            <w:tcW w:w="3556" w:type="pct"/>
            <w:vAlign w:val="center"/>
          </w:tcPr>
          <w:p w14:paraId="3AD46F72">
            <w:pPr>
              <w:adjustRightInd w:val="0"/>
              <w:snapToGrid w:val="0"/>
              <w:spacing w:line="360" w:lineRule="auto"/>
              <w:jc w:val="left"/>
              <w:rPr>
                <w:bCs/>
                <w:color w:val="auto"/>
                <w:sz w:val="24"/>
                <w:szCs w:val="28"/>
                <w:highlight w:val="none"/>
              </w:rPr>
            </w:pPr>
            <w:r>
              <w:rPr>
                <w:rFonts w:hint="eastAsia"/>
                <w:bCs/>
                <w:color w:val="auto"/>
                <w:sz w:val="24"/>
                <w:szCs w:val="28"/>
                <w:highlight w:val="none"/>
                <w:lang w:eastAsia="zh-CN"/>
              </w:rPr>
              <w:t>☑</w:t>
            </w:r>
            <w:r>
              <w:rPr>
                <w:rFonts w:hint="eastAsia"/>
                <w:bCs/>
                <w:color w:val="auto"/>
                <w:sz w:val="24"/>
                <w:szCs w:val="28"/>
                <w:highlight w:val="none"/>
              </w:rPr>
              <w:t>谈判文件</w:t>
            </w:r>
          </w:p>
          <w:p w14:paraId="09793C3D">
            <w:pPr>
              <w:adjustRightInd w:val="0"/>
              <w:snapToGrid w:val="0"/>
              <w:spacing w:line="360" w:lineRule="auto"/>
              <w:jc w:val="left"/>
              <w:rPr>
                <w:bCs/>
                <w:color w:val="auto"/>
                <w:sz w:val="24"/>
                <w:szCs w:val="28"/>
                <w:highlight w:val="none"/>
              </w:rPr>
            </w:pPr>
            <w:r>
              <w:rPr>
                <w:rFonts w:hint="eastAsia"/>
                <w:bCs/>
                <w:color w:val="auto"/>
                <w:sz w:val="24"/>
                <w:szCs w:val="28"/>
                <w:highlight w:val="none"/>
                <w:lang w:eastAsia="zh-CN"/>
              </w:rPr>
              <w:t>☑</w:t>
            </w:r>
            <w:r>
              <w:rPr>
                <w:rFonts w:hint="eastAsia"/>
                <w:bCs/>
                <w:color w:val="auto"/>
                <w:sz w:val="24"/>
                <w:szCs w:val="28"/>
                <w:highlight w:val="none"/>
              </w:rPr>
              <w:t>工程量清单</w:t>
            </w:r>
          </w:p>
          <w:p w14:paraId="486C830B">
            <w:pPr>
              <w:adjustRightInd w:val="0"/>
              <w:snapToGrid w:val="0"/>
              <w:spacing w:line="360" w:lineRule="auto"/>
              <w:jc w:val="left"/>
              <w:rPr>
                <w:bCs/>
                <w:color w:val="auto"/>
                <w:sz w:val="24"/>
                <w:szCs w:val="28"/>
                <w:highlight w:val="none"/>
              </w:rPr>
            </w:pPr>
            <w:r>
              <w:rPr>
                <w:rFonts w:hint="eastAsia"/>
                <w:bCs/>
                <w:color w:val="auto"/>
                <w:sz w:val="24"/>
                <w:szCs w:val="28"/>
                <w:highlight w:val="none"/>
                <w:lang w:eastAsia="zh-CN"/>
              </w:rPr>
              <w:t>☑</w:t>
            </w:r>
            <w:r>
              <w:rPr>
                <w:rFonts w:hint="eastAsia"/>
                <w:bCs/>
                <w:color w:val="auto"/>
                <w:sz w:val="24"/>
                <w:szCs w:val="28"/>
                <w:highlight w:val="none"/>
              </w:rPr>
              <w:t>最高投标限价</w:t>
            </w:r>
          </w:p>
          <w:p w14:paraId="5F9D08BD">
            <w:pPr>
              <w:adjustRightInd w:val="0"/>
              <w:snapToGrid w:val="0"/>
              <w:spacing w:line="360" w:lineRule="auto"/>
              <w:jc w:val="left"/>
              <w:rPr>
                <w:bCs/>
                <w:color w:val="auto"/>
                <w:sz w:val="24"/>
                <w:szCs w:val="28"/>
                <w:highlight w:val="none"/>
              </w:rPr>
            </w:pPr>
            <w:r>
              <w:rPr>
                <w:rFonts w:hint="eastAsia"/>
                <w:bCs/>
                <w:color w:val="auto"/>
                <w:sz w:val="24"/>
                <w:szCs w:val="28"/>
                <w:highlight w:val="none"/>
              </w:rPr>
              <w:t>□电子版图纸</w:t>
            </w:r>
          </w:p>
          <w:p w14:paraId="58E49798">
            <w:pPr>
              <w:adjustRightInd w:val="0"/>
              <w:snapToGrid w:val="0"/>
              <w:spacing w:line="360" w:lineRule="auto"/>
              <w:jc w:val="left"/>
              <w:rPr>
                <w:bCs/>
                <w:color w:val="auto"/>
                <w:sz w:val="24"/>
                <w:szCs w:val="28"/>
                <w:highlight w:val="none"/>
              </w:rPr>
            </w:pPr>
            <w:r>
              <w:rPr>
                <w:rFonts w:hint="eastAsia"/>
                <w:bCs/>
                <w:color w:val="auto"/>
                <w:sz w:val="24"/>
                <w:szCs w:val="28"/>
                <w:highlight w:val="none"/>
              </w:rPr>
              <w:t>获得方式：</w:t>
            </w:r>
          </w:p>
          <w:p w14:paraId="47ADCB69">
            <w:pPr>
              <w:pStyle w:val="75"/>
              <w:widowControl w:val="0"/>
              <w:spacing w:before="0" w:beforeAutospacing="0" w:after="0" w:afterAutospacing="0" w:line="360" w:lineRule="auto"/>
              <w:jc w:val="both"/>
              <w:rPr>
                <w:b w:val="0"/>
                <w:color w:val="auto"/>
                <w:sz w:val="24"/>
                <w:highlight w:val="none"/>
              </w:rPr>
            </w:pPr>
            <w:r>
              <w:rPr>
                <w:rFonts w:hint="eastAsia"/>
                <w:color w:val="auto"/>
                <w:sz w:val="24"/>
                <w:highlight w:val="none"/>
              </w:rPr>
              <w:t>上述资料请供应商在获取谈判文件后，</w:t>
            </w:r>
            <w:r>
              <w:rPr>
                <w:rFonts w:hint="eastAsia"/>
                <w:color w:val="auto"/>
                <w:sz w:val="24"/>
                <w:highlight w:val="none"/>
                <w:lang w:val="en-US" w:eastAsia="zh-CN"/>
              </w:rPr>
              <w:t>网上</w:t>
            </w:r>
            <w:r>
              <w:rPr>
                <w:rFonts w:hint="eastAsia"/>
                <w:color w:val="auto"/>
                <w:sz w:val="24"/>
                <w:highlight w:val="none"/>
              </w:rPr>
              <w:t>下载本项目附件。</w:t>
            </w:r>
          </w:p>
        </w:tc>
      </w:tr>
      <w:tr w14:paraId="45A8F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9" w:hRule="atLeast"/>
          <w:jc w:val="center"/>
        </w:trPr>
        <w:tc>
          <w:tcPr>
            <w:tcW w:w="816" w:type="dxa"/>
            <w:vAlign w:val="center"/>
          </w:tcPr>
          <w:p w14:paraId="273AC6A2">
            <w:pPr>
              <w:pStyle w:val="76"/>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rFonts w:hint="eastAsia"/>
                <w:bCs/>
                <w:color w:val="auto"/>
                <w:kern w:val="2"/>
                <w:highlight w:val="none"/>
                <w:lang w:val="en-US" w:eastAsia="zh-CN"/>
              </w:rPr>
              <w:t>30</w:t>
            </w:r>
            <w:r>
              <w:rPr>
                <w:bCs/>
                <w:color w:val="auto"/>
                <w:kern w:val="2"/>
                <w:highlight w:val="none"/>
              </w:rPr>
              <w:t>.</w:t>
            </w:r>
            <w:r>
              <w:rPr>
                <w:rFonts w:hint="eastAsia"/>
                <w:bCs/>
                <w:color w:val="auto"/>
                <w:kern w:val="2"/>
                <w:highlight w:val="none"/>
                <w:lang w:val="en-US" w:eastAsia="zh-CN"/>
              </w:rPr>
              <w:t>9</w:t>
            </w:r>
          </w:p>
        </w:tc>
        <w:tc>
          <w:tcPr>
            <w:tcW w:w="977" w:type="pct"/>
            <w:vAlign w:val="center"/>
          </w:tcPr>
          <w:p w14:paraId="7CD419E4">
            <w:pPr>
              <w:pStyle w:val="75"/>
              <w:widowControl w:val="0"/>
              <w:spacing w:before="0" w:beforeAutospacing="0" w:after="0" w:afterAutospacing="0" w:line="360" w:lineRule="auto"/>
              <w:jc w:val="both"/>
              <w:rPr>
                <w:b w:val="0"/>
                <w:color w:val="auto"/>
                <w:sz w:val="24"/>
                <w:highlight w:val="none"/>
              </w:rPr>
            </w:pPr>
            <w:r>
              <w:rPr>
                <w:rFonts w:hint="eastAsia"/>
                <w:b w:val="0"/>
                <w:bCs w:val="0"/>
                <w:color w:val="auto"/>
                <w:sz w:val="24"/>
                <w:highlight w:val="none"/>
              </w:rPr>
              <w:t>工程量清单和最高投标限价编制费</w:t>
            </w:r>
          </w:p>
        </w:tc>
        <w:tc>
          <w:tcPr>
            <w:tcW w:w="3556" w:type="pct"/>
            <w:vAlign w:val="center"/>
          </w:tcPr>
          <w:p w14:paraId="70B06158">
            <w:pPr>
              <w:keepNext w:val="0"/>
              <w:keepLines w:val="0"/>
              <w:pageBreakBefore w:val="0"/>
              <w:widowControl w:val="0"/>
              <w:kinsoku/>
              <w:wordWrap/>
              <w:overflowPunct/>
              <w:topLinePunct w:val="0"/>
              <w:autoSpaceDE/>
              <w:autoSpaceDN/>
              <w:bidi w:val="0"/>
              <w:adjustRightInd/>
              <w:snapToGrid/>
              <w:spacing w:before="39" w:line="360" w:lineRule="auto"/>
              <w:textAlignment w:val="auto"/>
              <w:rPr>
                <w:rFonts w:hint="default" w:ascii="宋体" w:hAnsi="宋体" w:eastAsia="宋体" w:cs="宋体"/>
                <w:sz w:val="24"/>
                <w:szCs w:val="24"/>
                <w:highlight w:val="none"/>
                <w:lang w:val="en-US"/>
              </w:rPr>
            </w:pPr>
            <w:r>
              <w:rPr>
                <w:rFonts w:hint="eastAsia" w:ascii="宋体" w:hAnsi="宋体" w:eastAsia="宋体"/>
                <w:bCs/>
                <w:color w:val="auto"/>
                <w:kern w:val="0"/>
                <w:sz w:val="24"/>
                <w:szCs w:val="28"/>
                <w:highlight w:val="none"/>
                <w:lang w:eastAsia="zh-CN"/>
              </w:rPr>
              <w:t>（</w:t>
            </w:r>
            <w:r>
              <w:rPr>
                <w:rFonts w:hint="eastAsia" w:ascii="宋体" w:hAnsi="宋体" w:eastAsia="宋体"/>
                <w:bCs/>
                <w:color w:val="auto"/>
                <w:kern w:val="0"/>
                <w:sz w:val="24"/>
                <w:szCs w:val="28"/>
                <w:highlight w:val="none"/>
                <w:lang w:val="en-US" w:eastAsia="zh-CN"/>
              </w:rPr>
              <w:t>1</w:t>
            </w:r>
            <w:r>
              <w:rPr>
                <w:rFonts w:hint="eastAsia" w:ascii="宋体" w:hAnsi="宋体" w:eastAsia="宋体"/>
                <w:bCs/>
                <w:color w:val="auto"/>
                <w:kern w:val="0"/>
                <w:sz w:val="24"/>
                <w:szCs w:val="28"/>
                <w:highlight w:val="none"/>
                <w:lang w:eastAsia="zh-CN"/>
              </w:rPr>
              <w:t>）</w:t>
            </w:r>
            <w:r>
              <w:rPr>
                <w:rFonts w:hint="default" w:ascii="宋体" w:hAnsi="宋体" w:eastAsia="宋体"/>
                <w:bCs/>
                <w:color w:val="auto"/>
                <w:kern w:val="0"/>
                <w:sz w:val="24"/>
                <w:szCs w:val="28"/>
                <w:highlight w:val="none"/>
              </w:rPr>
              <w:t>收费对象</w:t>
            </w:r>
            <w:r>
              <w:rPr>
                <w:rFonts w:ascii="宋体" w:hAnsi="宋体" w:eastAsia="宋体" w:cs="宋体"/>
                <w:spacing w:val="-12"/>
                <w:sz w:val="24"/>
                <w:szCs w:val="24"/>
                <w:highlight w:val="none"/>
              </w:rPr>
              <w:t>：</w:t>
            </w:r>
            <w:r>
              <w:rPr>
                <w:rFonts w:ascii="宋体" w:hAnsi="宋体" w:eastAsia="宋体" w:cs="宋体"/>
                <w:sz w:val="24"/>
                <w:szCs w:val="24"/>
                <w:highlight w:val="none"/>
                <w:u w:val="single" w:color="auto"/>
              </w:rPr>
              <w:t xml:space="preserve"> </w:t>
            </w:r>
            <w:r>
              <w:rPr>
                <w:rFonts w:hint="eastAsia" w:ascii="宋体" w:hAnsi="宋体" w:eastAsia="宋体" w:cs="宋体"/>
                <w:sz w:val="24"/>
                <w:szCs w:val="24"/>
                <w:highlight w:val="none"/>
                <w:u w:val="single" w:color="auto"/>
                <w:lang w:val="en-US" w:eastAsia="zh-CN"/>
              </w:rPr>
              <w:t>成交供应商</w:t>
            </w:r>
            <w:r>
              <w:rPr>
                <w:rFonts w:hint="eastAsia" w:cs="宋体"/>
                <w:sz w:val="24"/>
                <w:szCs w:val="24"/>
                <w:highlight w:val="none"/>
                <w:u w:val="single" w:color="auto"/>
                <w:lang w:val="en-US" w:eastAsia="zh-CN"/>
              </w:rPr>
              <w:t xml:space="preserve"> </w:t>
            </w:r>
          </w:p>
          <w:p w14:paraId="59B5A60E">
            <w:pPr>
              <w:keepNext w:val="0"/>
              <w:keepLines w:val="0"/>
              <w:pageBreakBefore w:val="0"/>
              <w:widowControl w:val="0"/>
              <w:kinsoku/>
              <w:wordWrap/>
              <w:overflowPunct/>
              <w:topLinePunct w:val="0"/>
              <w:autoSpaceDE/>
              <w:autoSpaceDN/>
              <w:bidi w:val="0"/>
              <w:adjustRightInd/>
              <w:snapToGrid/>
              <w:spacing w:before="24" w:line="360" w:lineRule="auto"/>
              <w:textAlignment w:val="auto"/>
              <w:rPr>
                <w:rFonts w:hint="eastAsia" w:ascii="宋体" w:hAnsi="宋体" w:eastAsia="宋体"/>
                <w:bCs/>
                <w:color w:val="auto"/>
                <w:kern w:val="0"/>
                <w:sz w:val="24"/>
                <w:szCs w:val="28"/>
                <w:highlight w:val="none"/>
              </w:rPr>
            </w:pPr>
            <w:r>
              <w:rPr>
                <w:rFonts w:hint="eastAsia" w:ascii="宋体" w:hAnsi="宋体" w:eastAsia="宋体"/>
                <w:bCs/>
                <w:color w:val="auto"/>
                <w:kern w:val="0"/>
                <w:sz w:val="24"/>
                <w:szCs w:val="28"/>
                <w:highlight w:val="none"/>
              </w:rPr>
              <w:t>（2）</w:t>
            </w:r>
            <w:r>
              <w:rPr>
                <w:rFonts w:hint="default" w:ascii="宋体" w:hAnsi="宋体" w:eastAsia="宋体"/>
                <w:bCs/>
                <w:color w:val="auto"/>
                <w:kern w:val="0"/>
                <w:sz w:val="24"/>
                <w:szCs w:val="28"/>
                <w:highlight w:val="none"/>
              </w:rPr>
              <w:t>收取方式</w:t>
            </w:r>
            <w:r>
              <w:rPr>
                <w:rFonts w:ascii="宋体" w:hAnsi="宋体" w:eastAsia="宋体" w:cs="宋体"/>
                <w:sz w:val="24"/>
                <w:szCs w:val="24"/>
                <w:highlight w:val="none"/>
              </w:rPr>
              <w:t>：</w:t>
            </w:r>
            <w:r>
              <w:rPr>
                <w:rFonts w:ascii="宋体" w:hAnsi="宋体" w:eastAsia="宋体" w:cs="宋体"/>
                <w:sz w:val="24"/>
                <w:szCs w:val="24"/>
                <w:highlight w:val="none"/>
                <w:u w:val="single" w:color="auto"/>
              </w:rPr>
              <w:t xml:space="preserve">  </w:t>
            </w:r>
            <w:r>
              <w:rPr>
                <w:rFonts w:hint="eastAsia" w:cs="宋体"/>
                <w:sz w:val="24"/>
                <w:szCs w:val="24"/>
                <w:highlight w:val="none"/>
                <w:u w:val="single" w:color="auto"/>
                <w:lang w:val="en-US" w:eastAsia="zh-CN"/>
              </w:rPr>
              <w:t>转账</w:t>
            </w:r>
            <w:r>
              <w:rPr>
                <w:rFonts w:ascii="宋体" w:hAnsi="宋体" w:eastAsia="宋体" w:cs="宋体"/>
                <w:sz w:val="24"/>
                <w:szCs w:val="24"/>
                <w:highlight w:val="none"/>
                <w:u w:val="single" w:color="auto"/>
              </w:rPr>
              <w:t xml:space="preserve">  </w:t>
            </w:r>
          </w:p>
          <w:p w14:paraId="01291A42">
            <w:pPr>
              <w:pStyle w:val="50"/>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right="0"/>
              <w:jc w:val="left"/>
              <w:rPr>
                <w:b w:val="0"/>
                <w:color w:val="auto"/>
                <w:sz w:val="24"/>
                <w:highlight w:val="none"/>
              </w:rPr>
            </w:pPr>
            <w:r>
              <w:rPr>
                <w:rFonts w:hint="eastAsia" w:ascii="宋体" w:hAnsi="宋体" w:eastAsia="宋体"/>
                <w:b w:val="0"/>
                <w:bCs w:val="0"/>
                <w:color w:val="auto"/>
                <w:kern w:val="0"/>
                <w:sz w:val="24"/>
                <w:szCs w:val="28"/>
                <w:highlight w:val="none"/>
              </w:rPr>
              <w:t>（3）</w:t>
            </w:r>
            <w:r>
              <w:rPr>
                <w:rFonts w:hint="default" w:ascii="宋体" w:hAnsi="宋体" w:eastAsia="宋体" w:cs="@仿宋_GB2312"/>
                <w:b w:val="0"/>
                <w:bCs/>
                <w:color w:val="auto"/>
                <w:kern w:val="0"/>
                <w:sz w:val="24"/>
                <w:szCs w:val="28"/>
                <w:highlight w:val="none"/>
                <w:lang w:val="en-US" w:eastAsia="zh-CN" w:bidi="ar-SA"/>
              </w:rPr>
              <w:t>收费标准：</w:t>
            </w:r>
            <w:r>
              <w:rPr>
                <w:rFonts w:hint="eastAsia" w:ascii="宋体" w:hAnsi="宋体" w:eastAsia="宋体" w:cs="宋体"/>
                <w:color w:val="auto"/>
                <w:sz w:val="24"/>
                <w:szCs w:val="24"/>
                <w:highlight w:val="none"/>
                <w:u w:val="single" w:color="auto"/>
                <w:lang w:val="en-US" w:eastAsia="zh-CN" w:bidi="ar-SA"/>
              </w:rPr>
              <w:t>工程量清单及控制价（最高投标限价）编制费用按“皖价服[2007]86号”文件的规定计取，专家评审劳务费根据《安徽省发展改革委关于安徽省评标评审专家劳务费支付标准的指导意见》（皖发改公管规〔2017〕7号）执行（专家评审劳务费不开具发票）。</w:t>
            </w:r>
          </w:p>
        </w:tc>
      </w:tr>
      <w:tr w14:paraId="1C41D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16" w:type="dxa"/>
            <w:vAlign w:val="center"/>
          </w:tcPr>
          <w:p w14:paraId="1761AF38">
            <w:pPr>
              <w:pStyle w:val="76"/>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.1</w:t>
            </w:r>
            <w:r>
              <w:rPr>
                <w:rFonts w:hint="eastAsia"/>
                <w:bCs/>
                <w:color w:val="auto"/>
                <w:kern w:val="2"/>
                <w:highlight w:val="none"/>
                <w:lang w:val="en-US" w:eastAsia="zh-CN"/>
              </w:rPr>
              <w:t>0</w:t>
            </w:r>
          </w:p>
        </w:tc>
        <w:tc>
          <w:tcPr>
            <w:tcW w:w="977" w:type="pct"/>
            <w:vAlign w:val="center"/>
          </w:tcPr>
          <w:p w14:paraId="2240C4BD">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其他补充说明</w:t>
            </w:r>
          </w:p>
        </w:tc>
        <w:tc>
          <w:tcPr>
            <w:tcW w:w="3556" w:type="pct"/>
            <w:vAlign w:val="center"/>
          </w:tcPr>
          <w:p w14:paraId="31E6EAEA">
            <w:pPr>
              <w:numPr>
                <w:ilvl w:val="0"/>
                <w:numId w:val="0"/>
              </w:numPr>
              <w:spacing w:line="360" w:lineRule="auto"/>
              <w:rPr>
                <w:rFonts w:hint="eastAsia"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lang w:val="en-US" w:eastAsia="zh-CN"/>
              </w:rPr>
              <w:t>1、解释权：</w:t>
            </w:r>
          </w:p>
          <w:p w14:paraId="4A09CD6C">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（1）</w:t>
            </w:r>
            <w:r>
              <w:rPr>
                <w:rFonts w:asciiTheme="minorEastAsia" w:hAnsiTheme="minorEastAsia" w:eastAsiaTheme="minorEastAsia"/>
                <w:bCs/>
                <w:color w:val="auto"/>
                <w:sz w:val="24"/>
                <w:szCs w:val="24"/>
                <w:highlight w:val="none"/>
              </w:rPr>
              <w:t>构成本</w:t>
            </w:r>
            <w:r>
              <w:rPr>
                <w:rFonts w:hint="eastAsia" w:asciiTheme="minorEastAsia" w:hAnsiTheme="minorEastAsia" w:eastAsiaTheme="minorEastAsia"/>
                <w:bCs/>
                <w:color w:val="auto"/>
                <w:sz w:val="24"/>
                <w:szCs w:val="24"/>
                <w:highlight w:val="none"/>
              </w:rPr>
              <w:t>谈判</w:t>
            </w:r>
            <w:r>
              <w:rPr>
                <w:rFonts w:asciiTheme="minorEastAsia" w:hAnsiTheme="minorEastAsia" w:eastAsiaTheme="minorEastAsia"/>
                <w:bCs/>
                <w:color w:val="auto"/>
                <w:sz w:val="24"/>
                <w:szCs w:val="24"/>
                <w:highlight w:val="none"/>
              </w:rPr>
              <w:t>文件的各个组成文件应互为解释，互为说明；</w:t>
            </w:r>
          </w:p>
          <w:p w14:paraId="6A4CF732">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（2）</w:t>
            </w:r>
            <w:r>
              <w:rPr>
                <w:rFonts w:asciiTheme="minorEastAsia" w:hAnsiTheme="minorEastAsia" w:eastAsiaTheme="minorEastAsia"/>
                <w:bCs/>
                <w:color w:val="auto"/>
                <w:sz w:val="24"/>
                <w:szCs w:val="24"/>
                <w:highlight w:val="none"/>
              </w:rPr>
              <w:t>同一组成文件中就同一事项的规定或约定不一致的，以编排顺序在后者为准；</w:t>
            </w:r>
          </w:p>
          <w:p w14:paraId="3476E4EF">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（3）</w:t>
            </w:r>
            <w:r>
              <w:rPr>
                <w:rFonts w:asciiTheme="minorEastAsia" w:hAnsiTheme="minorEastAsia" w:eastAsiaTheme="minorEastAsia"/>
                <w:bCs/>
                <w:color w:val="auto"/>
                <w:sz w:val="24"/>
                <w:szCs w:val="24"/>
                <w:highlight w:val="none"/>
              </w:rPr>
              <w:t>如有不明确或不一致，构成合同文件组成内容的，以合同文件约定内容为准，且以专用合同条款约定的合同文件优先顺序解释；</w:t>
            </w:r>
          </w:p>
          <w:p w14:paraId="486EAB99">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（4）</w:t>
            </w:r>
            <w:r>
              <w:rPr>
                <w:rFonts w:asciiTheme="minorEastAsia" w:hAnsiTheme="minorEastAsia" w:eastAsiaTheme="minorEastAsia"/>
                <w:bCs/>
                <w:color w:val="auto"/>
                <w:sz w:val="24"/>
                <w:szCs w:val="24"/>
                <w:highlight w:val="none"/>
              </w:rPr>
              <w:t>除</w:t>
            </w:r>
            <w:r>
              <w:rPr>
                <w:rFonts w:hint="eastAsia" w:asciiTheme="minorEastAsia" w:hAnsiTheme="minorEastAsia" w:eastAsiaTheme="minorEastAsia"/>
                <w:bCs/>
                <w:color w:val="auto"/>
                <w:sz w:val="24"/>
                <w:szCs w:val="24"/>
                <w:highlight w:val="none"/>
              </w:rPr>
              <w:t>谈判</w:t>
            </w:r>
            <w:r>
              <w:rPr>
                <w:rFonts w:asciiTheme="minorEastAsia" w:hAnsiTheme="minorEastAsia" w:eastAsiaTheme="minorEastAsia"/>
                <w:bCs/>
                <w:color w:val="auto"/>
                <w:sz w:val="24"/>
                <w:szCs w:val="24"/>
                <w:highlight w:val="none"/>
              </w:rPr>
              <w:t>文件中有特别规定外，仅适用于</w:t>
            </w:r>
            <w:r>
              <w:rPr>
                <w:rFonts w:hint="eastAsia" w:asciiTheme="minorEastAsia" w:hAnsiTheme="minorEastAsia" w:eastAsiaTheme="minorEastAsia"/>
                <w:bCs/>
                <w:color w:val="auto"/>
                <w:sz w:val="24"/>
                <w:szCs w:val="24"/>
                <w:highlight w:val="none"/>
              </w:rPr>
              <w:t>谈判及响应文件提交</w:t>
            </w:r>
            <w:r>
              <w:rPr>
                <w:rFonts w:asciiTheme="minorEastAsia" w:hAnsiTheme="minorEastAsia" w:eastAsiaTheme="minorEastAsia"/>
                <w:bCs/>
                <w:color w:val="auto"/>
                <w:sz w:val="24"/>
                <w:szCs w:val="24"/>
                <w:highlight w:val="none"/>
              </w:rPr>
              <w:t>阶段的规定，按</w:t>
            </w:r>
            <w:r>
              <w:rPr>
                <w:rFonts w:hint="eastAsia" w:asciiTheme="minorEastAsia" w:hAnsiTheme="minorEastAsia" w:eastAsiaTheme="minorEastAsia"/>
                <w:bCs/>
                <w:color w:val="auto"/>
                <w:sz w:val="24"/>
                <w:szCs w:val="24"/>
                <w:highlight w:val="none"/>
              </w:rPr>
              <w:t>竞争性谈判</w:t>
            </w:r>
            <w:r>
              <w:rPr>
                <w:rFonts w:asciiTheme="minorEastAsia" w:hAnsiTheme="minorEastAsia" w:eastAsiaTheme="minorEastAsia"/>
                <w:bCs/>
                <w:color w:val="auto"/>
                <w:sz w:val="24"/>
                <w:szCs w:val="24"/>
                <w:highlight w:val="none"/>
              </w:rPr>
              <w:t>公告、</w:t>
            </w:r>
            <w:r>
              <w:rPr>
                <w:rFonts w:hint="eastAsia" w:asciiTheme="minorEastAsia" w:hAnsiTheme="minorEastAsia" w:eastAsiaTheme="minorEastAsia"/>
                <w:bCs/>
                <w:color w:val="auto"/>
                <w:sz w:val="24"/>
                <w:szCs w:val="24"/>
                <w:highlight w:val="none"/>
              </w:rPr>
              <w:t>谈判邀请、供应商</w:t>
            </w:r>
            <w:r>
              <w:rPr>
                <w:rFonts w:asciiTheme="minorEastAsia" w:hAnsiTheme="minorEastAsia" w:eastAsiaTheme="minorEastAsia"/>
                <w:bCs/>
                <w:color w:val="auto"/>
                <w:sz w:val="24"/>
                <w:szCs w:val="24"/>
                <w:highlight w:val="none"/>
              </w:rPr>
              <w:t>须知、评</w:t>
            </w:r>
            <w:r>
              <w:rPr>
                <w:rFonts w:hint="eastAsia" w:asciiTheme="minorEastAsia" w:hAnsiTheme="minorEastAsia" w:eastAsiaTheme="minorEastAsia"/>
                <w:bCs/>
                <w:color w:val="auto"/>
                <w:sz w:val="24"/>
                <w:szCs w:val="24"/>
                <w:highlight w:val="none"/>
              </w:rPr>
              <w:t>审方</w:t>
            </w:r>
            <w:r>
              <w:rPr>
                <w:rFonts w:asciiTheme="minorEastAsia" w:hAnsiTheme="minorEastAsia" w:eastAsiaTheme="minorEastAsia"/>
                <w:bCs/>
                <w:color w:val="auto"/>
                <w:sz w:val="24"/>
                <w:szCs w:val="24"/>
                <w:highlight w:val="none"/>
              </w:rPr>
              <w:t>法</w:t>
            </w:r>
            <w:r>
              <w:rPr>
                <w:rFonts w:hint="eastAsia" w:asciiTheme="minorEastAsia" w:hAnsiTheme="minorEastAsia" w:eastAsiaTheme="minorEastAsia"/>
                <w:bCs/>
                <w:color w:val="auto"/>
                <w:sz w:val="24"/>
                <w:szCs w:val="24"/>
                <w:highlight w:val="none"/>
              </w:rPr>
              <w:t>和标准</w:t>
            </w:r>
            <w:r>
              <w:rPr>
                <w:rFonts w:asciiTheme="minorEastAsia" w:hAnsiTheme="minorEastAsia" w:eastAsiaTheme="minorEastAsia"/>
                <w:bCs/>
                <w:color w:val="auto"/>
                <w:sz w:val="24"/>
                <w:szCs w:val="24"/>
                <w:highlight w:val="none"/>
              </w:rPr>
              <w:t>、</w:t>
            </w:r>
            <w:r>
              <w:rPr>
                <w:rFonts w:hint="eastAsia" w:asciiTheme="minorEastAsia" w:hAnsiTheme="minorEastAsia" w:eastAsiaTheme="minorEastAsia"/>
                <w:bCs/>
                <w:color w:val="auto"/>
                <w:sz w:val="24"/>
                <w:szCs w:val="24"/>
                <w:highlight w:val="none"/>
              </w:rPr>
              <w:t>响应</w:t>
            </w:r>
            <w:r>
              <w:rPr>
                <w:rFonts w:asciiTheme="minorEastAsia" w:hAnsiTheme="minorEastAsia" w:eastAsiaTheme="minorEastAsia"/>
                <w:bCs/>
                <w:color w:val="auto"/>
                <w:sz w:val="24"/>
                <w:szCs w:val="24"/>
                <w:highlight w:val="none"/>
              </w:rPr>
              <w:t>文件格式的先后顺序解释；</w:t>
            </w:r>
          </w:p>
          <w:p w14:paraId="71724253">
            <w:pPr>
              <w:pStyle w:val="75"/>
              <w:widowControl w:val="0"/>
              <w:spacing w:before="0" w:beforeAutospacing="0" w:after="0" w:afterAutospacing="0" w:line="360" w:lineRule="auto"/>
              <w:jc w:val="both"/>
              <w:rPr>
                <w:rFonts w:asciiTheme="minorEastAsia" w:hAnsiTheme="minorEastAsia" w:eastAsiaTheme="minorEastAsia"/>
                <w:b w:val="0"/>
                <w:color w:val="auto"/>
                <w:sz w:val="24"/>
                <w:szCs w:val="24"/>
                <w:highlight w:val="none"/>
              </w:rPr>
            </w:pPr>
            <w:r>
              <w:rPr>
                <w:rFonts w:hint="eastAsia" w:asciiTheme="minorEastAsia" w:hAnsiTheme="minorEastAsia" w:eastAsiaTheme="minorEastAsia"/>
                <w:b w:val="0"/>
                <w:color w:val="auto"/>
                <w:sz w:val="24"/>
                <w:szCs w:val="24"/>
                <w:highlight w:val="none"/>
              </w:rPr>
              <w:t>（5）</w:t>
            </w:r>
            <w:r>
              <w:rPr>
                <w:rFonts w:asciiTheme="minorEastAsia" w:hAnsiTheme="minorEastAsia" w:eastAsiaTheme="minorEastAsia"/>
                <w:b w:val="0"/>
                <w:color w:val="auto"/>
                <w:sz w:val="24"/>
                <w:szCs w:val="24"/>
                <w:highlight w:val="none"/>
              </w:rPr>
              <w:t>按本款前述规定仍不能形成结论的，由</w:t>
            </w:r>
            <w:r>
              <w:rPr>
                <w:rFonts w:hint="eastAsia" w:asciiTheme="minorEastAsia" w:hAnsiTheme="minorEastAsia" w:eastAsiaTheme="minorEastAsia"/>
                <w:b w:val="0"/>
                <w:color w:val="auto"/>
                <w:sz w:val="24"/>
                <w:szCs w:val="24"/>
                <w:highlight w:val="none"/>
              </w:rPr>
              <w:t>采购</w:t>
            </w:r>
            <w:r>
              <w:rPr>
                <w:rFonts w:asciiTheme="minorEastAsia" w:hAnsiTheme="minorEastAsia" w:eastAsiaTheme="minorEastAsia"/>
                <w:b w:val="0"/>
                <w:color w:val="auto"/>
                <w:sz w:val="24"/>
                <w:szCs w:val="24"/>
                <w:highlight w:val="none"/>
              </w:rPr>
              <w:t>人负责解释。</w:t>
            </w:r>
          </w:p>
          <w:p w14:paraId="61EC7A75">
            <w:pPr>
              <w:pStyle w:val="75"/>
              <w:widowControl w:val="0"/>
              <w:spacing w:before="0" w:beforeAutospacing="0" w:after="0" w:afterAutospacing="0" w:line="360" w:lineRule="auto"/>
              <w:jc w:val="both"/>
              <w:rPr>
                <w:rFonts w:hint="eastAsia"/>
                <w:b w:val="0"/>
                <w:color w:val="auto"/>
                <w:sz w:val="24"/>
                <w:highlight w:val="none"/>
              </w:rPr>
            </w:pPr>
            <w:r>
              <w:rPr>
                <w:rFonts w:hint="eastAsia"/>
                <w:b w:val="0"/>
                <w:color w:val="auto"/>
                <w:sz w:val="24"/>
                <w:highlight w:val="none"/>
                <w:lang w:val="en-US" w:eastAsia="zh-CN"/>
              </w:rPr>
              <w:t>2、</w:t>
            </w:r>
            <w:r>
              <w:rPr>
                <w:rFonts w:hint="eastAsia"/>
                <w:b w:val="0"/>
                <w:color w:val="auto"/>
                <w:sz w:val="24"/>
                <w:highlight w:val="none"/>
              </w:rPr>
              <w:t>“政采贷”融资指引：有融资需求的供应商在取得政府采购中标或成交通知书后，可访问安徽省政府采购网“政采贷”栏目，查看和联系第三方平台或者金融机构，商洽融资事项，确定融资意向。供应商签署政府采购中标（成交）合同后，登录“徽采云”金融服务模块，选择意向产品进行申请，并填写相关信息，“徽采云”金融服务模块将供应商融资申请信息推送第三方平台、意向金融机构。</w:t>
            </w:r>
          </w:p>
          <w:p w14:paraId="4A3D9A4E">
            <w:pPr>
              <w:pStyle w:val="75"/>
              <w:widowControl w:val="0"/>
              <w:spacing w:before="0" w:beforeAutospacing="0" w:after="0" w:afterAutospacing="0" w:line="360" w:lineRule="auto"/>
              <w:jc w:val="both"/>
              <w:rPr>
                <w:rFonts w:asciiTheme="minorEastAsia" w:hAnsiTheme="minorEastAsia" w:eastAsiaTheme="minorEastAsia"/>
                <w:b w:val="0"/>
                <w:color w:val="auto"/>
                <w:sz w:val="24"/>
                <w:szCs w:val="24"/>
                <w:highlight w:val="none"/>
              </w:rPr>
            </w:pPr>
            <w:r>
              <w:rPr>
                <w:rFonts w:hint="eastAsia" w:cs="@仿宋_GB2312" w:asciiTheme="minorEastAsia" w:hAnsiTheme="minorEastAsia" w:eastAsiaTheme="minorEastAsia"/>
                <w:b w:val="0"/>
                <w:bCs/>
                <w:color w:val="auto"/>
                <w:kern w:val="2"/>
                <w:sz w:val="24"/>
                <w:szCs w:val="24"/>
                <w:highlight w:val="none"/>
                <w:lang w:val="en-US" w:eastAsia="zh-CN" w:bidi="ar-SA"/>
              </w:rPr>
              <w:t>3、电子保函指引：成交供应商可访问安徽省政府采购网“融资/保函”栏目，申请办理电子保函（包括：履约保函、预付款保函）。</w:t>
            </w:r>
          </w:p>
        </w:tc>
      </w:tr>
    </w:tbl>
    <w:p w14:paraId="2064E50D">
      <w:pPr>
        <w:spacing w:line="360" w:lineRule="auto"/>
        <w:jc w:val="center"/>
        <w:outlineLvl w:val="1"/>
        <w:rPr>
          <w:rFonts w:asciiTheme="minorEastAsia" w:hAnsiTheme="minorEastAsia" w:eastAsiaTheme="minorEastAsia"/>
          <w:b/>
          <w:color w:val="auto"/>
          <w:sz w:val="24"/>
          <w:highlight w:val="none"/>
        </w:rPr>
      </w:pPr>
      <w:r>
        <w:rPr>
          <w:rFonts w:asciiTheme="minorEastAsia" w:hAnsiTheme="minorEastAsia" w:eastAsiaTheme="minorEastAsia"/>
          <w:b/>
          <w:color w:val="auto"/>
          <w:sz w:val="28"/>
          <w:highlight w:val="none"/>
        </w:rPr>
        <w:br w:type="page"/>
      </w:r>
      <w:bookmarkStart w:id="12" w:name="_Toc19323"/>
      <w:bookmarkStart w:id="13" w:name="_Toc32464"/>
      <w:bookmarkStart w:id="14" w:name="_Toc8336"/>
      <w:r>
        <w:rPr>
          <w:rFonts w:hint="eastAsia" w:asciiTheme="minorEastAsia" w:hAnsiTheme="minorEastAsia" w:eastAsiaTheme="minorEastAsia"/>
          <w:b/>
          <w:color w:val="auto"/>
          <w:sz w:val="24"/>
          <w:highlight w:val="none"/>
        </w:rPr>
        <w:t>二、供应商</w:t>
      </w:r>
      <w:r>
        <w:rPr>
          <w:rFonts w:asciiTheme="minorEastAsia" w:hAnsiTheme="minorEastAsia" w:eastAsiaTheme="minorEastAsia"/>
          <w:b/>
          <w:color w:val="auto"/>
          <w:sz w:val="24"/>
          <w:highlight w:val="none"/>
        </w:rPr>
        <w:t>须知</w:t>
      </w:r>
      <w:r>
        <w:rPr>
          <w:rFonts w:hint="eastAsia" w:asciiTheme="minorEastAsia" w:hAnsiTheme="minorEastAsia" w:eastAsiaTheme="minorEastAsia"/>
          <w:b/>
          <w:color w:val="auto"/>
          <w:sz w:val="24"/>
          <w:highlight w:val="none"/>
        </w:rPr>
        <w:t>正文</w:t>
      </w:r>
      <w:bookmarkEnd w:id="12"/>
      <w:bookmarkEnd w:id="13"/>
      <w:bookmarkEnd w:id="14"/>
    </w:p>
    <w:p w14:paraId="6AF2706F">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采购人、采购代理机构及供应商</w:t>
      </w:r>
    </w:p>
    <w:p w14:paraId="450F5D9F">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.1采购人：是指依法开展政府采购活动的国家机关、事业单位、团体组织。</w:t>
      </w:r>
    </w:p>
    <w:p w14:paraId="26BD6373">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.2采购代理机构：是指集中采购机构或从事采购代理业务的社会中介机构。</w:t>
      </w:r>
    </w:p>
    <w:p w14:paraId="29C19727">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.3政府采购监督管理部门：</w:t>
      </w:r>
      <w:r>
        <w:rPr>
          <w:rFonts w:hint="eastAsia"/>
          <w:color w:val="auto"/>
          <w:sz w:val="24"/>
          <w:highlight w:val="none"/>
        </w:rPr>
        <w:t>各级人民政府指定的有关部门依法履行与政府采购活动有关的监督管理职责。</w:t>
      </w:r>
    </w:p>
    <w:p w14:paraId="043A0AC9">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.4</w:t>
      </w:r>
      <w:r>
        <w:rPr>
          <w:rFonts w:hint="eastAsia"/>
          <w:color w:val="auto"/>
          <w:sz w:val="24"/>
          <w:highlight w:val="none"/>
        </w:rPr>
        <w:t>供应商</w:t>
      </w:r>
      <w:r>
        <w:rPr>
          <w:color w:val="auto"/>
          <w:sz w:val="24"/>
          <w:highlight w:val="none"/>
        </w:rPr>
        <w:t>：是指向采购人提供货物、工程或者服务的法人、</w:t>
      </w:r>
      <w:r>
        <w:rPr>
          <w:rFonts w:hint="eastAsia"/>
          <w:color w:val="auto"/>
          <w:sz w:val="24"/>
          <w:highlight w:val="none"/>
          <w:lang w:val="en-US" w:eastAsia="zh-CN"/>
        </w:rPr>
        <w:t>其他</w:t>
      </w:r>
      <w:r>
        <w:rPr>
          <w:color w:val="auto"/>
          <w:sz w:val="24"/>
          <w:highlight w:val="none"/>
        </w:rPr>
        <w:t>组织或者自然人。</w:t>
      </w:r>
      <w:r>
        <w:rPr>
          <w:rFonts w:hint="eastAsia"/>
          <w:color w:val="auto"/>
          <w:sz w:val="24"/>
          <w:highlight w:val="none"/>
        </w:rPr>
        <w:t>分支机构不得参加政府采购活动，但银行、保险、石油石化、电力、电信等特殊行业除外。</w:t>
      </w:r>
      <w:r>
        <w:rPr>
          <w:color w:val="auto"/>
          <w:sz w:val="24"/>
          <w:highlight w:val="none"/>
        </w:rPr>
        <w:t>本项目的</w:t>
      </w:r>
      <w:r>
        <w:rPr>
          <w:rFonts w:hint="eastAsia"/>
          <w:color w:val="auto"/>
          <w:sz w:val="24"/>
          <w:highlight w:val="none"/>
        </w:rPr>
        <w:t>供应商</w:t>
      </w:r>
      <w:r>
        <w:rPr>
          <w:color w:val="auto"/>
          <w:sz w:val="24"/>
          <w:highlight w:val="none"/>
        </w:rPr>
        <w:t>须满足以下条件：</w:t>
      </w:r>
    </w:p>
    <w:p w14:paraId="6534D377">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.4.</w:t>
      </w:r>
      <w:r>
        <w:rPr>
          <w:rFonts w:hint="eastAsia"/>
          <w:color w:val="auto"/>
          <w:sz w:val="24"/>
          <w:highlight w:val="none"/>
          <w:lang w:val="en-US" w:eastAsia="zh-CN"/>
        </w:rPr>
        <w:t>1</w:t>
      </w:r>
      <w:r>
        <w:rPr>
          <w:color w:val="auto"/>
          <w:sz w:val="24"/>
          <w:highlight w:val="none"/>
        </w:rPr>
        <w:t>具备《中华人民共和国政府采购法》第二十二条关于供应商条件的规定，遵守本项目采购人本级和上级财政部门政府采购的有关规定。</w:t>
      </w:r>
    </w:p>
    <w:p w14:paraId="666DA23A">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.4.</w:t>
      </w:r>
      <w:r>
        <w:rPr>
          <w:rFonts w:hint="eastAsia"/>
          <w:color w:val="auto"/>
          <w:sz w:val="24"/>
          <w:highlight w:val="none"/>
          <w:lang w:val="en-US" w:eastAsia="zh-CN"/>
        </w:rPr>
        <w:t>2</w:t>
      </w:r>
      <w:r>
        <w:rPr>
          <w:color w:val="auto"/>
          <w:sz w:val="24"/>
          <w:highlight w:val="none"/>
        </w:rPr>
        <w:t>以采购代理机构认可的方式获得了本项目的</w:t>
      </w:r>
      <w:r>
        <w:rPr>
          <w:rFonts w:hint="eastAsia"/>
          <w:color w:val="auto"/>
          <w:sz w:val="24"/>
          <w:highlight w:val="none"/>
        </w:rPr>
        <w:t>谈判</w:t>
      </w:r>
      <w:r>
        <w:rPr>
          <w:color w:val="auto"/>
          <w:sz w:val="24"/>
          <w:highlight w:val="none"/>
        </w:rPr>
        <w:t>文件。</w:t>
      </w:r>
    </w:p>
    <w:p w14:paraId="078C546E">
      <w:pPr>
        <w:spacing w:line="360" w:lineRule="auto"/>
        <w:ind w:firstLine="435"/>
        <w:rPr>
          <w:color w:val="auto"/>
          <w:sz w:val="24"/>
          <w:highlight w:val="none"/>
        </w:rPr>
      </w:pPr>
      <w:r>
        <w:rPr>
          <w:rFonts w:hint="eastAsia"/>
          <w:bCs/>
          <w:color w:val="auto"/>
          <w:sz w:val="24"/>
          <w:szCs w:val="28"/>
          <w:highlight w:val="none"/>
          <w:lang w:val="en-US" w:eastAsia="zh-CN"/>
        </w:rPr>
        <w:t>1</w:t>
      </w:r>
      <w:r>
        <w:rPr>
          <w:bCs/>
          <w:color w:val="auto"/>
          <w:sz w:val="24"/>
          <w:szCs w:val="28"/>
          <w:highlight w:val="none"/>
        </w:rPr>
        <w:t>.5</w:t>
      </w:r>
      <w:r>
        <w:rPr>
          <w:rFonts w:hint="eastAsia"/>
          <w:bCs/>
          <w:color w:val="auto"/>
          <w:sz w:val="24"/>
          <w:szCs w:val="28"/>
          <w:highlight w:val="none"/>
        </w:rPr>
        <w:t>若竞争性谈判公告</w:t>
      </w:r>
      <w:r>
        <w:rPr>
          <w:bCs/>
          <w:color w:val="auto"/>
          <w:sz w:val="24"/>
          <w:szCs w:val="28"/>
          <w:highlight w:val="none"/>
        </w:rPr>
        <w:t>中允许联合体</w:t>
      </w:r>
      <w:r>
        <w:rPr>
          <w:rFonts w:hint="eastAsia"/>
          <w:bCs/>
          <w:color w:val="auto"/>
          <w:sz w:val="24"/>
          <w:szCs w:val="28"/>
          <w:highlight w:val="none"/>
        </w:rPr>
        <w:t>参加谈判</w:t>
      </w:r>
      <w:r>
        <w:rPr>
          <w:bCs/>
          <w:color w:val="auto"/>
          <w:sz w:val="24"/>
          <w:szCs w:val="28"/>
          <w:highlight w:val="none"/>
        </w:rPr>
        <w:t>，对联合体规定如下：</w:t>
      </w:r>
    </w:p>
    <w:p w14:paraId="354302E3">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.1</w:t>
      </w:r>
      <w:r>
        <w:rPr>
          <w:rFonts w:hint="eastAsia"/>
          <w:color w:val="auto"/>
          <w:sz w:val="24"/>
          <w:highlight w:val="none"/>
        </w:rPr>
        <w:t>两个以上供应商可以组成一个谈判联合体，以一个供应商的身份谈判</w:t>
      </w:r>
      <w:r>
        <w:rPr>
          <w:color w:val="auto"/>
          <w:sz w:val="24"/>
          <w:highlight w:val="none"/>
        </w:rPr>
        <w:t>。</w:t>
      </w:r>
      <w:r>
        <w:rPr>
          <w:b w:val="0"/>
          <w:sz w:val="24"/>
        </w:rPr>
        <w:t>联合体参加谈判的，</w:t>
      </w:r>
      <w:r>
        <w:rPr>
          <w:rFonts w:hint="eastAsia"/>
          <w:b w:val="0"/>
          <w:sz w:val="24"/>
        </w:rPr>
        <w:t>谈判文件获取</w:t>
      </w:r>
      <w:r>
        <w:rPr>
          <w:b w:val="0"/>
          <w:sz w:val="24"/>
        </w:rPr>
        <w:t>手续由联合体</w:t>
      </w:r>
      <w:r>
        <w:rPr>
          <w:rFonts w:hint="eastAsia"/>
          <w:b w:val="0"/>
          <w:sz w:val="24"/>
        </w:rPr>
        <w:t>中</w:t>
      </w:r>
      <w:r>
        <w:rPr>
          <w:b w:val="0"/>
          <w:sz w:val="24"/>
        </w:rPr>
        <w:t>任一</w:t>
      </w:r>
      <w:r>
        <w:rPr>
          <w:rFonts w:hint="eastAsia"/>
          <w:b w:val="0"/>
          <w:sz w:val="24"/>
        </w:rPr>
        <w:t>成员单位</w:t>
      </w:r>
      <w:r>
        <w:rPr>
          <w:b w:val="0"/>
          <w:sz w:val="24"/>
        </w:rPr>
        <w:t>办理均可。</w:t>
      </w:r>
    </w:p>
    <w:p w14:paraId="0A6EA828">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.2联合体各方均应符合《中华人民共和国政府采购法》第二十二条规定的条件。</w:t>
      </w:r>
    </w:p>
    <w:p w14:paraId="3EF9BE1E">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.3采购人根据采购项目对</w:t>
      </w:r>
      <w:r>
        <w:rPr>
          <w:rFonts w:hint="eastAsia"/>
          <w:color w:val="auto"/>
          <w:sz w:val="24"/>
          <w:highlight w:val="none"/>
        </w:rPr>
        <w:t>供应商</w:t>
      </w:r>
      <w:r>
        <w:rPr>
          <w:color w:val="auto"/>
          <w:sz w:val="24"/>
          <w:highlight w:val="none"/>
        </w:rPr>
        <w:t>的特殊要求，联合体中至少应当有一方符合相关规定。</w:t>
      </w:r>
    </w:p>
    <w:p w14:paraId="2BCBAE9F">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.4联合体各方应签订</w:t>
      </w:r>
      <w:r>
        <w:rPr>
          <w:rFonts w:hint="eastAsia"/>
          <w:color w:val="auto"/>
          <w:sz w:val="24"/>
          <w:highlight w:val="none"/>
        </w:rPr>
        <w:t>联合协议</w:t>
      </w:r>
      <w:r>
        <w:rPr>
          <w:color w:val="auto"/>
          <w:sz w:val="24"/>
          <w:highlight w:val="none"/>
        </w:rPr>
        <w:t>，明确约定联合体各方承担的工作和相应的责任，并将</w:t>
      </w:r>
      <w:r>
        <w:rPr>
          <w:rFonts w:hint="eastAsia"/>
          <w:color w:val="auto"/>
          <w:sz w:val="24"/>
          <w:highlight w:val="none"/>
        </w:rPr>
        <w:t>联合协议</w:t>
      </w:r>
      <w:r>
        <w:rPr>
          <w:color w:val="auto"/>
          <w:sz w:val="24"/>
          <w:highlight w:val="none"/>
        </w:rPr>
        <w:t>作为</w:t>
      </w:r>
      <w:r>
        <w:rPr>
          <w:rFonts w:hint="eastAsia"/>
          <w:color w:val="auto"/>
          <w:sz w:val="24"/>
          <w:highlight w:val="none"/>
        </w:rPr>
        <w:t>响应</w:t>
      </w:r>
      <w:r>
        <w:rPr>
          <w:color w:val="auto"/>
          <w:sz w:val="24"/>
          <w:highlight w:val="none"/>
        </w:rPr>
        <w:t>文件</w:t>
      </w:r>
      <w:r>
        <w:rPr>
          <w:rFonts w:hint="eastAsia"/>
          <w:color w:val="auto"/>
          <w:sz w:val="24"/>
          <w:highlight w:val="none"/>
        </w:rPr>
        <w:t>的</w:t>
      </w:r>
      <w:r>
        <w:rPr>
          <w:color w:val="auto"/>
          <w:sz w:val="24"/>
          <w:highlight w:val="none"/>
        </w:rPr>
        <w:t>一部分提交。</w:t>
      </w:r>
    </w:p>
    <w:p w14:paraId="7803B9ED">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.5大中型企业、其他自然人、法人或者非法人组织与小型、微型企业组成联合体共同参加</w:t>
      </w:r>
      <w:r>
        <w:rPr>
          <w:rFonts w:hint="eastAsia"/>
          <w:color w:val="auto"/>
          <w:sz w:val="24"/>
          <w:highlight w:val="none"/>
        </w:rPr>
        <w:t>谈判</w:t>
      </w:r>
      <w:r>
        <w:rPr>
          <w:color w:val="auto"/>
          <w:sz w:val="24"/>
          <w:highlight w:val="none"/>
        </w:rPr>
        <w:t>，</w:t>
      </w:r>
      <w:r>
        <w:rPr>
          <w:rFonts w:hint="eastAsia"/>
          <w:color w:val="auto"/>
          <w:sz w:val="24"/>
          <w:highlight w:val="none"/>
        </w:rPr>
        <w:t>联合协议中</w:t>
      </w:r>
      <w:r>
        <w:rPr>
          <w:color w:val="auto"/>
          <w:sz w:val="24"/>
          <w:highlight w:val="none"/>
        </w:rPr>
        <w:t>应写明小型、微型企业的协议合同金额占到</w:t>
      </w:r>
      <w:r>
        <w:rPr>
          <w:rFonts w:hint="eastAsia"/>
          <w:color w:val="auto"/>
          <w:sz w:val="24"/>
          <w:highlight w:val="none"/>
        </w:rPr>
        <w:t>联合协议合同</w:t>
      </w:r>
      <w:r>
        <w:rPr>
          <w:color w:val="auto"/>
          <w:sz w:val="24"/>
          <w:highlight w:val="none"/>
        </w:rPr>
        <w:t>总金额的比例。</w:t>
      </w:r>
    </w:p>
    <w:p w14:paraId="72C170B6">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.5.6</w:t>
      </w:r>
      <w:r>
        <w:rPr>
          <w:rFonts w:hint="eastAsia"/>
          <w:color w:val="auto"/>
          <w:sz w:val="24"/>
          <w:highlight w:val="none"/>
        </w:rPr>
        <w:t>联合体中有同类资质的供应商按照联合体分工承担相同工作的，</w:t>
      </w:r>
      <w:r>
        <w:rPr>
          <w:color w:val="auto"/>
          <w:sz w:val="24"/>
          <w:highlight w:val="none"/>
        </w:rPr>
        <w:t>应当按照</w:t>
      </w:r>
      <w:r>
        <w:rPr>
          <w:rFonts w:hint="eastAsia"/>
          <w:color w:val="auto"/>
          <w:sz w:val="24"/>
          <w:highlight w:val="none"/>
        </w:rPr>
        <w:t>资质等级较低的供应商确定资质等级。</w:t>
      </w:r>
    </w:p>
    <w:p w14:paraId="228657E7">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.7以联合体形式参加政府采购活动的，联合体各方不得再单独参加或者与其他供应商另外组成联合体参加本项目</w:t>
      </w:r>
      <w:r>
        <w:rPr>
          <w:rFonts w:hint="eastAsia"/>
          <w:color w:val="auto"/>
          <w:sz w:val="24"/>
          <w:highlight w:val="none"/>
        </w:rPr>
        <w:t>谈判</w:t>
      </w:r>
      <w:r>
        <w:rPr>
          <w:color w:val="auto"/>
          <w:sz w:val="24"/>
          <w:highlight w:val="none"/>
        </w:rPr>
        <w:t>，否则相关</w:t>
      </w:r>
      <w:r>
        <w:rPr>
          <w:rFonts w:hint="eastAsia"/>
          <w:color w:val="auto"/>
          <w:sz w:val="24"/>
          <w:highlight w:val="none"/>
        </w:rPr>
        <w:t>响应文件将被认定为</w:t>
      </w:r>
      <w:r>
        <w:rPr>
          <w:rFonts w:hint="eastAsia"/>
          <w:b/>
          <w:color w:val="auto"/>
          <w:sz w:val="24"/>
          <w:highlight w:val="none"/>
        </w:rPr>
        <w:t>响应无效</w:t>
      </w:r>
      <w:r>
        <w:rPr>
          <w:color w:val="auto"/>
          <w:sz w:val="24"/>
          <w:highlight w:val="none"/>
        </w:rPr>
        <w:t>。</w:t>
      </w:r>
    </w:p>
    <w:p w14:paraId="3A350BDD">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.8对联合体参加谈判的其他资格要求见</w:t>
      </w:r>
      <w:r>
        <w:rPr>
          <w:rFonts w:hint="eastAsia" w:ascii="宋体" w:hAnsi="宋体" w:eastAsia="宋体"/>
          <w:color w:val="auto"/>
          <w:sz w:val="24"/>
          <w:highlight w:val="none"/>
          <w:lang w:val="en-US" w:eastAsia="zh-CN"/>
        </w:rPr>
        <w:t>申请人的</w:t>
      </w:r>
      <w:r>
        <w:rPr>
          <w:rFonts w:hint="eastAsia" w:ascii="宋体" w:hAnsi="宋体" w:eastAsia="宋体"/>
          <w:color w:val="auto"/>
          <w:sz w:val="24"/>
          <w:highlight w:val="none"/>
        </w:rPr>
        <w:t>资格</w:t>
      </w:r>
      <w:r>
        <w:rPr>
          <w:rFonts w:hint="eastAsia" w:ascii="宋体" w:hAnsi="宋体" w:eastAsia="宋体"/>
          <w:color w:val="auto"/>
          <w:sz w:val="24"/>
          <w:highlight w:val="none"/>
          <w:lang w:val="en-US" w:eastAsia="zh-CN"/>
        </w:rPr>
        <w:t>要求</w:t>
      </w:r>
      <w:r>
        <w:rPr>
          <w:color w:val="auto"/>
          <w:sz w:val="24"/>
          <w:highlight w:val="none"/>
        </w:rPr>
        <w:t>。</w:t>
      </w:r>
    </w:p>
    <w:p w14:paraId="0087CFB2">
      <w:pPr>
        <w:spacing w:line="360" w:lineRule="auto"/>
        <w:ind w:firstLine="437"/>
        <w:outlineLvl w:val="2"/>
        <w:rPr>
          <w:rFonts w:hint="default" w:asciiTheme="minorEastAsia" w:hAnsiTheme="minorEastAsia" w:eastAsiaTheme="minorEastAsia"/>
          <w:b/>
          <w:color w:val="auto"/>
          <w:sz w:val="24"/>
          <w:highlight w:val="none"/>
          <w:lang w:val="en-US" w:eastAsia="zh-CN"/>
        </w:rPr>
      </w:pPr>
      <w:r>
        <w:rPr>
          <w:rFonts w:hint="eastAsia" w:asciiTheme="minorEastAsia" w:hAnsiTheme="minorEastAsia" w:eastAsiaTheme="minorEastAsia"/>
          <w:b/>
          <w:color w:val="auto"/>
          <w:sz w:val="24"/>
          <w:highlight w:val="none"/>
          <w:lang w:val="en-US" w:eastAsia="zh-CN"/>
        </w:rPr>
        <w:t>2</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资金</w:t>
      </w:r>
      <w:r>
        <w:rPr>
          <w:rFonts w:hint="eastAsia" w:asciiTheme="minorEastAsia" w:hAnsiTheme="minorEastAsia" w:eastAsiaTheme="minorEastAsia"/>
          <w:b/>
          <w:color w:val="auto"/>
          <w:sz w:val="24"/>
          <w:highlight w:val="none"/>
          <w:lang w:val="en-US" w:eastAsia="zh-CN"/>
        </w:rPr>
        <w:t>落实情况</w:t>
      </w:r>
    </w:p>
    <w:p w14:paraId="28569946">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2</w:t>
      </w:r>
      <w:r>
        <w:rPr>
          <w:rFonts w:asciiTheme="minorEastAsia" w:hAnsiTheme="minorEastAsia" w:eastAsiaTheme="minorEastAsia"/>
          <w:color w:val="auto"/>
          <w:sz w:val="24"/>
          <w:highlight w:val="none"/>
        </w:rPr>
        <w:t>.1本项目的采购人已获得足以支付本次谈判后所签订的合同项下的资金。</w:t>
      </w:r>
    </w:p>
    <w:p w14:paraId="23854E03">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3</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谈判费用</w:t>
      </w:r>
    </w:p>
    <w:p w14:paraId="3BD1BBE3">
      <w:pPr>
        <w:spacing w:line="360" w:lineRule="auto"/>
        <w:ind w:firstLine="437"/>
        <w:rPr>
          <w:color w:val="auto"/>
          <w:sz w:val="24"/>
          <w:highlight w:val="none"/>
        </w:rPr>
      </w:pPr>
      <w:r>
        <w:rPr>
          <w:rFonts w:hint="eastAsia"/>
          <w:color w:val="auto"/>
          <w:sz w:val="24"/>
          <w:highlight w:val="none"/>
        </w:rPr>
        <w:t>不论谈判的结果如何，供应商应承担其所有与准备和参加谈判有关的费用。</w:t>
      </w:r>
    </w:p>
    <w:p w14:paraId="079F302D">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4</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适用法律</w:t>
      </w:r>
    </w:p>
    <w:p w14:paraId="2D647687">
      <w:pPr>
        <w:spacing w:line="360" w:lineRule="auto"/>
        <w:ind w:firstLine="435"/>
        <w:rPr>
          <w:rFonts w:asciiTheme="minorEastAsia" w:hAnsiTheme="minorEastAsia" w:eastAsiaTheme="minorEastAsia"/>
          <w:color w:val="auto"/>
          <w:sz w:val="24"/>
          <w:highlight w:val="none"/>
        </w:rPr>
      </w:pPr>
      <w:r>
        <w:rPr>
          <w:rFonts w:hint="eastAsia"/>
          <w:color w:val="auto"/>
          <w:sz w:val="24"/>
          <w:highlight w:val="none"/>
        </w:rPr>
        <w:t>本项目采购人、采购代理机构、供应商、谈判小组的相关行为均受《中华人民共和国政府采购法》、《中华人民共和国政府采购法实施条例》及本项目本级和上级财政部门、政府采购监督管理部门的政府采购有关规定的约束，其权利受到上述法律法规的保护。</w:t>
      </w:r>
    </w:p>
    <w:p w14:paraId="4AE78680">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5</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谈判文件构成</w:t>
      </w:r>
    </w:p>
    <w:p w14:paraId="38767381">
      <w:pPr>
        <w:spacing w:line="360" w:lineRule="auto"/>
        <w:ind w:firstLine="435"/>
        <w:rPr>
          <w:color w:val="auto"/>
          <w:sz w:val="24"/>
          <w:highlight w:val="none"/>
        </w:rPr>
      </w:pPr>
      <w:r>
        <w:rPr>
          <w:rFonts w:hint="eastAsia"/>
          <w:color w:val="auto"/>
          <w:sz w:val="24"/>
          <w:highlight w:val="none"/>
          <w:lang w:val="en-US" w:eastAsia="zh-CN"/>
        </w:rPr>
        <w:t>5</w:t>
      </w:r>
      <w:r>
        <w:rPr>
          <w:rFonts w:hint="eastAsia"/>
          <w:color w:val="auto"/>
          <w:sz w:val="24"/>
          <w:highlight w:val="none"/>
        </w:rPr>
        <w:t>.1谈判文件包括下列内容：</w:t>
      </w:r>
    </w:p>
    <w:p w14:paraId="187B270E">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第一章</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谈判邀请</w:t>
      </w:r>
    </w:p>
    <w:p w14:paraId="46BEF609">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第二章</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须知</w:t>
      </w:r>
    </w:p>
    <w:p w14:paraId="1A22CCD5">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第三章</w:t>
      </w:r>
      <w:r>
        <w:rPr>
          <w:rFonts w:asciiTheme="minorEastAsia" w:hAnsiTheme="minorEastAsia" w:eastAsiaTheme="minorEastAsia"/>
          <w:color w:val="auto"/>
          <w:sz w:val="24"/>
          <w:highlight w:val="none"/>
        </w:rPr>
        <w:t xml:space="preserve">  采购需求</w:t>
      </w:r>
    </w:p>
    <w:p w14:paraId="6F0CE4AA">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第四章</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评审方法</w:t>
      </w:r>
      <w:r>
        <w:rPr>
          <w:rFonts w:asciiTheme="minorEastAsia" w:hAnsiTheme="minorEastAsia" w:eastAsiaTheme="minorEastAsia"/>
          <w:color w:val="auto"/>
          <w:sz w:val="24"/>
          <w:highlight w:val="none"/>
        </w:rPr>
        <w:t>和标准</w:t>
      </w:r>
    </w:p>
    <w:p w14:paraId="610001F6">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第五章</w:t>
      </w:r>
      <w:r>
        <w:rPr>
          <w:rFonts w:asciiTheme="minorEastAsia" w:hAnsiTheme="minorEastAsia" w:eastAsiaTheme="minorEastAsia"/>
          <w:color w:val="auto"/>
          <w:sz w:val="24"/>
          <w:highlight w:val="none"/>
        </w:rPr>
        <w:t xml:space="preserve">  政府采购合同</w:t>
      </w:r>
    </w:p>
    <w:p w14:paraId="65F73ACC">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第六章</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响应</w:t>
      </w:r>
      <w:r>
        <w:rPr>
          <w:rFonts w:asciiTheme="minorEastAsia" w:hAnsiTheme="minorEastAsia" w:eastAsiaTheme="minorEastAsia"/>
          <w:color w:val="auto"/>
          <w:sz w:val="24"/>
          <w:highlight w:val="none"/>
        </w:rPr>
        <w:t>文件格式</w:t>
      </w:r>
    </w:p>
    <w:p w14:paraId="7B3B06AA">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w:t>
      </w:r>
      <w:r>
        <w:rPr>
          <w:rFonts w:hint="eastAsia" w:asciiTheme="minorEastAsia" w:hAnsiTheme="minorEastAsia" w:eastAsiaTheme="minorEastAsia"/>
          <w:color w:val="auto"/>
          <w:sz w:val="24"/>
          <w:highlight w:val="none"/>
          <w:lang w:val="en-US" w:eastAsia="zh-CN"/>
        </w:rPr>
        <w:t>七</w:t>
      </w:r>
      <w:r>
        <w:rPr>
          <w:rFonts w:hint="eastAsia" w:asciiTheme="minorEastAsia" w:hAnsiTheme="minorEastAsia" w:eastAsiaTheme="minorEastAsia"/>
          <w:color w:val="auto"/>
          <w:sz w:val="24"/>
          <w:highlight w:val="none"/>
        </w:rPr>
        <w:t>章</w:t>
      </w:r>
      <w:r>
        <w:rPr>
          <w:rFonts w:asciiTheme="minorEastAsia" w:hAnsiTheme="minorEastAsia" w:eastAsiaTheme="minorEastAsia"/>
          <w:color w:val="auto"/>
          <w:sz w:val="24"/>
          <w:highlight w:val="none"/>
        </w:rPr>
        <w:t xml:space="preserve">  政府采购供应商</w:t>
      </w:r>
      <w:r>
        <w:rPr>
          <w:rFonts w:hint="eastAsia" w:asciiTheme="minorEastAsia" w:hAnsiTheme="minorEastAsia" w:eastAsiaTheme="minorEastAsia"/>
          <w:color w:val="auto"/>
          <w:sz w:val="24"/>
          <w:highlight w:val="none"/>
        </w:rPr>
        <w:t>询问函和</w:t>
      </w:r>
      <w:r>
        <w:rPr>
          <w:rFonts w:asciiTheme="minorEastAsia" w:hAnsiTheme="minorEastAsia" w:eastAsiaTheme="minorEastAsia"/>
          <w:color w:val="auto"/>
          <w:sz w:val="24"/>
          <w:highlight w:val="none"/>
        </w:rPr>
        <w:t>质疑函范本</w:t>
      </w:r>
    </w:p>
    <w:p w14:paraId="6F2159E6">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5</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2</w:t>
      </w:r>
      <w:r>
        <w:rPr>
          <w:rFonts w:asciiTheme="minorEastAsia" w:hAnsiTheme="minorEastAsia" w:eastAsiaTheme="minorEastAsia"/>
          <w:color w:val="auto"/>
          <w:sz w:val="24"/>
          <w:highlight w:val="none"/>
        </w:rPr>
        <w:t>现场</w:t>
      </w:r>
      <w:r>
        <w:rPr>
          <w:rFonts w:hint="eastAsia" w:asciiTheme="minorEastAsia" w:hAnsiTheme="minorEastAsia" w:eastAsiaTheme="minorEastAsia"/>
          <w:color w:val="auto"/>
          <w:sz w:val="24"/>
          <w:highlight w:val="none"/>
        </w:rPr>
        <w:t>踏勘</w:t>
      </w:r>
      <w:r>
        <w:rPr>
          <w:rFonts w:hint="eastAsia" w:asciiTheme="minorEastAsia" w:hAnsiTheme="minorEastAsia" w:eastAsiaTheme="minorEastAsia"/>
          <w:color w:val="auto"/>
          <w:sz w:val="24"/>
          <w:highlight w:val="none"/>
          <w:lang w:eastAsia="zh-CN"/>
        </w:rPr>
        <w:t>（</w:t>
      </w:r>
      <w:r>
        <w:rPr>
          <w:rFonts w:hint="eastAsia" w:ascii="宋体" w:hAnsi="宋体" w:eastAsia="宋体" w:cs="@仿宋_GB2312"/>
          <w:b w:val="0"/>
          <w:bCs/>
          <w:color w:val="auto"/>
          <w:kern w:val="2"/>
          <w:sz w:val="24"/>
          <w:szCs w:val="22"/>
          <w:highlight w:val="none"/>
          <w:lang w:val="en-US" w:eastAsia="zh-CN" w:bidi="ar-SA"/>
        </w:rPr>
        <w:t>标前答疑会</w:t>
      </w:r>
      <w:r>
        <w:rPr>
          <w:rFonts w:hint="eastAsia" w:asciiTheme="minorEastAsia" w:hAnsiTheme="minorEastAsia" w:eastAsiaTheme="minorEastAsia"/>
          <w:color w:val="auto"/>
          <w:sz w:val="24"/>
          <w:highlight w:val="none"/>
          <w:lang w:eastAsia="zh-CN"/>
        </w:rPr>
        <w:t>）</w:t>
      </w:r>
      <w:r>
        <w:rPr>
          <w:rFonts w:asciiTheme="minorEastAsia" w:hAnsiTheme="minorEastAsia" w:eastAsiaTheme="minorEastAsia"/>
          <w:color w:val="auto"/>
          <w:sz w:val="24"/>
          <w:highlight w:val="none"/>
        </w:rPr>
        <w:t>及相关事项见</w:t>
      </w:r>
      <w:r>
        <w:rPr>
          <w:rFonts w:asciiTheme="minorEastAsia" w:hAnsiTheme="minorEastAsia" w:eastAsiaTheme="minorEastAsia"/>
          <w:color w:val="auto"/>
          <w:sz w:val="24"/>
          <w:highlight w:val="none"/>
          <w:u w:val="single"/>
        </w:rPr>
        <w:t>供应商须知前附表</w:t>
      </w:r>
      <w:r>
        <w:rPr>
          <w:rFonts w:asciiTheme="minorEastAsia" w:hAnsiTheme="minorEastAsia" w:eastAsiaTheme="minorEastAsia"/>
          <w:color w:val="auto"/>
          <w:sz w:val="24"/>
          <w:highlight w:val="none"/>
        </w:rPr>
        <w:t>。</w:t>
      </w:r>
    </w:p>
    <w:p w14:paraId="03885A3A">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5</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3</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应认真阅读</w:t>
      </w:r>
      <w:r>
        <w:rPr>
          <w:rFonts w:hint="eastAsia" w:asciiTheme="minorEastAsia" w:hAnsiTheme="minorEastAsia" w:eastAsiaTheme="minorEastAsia"/>
          <w:color w:val="auto"/>
          <w:sz w:val="24"/>
          <w:highlight w:val="none"/>
        </w:rPr>
        <w:t>谈判</w:t>
      </w:r>
      <w:r>
        <w:rPr>
          <w:rFonts w:asciiTheme="minorEastAsia" w:hAnsiTheme="minorEastAsia" w:eastAsiaTheme="minorEastAsia"/>
          <w:color w:val="auto"/>
          <w:sz w:val="24"/>
          <w:highlight w:val="none"/>
        </w:rPr>
        <w:t>文件所有的事项、格式、条款和技术规范等。</w:t>
      </w:r>
    </w:p>
    <w:p w14:paraId="3F2B0CB3">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6</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谈判文件的澄清与修改</w:t>
      </w:r>
    </w:p>
    <w:p w14:paraId="62948082">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6</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1供应商</w:t>
      </w:r>
      <w:r>
        <w:rPr>
          <w:rFonts w:asciiTheme="minorEastAsia" w:hAnsiTheme="minorEastAsia" w:eastAsiaTheme="minorEastAsia"/>
          <w:color w:val="auto"/>
          <w:sz w:val="24"/>
          <w:highlight w:val="none"/>
        </w:rPr>
        <w:t>如对</w:t>
      </w:r>
      <w:r>
        <w:rPr>
          <w:rFonts w:hint="eastAsia" w:asciiTheme="minorEastAsia" w:hAnsiTheme="minorEastAsia" w:eastAsiaTheme="minorEastAsia"/>
          <w:color w:val="auto"/>
          <w:sz w:val="24"/>
          <w:highlight w:val="none"/>
        </w:rPr>
        <w:t>谈判</w:t>
      </w:r>
      <w:r>
        <w:rPr>
          <w:rFonts w:asciiTheme="minorEastAsia" w:hAnsiTheme="minorEastAsia" w:eastAsiaTheme="minorEastAsia"/>
          <w:color w:val="auto"/>
          <w:sz w:val="24"/>
          <w:highlight w:val="none"/>
        </w:rPr>
        <w:t>文件内容有疑问，必须在</w:t>
      </w:r>
      <w:r>
        <w:rPr>
          <w:color w:val="auto"/>
          <w:sz w:val="24"/>
          <w:highlight w:val="none"/>
          <w:u w:val="single"/>
        </w:rPr>
        <w:t>供应商须知前附表</w:t>
      </w:r>
      <w:r>
        <w:rPr>
          <w:rFonts w:asciiTheme="minorEastAsia" w:hAnsiTheme="minorEastAsia" w:eastAsiaTheme="minorEastAsia"/>
          <w:color w:val="auto"/>
          <w:sz w:val="24"/>
          <w:highlight w:val="none"/>
        </w:rPr>
        <w:t>规定的</w:t>
      </w:r>
      <w:r>
        <w:rPr>
          <w:rFonts w:hint="eastAsia" w:asciiTheme="minorEastAsia" w:hAnsiTheme="minorEastAsia" w:eastAsiaTheme="minorEastAsia"/>
          <w:b/>
          <w:bCs/>
          <w:color w:val="auto"/>
          <w:sz w:val="24"/>
          <w:highlight w:val="none"/>
        </w:rPr>
        <w:t>询问</w:t>
      </w:r>
      <w:r>
        <w:rPr>
          <w:rFonts w:asciiTheme="minorEastAsia" w:hAnsiTheme="minorEastAsia" w:eastAsiaTheme="minorEastAsia"/>
          <w:color w:val="auto"/>
          <w:sz w:val="24"/>
          <w:highlight w:val="none"/>
        </w:rPr>
        <w:t>截止时间前以</w:t>
      </w:r>
      <w:r>
        <w:rPr>
          <w:rFonts w:hint="eastAsia" w:asciiTheme="minorEastAsia" w:hAnsiTheme="minorEastAsia" w:eastAsiaTheme="minorEastAsia"/>
          <w:b/>
          <w:bCs/>
          <w:color w:val="auto"/>
          <w:sz w:val="24"/>
          <w:highlight w:val="none"/>
          <w:lang w:val="en-US" w:eastAsia="zh-CN"/>
        </w:rPr>
        <w:t>书面形式</w:t>
      </w:r>
      <w:r>
        <w:rPr>
          <w:rFonts w:asciiTheme="minorEastAsia" w:hAnsiTheme="minorEastAsia" w:eastAsiaTheme="minorEastAsia"/>
          <w:color w:val="auto"/>
          <w:sz w:val="24"/>
          <w:highlight w:val="none"/>
        </w:rPr>
        <w:t>提交给采购代理机构。</w:t>
      </w:r>
    </w:p>
    <w:p w14:paraId="2A3FEBEE">
      <w:pPr>
        <w:keepNext w:val="0"/>
        <w:keepLines w:val="0"/>
        <w:pageBreakBefore w:val="0"/>
        <w:widowControl w:val="0"/>
        <w:kinsoku/>
        <w:wordWrap w:val="0"/>
        <w:overflowPunct/>
        <w:topLinePunct/>
        <w:autoSpaceDE/>
        <w:autoSpaceDN/>
        <w:bidi w:val="0"/>
        <w:adjustRightInd/>
        <w:snapToGrid/>
        <w:spacing w:line="360" w:lineRule="auto"/>
        <w:ind w:firstLine="437"/>
        <w:textAlignment w:val="auto"/>
        <w:rPr>
          <w:rFonts w:asciiTheme="minorEastAsia" w:hAnsiTheme="minorEastAsia" w:eastAsiaTheme="minorEastAsia"/>
          <w:color w:val="auto"/>
          <w:sz w:val="24"/>
          <w:highlight w:val="none"/>
        </w:rPr>
      </w:pPr>
      <w:r>
        <w:rPr>
          <w:rFonts w:hint="eastAsia" w:asciiTheme="minorEastAsia" w:hAnsiTheme="minorEastAsia" w:eastAsiaTheme="minorEastAsia"/>
          <w:b/>
          <w:bCs/>
          <w:color w:val="auto"/>
          <w:sz w:val="24"/>
          <w:highlight w:val="none"/>
          <w:lang w:val="en-US" w:eastAsia="zh-CN"/>
        </w:rPr>
        <w:t>6</w:t>
      </w:r>
      <w:r>
        <w:rPr>
          <w:rFonts w:asciiTheme="minorEastAsia" w:hAnsiTheme="minorEastAsia" w:eastAsiaTheme="minorEastAsia"/>
          <w:b/>
          <w:bCs/>
          <w:color w:val="auto"/>
          <w:sz w:val="24"/>
          <w:highlight w:val="none"/>
        </w:rPr>
        <w:t>.</w:t>
      </w:r>
      <w:r>
        <w:rPr>
          <w:rFonts w:hint="eastAsia" w:asciiTheme="minorEastAsia" w:hAnsiTheme="minorEastAsia" w:eastAsiaTheme="minorEastAsia"/>
          <w:b/>
          <w:bCs/>
          <w:color w:val="auto"/>
          <w:sz w:val="24"/>
          <w:highlight w:val="none"/>
        </w:rPr>
        <w:t>2采购人可主动地或在</w:t>
      </w:r>
      <w:r>
        <w:rPr>
          <w:rFonts w:hint="eastAsia" w:asciiTheme="minorEastAsia" w:hAnsiTheme="minorEastAsia" w:eastAsiaTheme="minorEastAsia"/>
          <w:b/>
          <w:bCs/>
          <w:color w:val="auto"/>
          <w:sz w:val="24"/>
          <w:highlight w:val="none"/>
          <w:lang w:val="en-US" w:eastAsia="zh-CN"/>
        </w:rPr>
        <w:t>答复供应商</w:t>
      </w:r>
      <w:r>
        <w:rPr>
          <w:rFonts w:hint="eastAsia" w:asciiTheme="minorEastAsia" w:hAnsiTheme="minorEastAsia" w:eastAsiaTheme="minorEastAsia"/>
          <w:b/>
          <w:bCs/>
          <w:color w:val="auto"/>
          <w:sz w:val="24"/>
          <w:highlight w:val="none"/>
        </w:rPr>
        <w:t>提出的</w:t>
      </w:r>
      <w:r>
        <w:rPr>
          <w:rFonts w:hint="eastAsia" w:asciiTheme="minorEastAsia" w:hAnsiTheme="minorEastAsia" w:eastAsiaTheme="minorEastAsia"/>
          <w:b/>
          <w:bCs/>
          <w:color w:val="auto"/>
          <w:sz w:val="24"/>
          <w:highlight w:val="none"/>
          <w:lang w:val="en-US" w:eastAsia="zh-CN"/>
        </w:rPr>
        <w:t>询问</w:t>
      </w:r>
      <w:r>
        <w:rPr>
          <w:rFonts w:hint="eastAsia" w:asciiTheme="minorEastAsia" w:hAnsiTheme="minorEastAsia" w:eastAsiaTheme="minorEastAsia"/>
          <w:b/>
          <w:bCs/>
          <w:color w:val="auto"/>
          <w:sz w:val="24"/>
          <w:highlight w:val="none"/>
        </w:rPr>
        <w:t>时对</w:t>
      </w:r>
      <w:r>
        <w:rPr>
          <w:rFonts w:hint="eastAsia" w:asciiTheme="minorEastAsia" w:hAnsiTheme="minorEastAsia" w:eastAsiaTheme="minorEastAsia"/>
          <w:b/>
          <w:bCs/>
          <w:color w:val="auto"/>
          <w:sz w:val="24"/>
          <w:highlight w:val="none"/>
          <w:lang w:val="en-US" w:eastAsia="zh-CN"/>
        </w:rPr>
        <w:t>谈判</w:t>
      </w:r>
      <w:r>
        <w:rPr>
          <w:rFonts w:hint="eastAsia" w:asciiTheme="minorEastAsia" w:hAnsiTheme="minorEastAsia" w:eastAsiaTheme="minorEastAsia"/>
          <w:b/>
          <w:bCs/>
          <w:color w:val="auto"/>
          <w:sz w:val="24"/>
          <w:highlight w:val="none"/>
        </w:rPr>
        <w:t>文件进行澄清与修改。</w:t>
      </w:r>
      <w:r>
        <w:rPr>
          <w:rFonts w:asciiTheme="minorEastAsia" w:hAnsiTheme="minorEastAsia" w:eastAsiaTheme="minorEastAsia"/>
          <w:b/>
          <w:bCs/>
          <w:color w:val="auto"/>
          <w:sz w:val="24"/>
          <w:highlight w:val="none"/>
        </w:rPr>
        <w:t>采购代理机构将</w:t>
      </w:r>
      <w:r>
        <w:rPr>
          <w:rFonts w:hint="eastAsia" w:asciiTheme="minorEastAsia" w:hAnsiTheme="minorEastAsia" w:eastAsiaTheme="minorEastAsia"/>
          <w:b/>
          <w:bCs/>
          <w:color w:val="auto"/>
          <w:sz w:val="24"/>
          <w:highlight w:val="none"/>
        </w:rPr>
        <w:t>在</w:t>
      </w:r>
      <w:bookmarkStart w:id="15" w:name="_Hlk16458572"/>
      <w:r>
        <w:rPr>
          <w:rFonts w:hint="eastAsia" w:asciiTheme="minorEastAsia" w:hAnsiTheme="minorEastAsia" w:eastAsiaTheme="minorEastAsia"/>
          <w:b/>
          <w:bCs/>
          <w:color w:val="auto"/>
          <w:sz w:val="24"/>
          <w:highlight w:val="none"/>
          <w:lang w:val="en-US" w:eastAsia="zh-CN"/>
        </w:rPr>
        <w:t>定远县人民政府网（http://www.dyxzyy.com/xxgk.html）--政务信息公开--</w:t>
      </w:r>
      <w:bookmarkEnd w:id="15"/>
      <w:r>
        <w:rPr>
          <w:rFonts w:hint="eastAsia" w:asciiTheme="minorEastAsia" w:hAnsiTheme="minorEastAsia" w:eastAsiaTheme="minorEastAsia"/>
          <w:b/>
          <w:bCs/>
          <w:color w:val="auto"/>
          <w:sz w:val="24"/>
          <w:highlight w:val="none"/>
          <w:lang w:val="en-US" w:eastAsia="zh-CN"/>
        </w:rPr>
        <w:t>定远县总医院</w:t>
      </w:r>
      <w:r>
        <w:rPr>
          <w:rFonts w:hint="eastAsia" w:asciiTheme="minorEastAsia" w:hAnsiTheme="minorEastAsia" w:eastAsiaTheme="minorEastAsia"/>
          <w:b/>
          <w:bCs/>
          <w:color w:val="auto"/>
          <w:sz w:val="24"/>
          <w:highlight w:val="none"/>
        </w:rPr>
        <w:t>发布</w:t>
      </w:r>
      <w:r>
        <w:rPr>
          <w:rFonts w:hint="eastAsia" w:asciiTheme="minorEastAsia" w:hAnsiTheme="minorEastAsia" w:eastAsiaTheme="minorEastAsia"/>
          <w:color w:val="auto"/>
          <w:sz w:val="24"/>
          <w:highlight w:val="none"/>
        </w:rPr>
        <w:t>更正公告的方式澄清或者修改谈判文件，更正公告的</w:t>
      </w:r>
      <w:r>
        <w:rPr>
          <w:rFonts w:asciiTheme="minorEastAsia" w:hAnsiTheme="minorEastAsia" w:eastAsiaTheme="minorEastAsia"/>
          <w:color w:val="auto"/>
          <w:sz w:val="24"/>
          <w:highlight w:val="none"/>
        </w:rPr>
        <w:t>内容</w:t>
      </w:r>
      <w:r>
        <w:rPr>
          <w:rFonts w:hint="eastAsia" w:asciiTheme="minorEastAsia" w:hAnsiTheme="minorEastAsia" w:eastAsiaTheme="minorEastAsia"/>
          <w:color w:val="auto"/>
          <w:sz w:val="24"/>
          <w:highlight w:val="none"/>
        </w:rPr>
        <w:t>作</w:t>
      </w:r>
      <w:r>
        <w:rPr>
          <w:rFonts w:asciiTheme="minorEastAsia" w:hAnsiTheme="minorEastAsia" w:eastAsiaTheme="minorEastAsia"/>
          <w:color w:val="auto"/>
          <w:sz w:val="24"/>
          <w:highlight w:val="none"/>
        </w:rPr>
        <w:t>为</w:t>
      </w:r>
      <w:r>
        <w:rPr>
          <w:rFonts w:hint="eastAsia" w:asciiTheme="minorEastAsia" w:hAnsiTheme="minorEastAsia" w:eastAsiaTheme="minorEastAsia"/>
          <w:color w:val="auto"/>
          <w:sz w:val="24"/>
          <w:highlight w:val="none"/>
        </w:rPr>
        <w:t>谈判</w:t>
      </w:r>
      <w:r>
        <w:rPr>
          <w:rFonts w:asciiTheme="minorEastAsia" w:hAnsiTheme="minorEastAsia" w:eastAsiaTheme="minorEastAsia"/>
          <w:color w:val="auto"/>
          <w:sz w:val="24"/>
          <w:highlight w:val="none"/>
        </w:rPr>
        <w:t>文件</w:t>
      </w:r>
      <w:r>
        <w:rPr>
          <w:rFonts w:hint="eastAsia" w:asciiTheme="minorEastAsia" w:hAnsiTheme="minorEastAsia" w:eastAsiaTheme="minorEastAsia"/>
          <w:color w:val="auto"/>
          <w:sz w:val="24"/>
          <w:highlight w:val="none"/>
        </w:rPr>
        <w:t>的</w:t>
      </w:r>
      <w:r>
        <w:rPr>
          <w:rFonts w:asciiTheme="minorEastAsia" w:hAnsiTheme="minorEastAsia" w:eastAsiaTheme="minorEastAsia"/>
          <w:color w:val="auto"/>
          <w:sz w:val="24"/>
          <w:highlight w:val="none"/>
        </w:rPr>
        <w:t>组成部分，对</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起约束作用</w:t>
      </w:r>
      <w:r>
        <w:rPr>
          <w:rFonts w:hint="eastAsia" w:asciiTheme="minorEastAsia" w:hAnsiTheme="minorEastAsia" w:eastAsiaTheme="minorEastAsia"/>
          <w:color w:val="auto"/>
          <w:sz w:val="24"/>
          <w:highlight w:val="none"/>
        </w:rPr>
        <w:t>。供应商应主动上网查询。采购代理机构不承担供应商未及时关注相关信息引发的相关责任。</w:t>
      </w:r>
    </w:p>
    <w:p w14:paraId="4827C8B9">
      <w:pPr>
        <w:spacing w:line="360" w:lineRule="auto"/>
        <w:ind w:firstLine="435"/>
        <w:rPr>
          <w:color w:val="auto"/>
          <w:sz w:val="24"/>
          <w:highlight w:val="none"/>
        </w:rPr>
      </w:pPr>
      <w:r>
        <w:rPr>
          <w:rFonts w:hint="eastAsia"/>
          <w:color w:val="auto"/>
          <w:sz w:val="24"/>
          <w:highlight w:val="none"/>
          <w:lang w:val="en-US" w:eastAsia="zh-CN"/>
        </w:rPr>
        <w:t>6</w:t>
      </w:r>
      <w:r>
        <w:rPr>
          <w:rFonts w:hint="eastAsia"/>
          <w:color w:val="auto"/>
          <w:sz w:val="24"/>
          <w:highlight w:val="none"/>
        </w:rPr>
        <w:t>.3任何人或任何组织向供应商提供的任何书面或口头资料，未经采购代理机构在网上发布或书面通知，均作无效处理，不得作为谈判文件的组成部分。采购代理机构对供应商由此而做出的推论、理解和结论概不负责。</w:t>
      </w:r>
    </w:p>
    <w:p w14:paraId="30491014">
      <w:pPr>
        <w:spacing w:line="360" w:lineRule="auto"/>
        <w:ind w:firstLine="435"/>
        <w:rPr>
          <w:rFonts w:hint="eastAsia" w:asciiTheme="minorEastAsia" w:hAnsiTheme="minorEastAsia" w:eastAsiaTheme="minorEastAsia"/>
          <w:iCs/>
          <w:color w:val="auto"/>
          <w:sz w:val="24"/>
          <w:highlight w:val="none"/>
          <w:lang w:eastAsia="zh-CN"/>
        </w:rPr>
      </w:pPr>
      <w:r>
        <w:rPr>
          <w:rFonts w:hint="eastAsia" w:asciiTheme="minorEastAsia" w:hAnsiTheme="minorEastAsia" w:eastAsiaTheme="minorEastAsia"/>
          <w:color w:val="auto"/>
          <w:sz w:val="24"/>
          <w:highlight w:val="none"/>
          <w:lang w:val="en-US" w:eastAsia="zh-CN"/>
        </w:rPr>
        <w:t>6</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4</w:t>
      </w:r>
      <w:r>
        <w:rPr>
          <w:rFonts w:asciiTheme="minorEastAsia" w:hAnsiTheme="minorEastAsia" w:eastAsiaTheme="minorEastAsia"/>
          <w:color w:val="auto"/>
          <w:sz w:val="24"/>
          <w:highlight w:val="none"/>
        </w:rPr>
        <w:t>对于</w:t>
      </w:r>
      <w:r>
        <w:rPr>
          <w:color w:val="auto"/>
          <w:sz w:val="24"/>
          <w:highlight w:val="none"/>
        </w:rPr>
        <w:t>没有</w:t>
      </w:r>
      <w:r>
        <w:rPr>
          <w:rFonts w:asciiTheme="minorEastAsia" w:hAnsiTheme="minorEastAsia" w:eastAsiaTheme="minorEastAsia"/>
          <w:color w:val="auto"/>
          <w:sz w:val="24"/>
          <w:highlight w:val="none"/>
        </w:rPr>
        <w:t>提出</w:t>
      </w:r>
      <w:r>
        <w:rPr>
          <w:rFonts w:hint="eastAsia" w:asciiTheme="minorEastAsia" w:hAnsiTheme="minorEastAsia" w:eastAsiaTheme="minorEastAsia"/>
          <w:color w:val="auto"/>
          <w:sz w:val="24"/>
          <w:highlight w:val="none"/>
        </w:rPr>
        <w:t>询问</w:t>
      </w:r>
      <w:r>
        <w:rPr>
          <w:rFonts w:asciiTheme="minorEastAsia" w:hAnsiTheme="minorEastAsia" w:eastAsiaTheme="minorEastAsia"/>
          <w:color w:val="auto"/>
          <w:sz w:val="24"/>
          <w:highlight w:val="none"/>
        </w:rPr>
        <w:t>又参与了</w:t>
      </w:r>
      <w:r>
        <w:rPr>
          <w:rFonts w:hint="eastAsia" w:asciiTheme="minorEastAsia" w:hAnsiTheme="minorEastAsia" w:eastAsiaTheme="minorEastAsia"/>
          <w:color w:val="auto"/>
          <w:sz w:val="24"/>
          <w:highlight w:val="none"/>
        </w:rPr>
        <w:t>本</w:t>
      </w:r>
      <w:r>
        <w:rPr>
          <w:rFonts w:asciiTheme="minorEastAsia" w:hAnsiTheme="minorEastAsia" w:eastAsiaTheme="minorEastAsia"/>
          <w:color w:val="auto"/>
          <w:sz w:val="24"/>
          <w:highlight w:val="none"/>
        </w:rPr>
        <w:t>项目</w:t>
      </w:r>
      <w:r>
        <w:rPr>
          <w:rFonts w:hint="eastAsia" w:asciiTheme="minorEastAsia" w:hAnsiTheme="minorEastAsia" w:eastAsiaTheme="minorEastAsia"/>
          <w:color w:val="auto"/>
          <w:sz w:val="24"/>
          <w:highlight w:val="none"/>
        </w:rPr>
        <w:t>谈判</w:t>
      </w:r>
      <w:r>
        <w:rPr>
          <w:rFonts w:asciiTheme="minorEastAsia" w:hAnsiTheme="minorEastAsia" w:eastAsiaTheme="minorEastAsia"/>
          <w:color w:val="auto"/>
          <w:sz w:val="24"/>
          <w:highlight w:val="none"/>
        </w:rPr>
        <w:t>的</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将被视为完全认同</w:t>
      </w:r>
      <w:r>
        <w:rPr>
          <w:rFonts w:hint="eastAsia" w:asciiTheme="minorEastAsia" w:hAnsiTheme="minorEastAsia" w:eastAsiaTheme="minorEastAsia"/>
          <w:color w:val="auto"/>
          <w:sz w:val="24"/>
          <w:highlight w:val="none"/>
        </w:rPr>
        <w:t>本谈判</w:t>
      </w:r>
      <w:r>
        <w:rPr>
          <w:rFonts w:asciiTheme="minorEastAsia" w:hAnsiTheme="minorEastAsia" w:eastAsiaTheme="minorEastAsia"/>
          <w:color w:val="auto"/>
          <w:sz w:val="24"/>
          <w:highlight w:val="none"/>
        </w:rPr>
        <w:t>文件（含</w:t>
      </w:r>
      <w:r>
        <w:rPr>
          <w:rFonts w:hint="eastAsia" w:asciiTheme="minorEastAsia" w:hAnsiTheme="minorEastAsia" w:eastAsiaTheme="minorEastAsia"/>
          <w:color w:val="auto"/>
          <w:sz w:val="24"/>
          <w:highlight w:val="none"/>
        </w:rPr>
        <w:t>更正公告的</w:t>
      </w:r>
      <w:r>
        <w:rPr>
          <w:rFonts w:asciiTheme="minorEastAsia" w:hAnsiTheme="minorEastAsia" w:eastAsiaTheme="minorEastAsia"/>
          <w:color w:val="auto"/>
          <w:sz w:val="24"/>
          <w:highlight w:val="none"/>
        </w:rPr>
        <w:t>内容）</w:t>
      </w:r>
      <w:r>
        <w:rPr>
          <w:rFonts w:hint="eastAsia" w:asciiTheme="minorEastAsia" w:hAnsiTheme="minorEastAsia" w:eastAsiaTheme="minorEastAsia"/>
          <w:color w:val="auto"/>
          <w:sz w:val="24"/>
          <w:highlight w:val="none"/>
          <w:lang w:eastAsia="zh-CN"/>
        </w:rPr>
        <w:t>。</w:t>
      </w:r>
    </w:p>
    <w:p w14:paraId="7BF24458">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7</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谈判范围及响应文件中标准和计量单位的使用</w:t>
      </w:r>
    </w:p>
    <w:p w14:paraId="05F6B42E">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7</w:t>
      </w:r>
      <w:r>
        <w:rPr>
          <w:rFonts w:asciiTheme="minorEastAsia" w:hAnsiTheme="minorEastAsia" w:eastAsiaTheme="minorEastAsia"/>
          <w:color w:val="auto"/>
          <w:sz w:val="24"/>
          <w:highlight w:val="none"/>
        </w:rPr>
        <w:t>.1项目有分包的，供应商可</w:t>
      </w:r>
      <w:r>
        <w:rPr>
          <w:rFonts w:hint="eastAsia" w:asciiTheme="minorEastAsia" w:hAnsiTheme="minorEastAsia" w:eastAsiaTheme="minorEastAsia"/>
          <w:color w:val="auto"/>
          <w:sz w:val="24"/>
          <w:highlight w:val="none"/>
        </w:rPr>
        <w:t>参与</w:t>
      </w:r>
      <w:r>
        <w:rPr>
          <w:rFonts w:asciiTheme="minorEastAsia" w:hAnsiTheme="minorEastAsia" w:eastAsiaTheme="minorEastAsia"/>
          <w:color w:val="auto"/>
          <w:sz w:val="24"/>
          <w:highlight w:val="none"/>
        </w:rPr>
        <w:t>其中某一个或</w:t>
      </w:r>
      <w:r>
        <w:rPr>
          <w:rFonts w:hint="eastAsia" w:asciiTheme="minorEastAsia" w:hAnsiTheme="minorEastAsia" w:eastAsiaTheme="minorEastAsia"/>
          <w:color w:val="auto"/>
          <w:sz w:val="24"/>
          <w:highlight w:val="none"/>
        </w:rPr>
        <w:t>多</w:t>
      </w:r>
      <w:r>
        <w:rPr>
          <w:rFonts w:asciiTheme="minorEastAsia" w:hAnsiTheme="minorEastAsia" w:eastAsiaTheme="minorEastAsia"/>
          <w:color w:val="auto"/>
          <w:sz w:val="24"/>
          <w:highlight w:val="none"/>
        </w:rPr>
        <w:t>个分包</w:t>
      </w:r>
      <w:r>
        <w:rPr>
          <w:rFonts w:hint="eastAsia" w:asciiTheme="minorEastAsia" w:hAnsiTheme="minorEastAsia" w:eastAsiaTheme="minorEastAsia"/>
          <w:color w:val="auto"/>
          <w:sz w:val="24"/>
          <w:highlight w:val="none"/>
        </w:rPr>
        <w:t>的谈判</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成交包数详见</w:t>
      </w:r>
      <w:r>
        <w:rPr>
          <w:rFonts w:asciiTheme="minorEastAsia" w:hAnsiTheme="minorEastAsia" w:eastAsiaTheme="minorEastAsia"/>
          <w:color w:val="auto"/>
          <w:sz w:val="24"/>
          <w:highlight w:val="none"/>
          <w:u w:val="single"/>
        </w:rPr>
        <w:t>供应商须知前附表</w:t>
      </w:r>
      <w:r>
        <w:rPr>
          <w:rFonts w:asciiTheme="minorEastAsia" w:hAnsiTheme="minorEastAsia" w:eastAsiaTheme="minorEastAsia"/>
          <w:color w:val="auto"/>
          <w:sz w:val="24"/>
          <w:highlight w:val="none"/>
        </w:rPr>
        <w:t>中规定。</w:t>
      </w:r>
    </w:p>
    <w:p w14:paraId="402D28C7">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7</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2</w:t>
      </w:r>
      <w:r>
        <w:rPr>
          <w:rFonts w:asciiTheme="minorEastAsia" w:hAnsiTheme="minorEastAsia" w:eastAsiaTheme="minorEastAsia"/>
          <w:color w:val="auto"/>
          <w:sz w:val="24"/>
          <w:highlight w:val="none"/>
        </w:rPr>
        <w:t>无论谈判文件中是否要求，供应商所</w:t>
      </w:r>
      <w:r>
        <w:rPr>
          <w:rFonts w:hint="eastAsia" w:asciiTheme="minorEastAsia" w:hAnsiTheme="minorEastAsia" w:eastAsiaTheme="minorEastAsia"/>
          <w:color w:val="auto"/>
          <w:sz w:val="24"/>
          <w:highlight w:val="none"/>
        </w:rPr>
        <w:t>承担</w:t>
      </w:r>
      <w:r>
        <w:rPr>
          <w:rFonts w:asciiTheme="minorEastAsia" w:hAnsiTheme="minorEastAsia" w:eastAsiaTheme="minorEastAsia"/>
          <w:color w:val="auto"/>
          <w:sz w:val="24"/>
          <w:highlight w:val="none"/>
        </w:rPr>
        <w:t>工程及伴随的货物和</w:t>
      </w:r>
      <w:r>
        <w:rPr>
          <w:rFonts w:hint="eastAsia" w:asciiTheme="minorEastAsia" w:hAnsiTheme="minorEastAsia" w:eastAsiaTheme="minorEastAsia"/>
          <w:color w:val="auto"/>
          <w:sz w:val="24"/>
          <w:highlight w:val="none"/>
        </w:rPr>
        <w:t>服务</w:t>
      </w:r>
      <w:r>
        <w:rPr>
          <w:rFonts w:asciiTheme="minorEastAsia" w:hAnsiTheme="minorEastAsia" w:eastAsiaTheme="minorEastAsia"/>
          <w:color w:val="auto"/>
          <w:sz w:val="24"/>
          <w:highlight w:val="none"/>
        </w:rPr>
        <w:t>均应符合国家强制性标准。</w:t>
      </w:r>
    </w:p>
    <w:p w14:paraId="2AE7BE7D">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7</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3</w:t>
      </w:r>
      <w:r>
        <w:rPr>
          <w:rFonts w:asciiTheme="minorEastAsia" w:hAnsiTheme="minorEastAsia" w:eastAsiaTheme="minorEastAsia"/>
          <w:color w:val="auto"/>
          <w:sz w:val="24"/>
          <w:highlight w:val="none"/>
        </w:rPr>
        <w:t>供应商与采购代理机构之间与谈判有关的所有往来通知、函件和响应文件均用中文表述。供应商随响应文件提供的证明文件和资料可以为其他语言，但必须附中文译文。翻译的中文资料与外文资料如果出现差异时，以中文为准。</w:t>
      </w:r>
    </w:p>
    <w:p w14:paraId="50D207F5">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7</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4</w:t>
      </w:r>
      <w:r>
        <w:rPr>
          <w:rFonts w:asciiTheme="minorEastAsia" w:hAnsiTheme="minorEastAsia" w:eastAsiaTheme="minorEastAsia"/>
          <w:color w:val="auto"/>
          <w:sz w:val="24"/>
          <w:highlight w:val="none"/>
        </w:rPr>
        <w:t>除谈判文件中有特殊要求外，响应文件中所使用的计量单位，应采用中华人民共和国法定计量单位。</w:t>
      </w:r>
    </w:p>
    <w:p w14:paraId="3C92D9BB">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8</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响应文件构成</w:t>
      </w:r>
    </w:p>
    <w:p w14:paraId="135C2A2C">
      <w:pPr>
        <w:spacing w:line="360" w:lineRule="auto"/>
        <w:ind w:firstLine="437"/>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8</w:t>
      </w:r>
      <w:r>
        <w:rPr>
          <w:rFonts w:asciiTheme="minorEastAsia" w:hAnsiTheme="minorEastAsia" w:eastAsiaTheme="minorEastAsia"/>
          <w:color w:val="auto"/>
          <w:sz w:val="24"/>
          <w:highlight w:val="none"/>
        </w:rPr>
        <w:t>.1供应商应完整地按谈判文件提供的响应文件格式及要求编写响应文件，具体内容详见第六章响应文件格式的相关内容。</w:t>
      </w:r>
    </w:p>
    <w:p w14:paraId="744CD045">
      <w:pPr>
        <w:spacing w:line="360" w:lineRule="auto"/>
        <w:ind w:firstLine="437"/>
        <w:outlineLvl w:val="2"/>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8</w:t>
      </w:r>
      <w:r>
        <w:rPr>
          <w:rFonts w:asciiTheme="minorEastAsia" w:hAnsiTheme="minorEastAsia" w:eastAsiaTheme="minorEastAsia"/>
          <w:color w:val="auto"/>
          <w:sz w:val="24"/>
          <w:highlight w:val="none"/>
        </w:rPr>
        <w:t>.2</w:t>
      </w:r>
      <w:r>
        <w:rPr>
          <w:rFonts w:hint="eastAsia"/>
          <w:color w:val="auto"/>
          <w:sz w:val="24"/>
          <w:highlight w:val="none"/>
        </w:rPr>
        <w:t>供应商应提交谈判文件要求的证明文件，证明其响应内容符合谈判文件规定。该证明文件是响应文件的一部分</w:t>
      </w:r>
      <w:r>
        <w:rPr>
          <w:rFonts w:asciiTheme="minorEastAsia" w:hAnsiTheme="minorEastAsia" w:eastAsiaTheme="minorEastAsia"/>
          <w:color w:val="auto"/>
          <w:sz w:val="24"/>
          <w:highlight w:val="none"/>
        </w:rPr>
        <w:t>。证明文件</w:t>
      </w:r>
      <w:r>
        <w:rPr>
          <w:rFonts w:hint="eastAsia" w:asciiTheme="minorEastAsia" w:hAnsiTheme="minorEastAsia" w:eastAsiaTheme="minorEastAsia"/>
          <w:color w:val="auto"/>
          <w:sz w:val="24"/>
          <w:highlight w:val="none"/>
          <w:lang w:val="en-US" w:eastAsia="zh-CN"/>
        </w:rPr>
        <w:t>形式</w:t>
      </w:r>
      <w:r>
        <w:rPr>
          <w:rFonts w:asciiTheme="minorEastAsia" w:hAnsiTheme="minorEastAsia" w:eastAsiaTheme="minorEastAsia"/>
          <w:color w:val="auto"/>
          <w:sz w:val="24"/>
          <w:highlight w:val="none"/>
        </w:rPr>
        <w:t>可以是文字资料、图纸和数据</w:t>
      </w:r>
      <w:bookmarkStart w:id="16" w:name="_Hlk11703583"/>
      <w:r>
        <w:rPr>
          <w:rFonts w:hint="eastAsia" w:asciiTheme="minorEastAsia" w:hAnsiTheme="minorEastAsia" w:eastAsiaTheme="minorEastAsia"/>
          <w:color w:val="auto"/>
          <w:sz w:val="24"/>
          <w:highlight w:val="none"/>
        </w:rPr>
        <w:t>。</w:t>
      </w:r>
    </w:p>
    <w:bookmarkEnd w:id="16"/>
    <w:p w14:paraId="77DE0AA8">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8.3</w:t>
      </w:r>
      <w:r>
        <w:rPr>
          <w:rFonts w:asciiTheme="minorEastAsia" w:hAnsiTheme="minorEastAsia" w:eastAsiaTheme="minorEastAsia"/>
          <w:color w:val="auto"/>
          <w:sz w:val="24"/>
          <w:highlight w:val="none"/>
        </w:rPr>
        <w:t>为保证</w:t>
      </w:r>
      <w:r>
        <w:rPr>
          <w:color w:val="auto"/>
          <w:sz w:val="24"/>
          <w:highlight w:val="none"/>
        </w:rPr>
        <w:t>公平</w:t>
      </w:r>
      <w:r>
        <w:rPr>
          <w:rFonts w:asciiTheme="minorEastAsia" w:hAnsiTheme="minorEastAsia" w:eastAsiaTheme="minorEastAsia"/>
          <w:color w:val="auto"/>
          <w:sz w:val="24"/>
          <w:highlight w:val="none"/>
        </w:rPr>
        <w:t>公正，除非谈判文件另有规定或说明，</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对同一项目</w:t>
      </w:r>
      <w:r>
        <w:rPr>
          <w:rFonts w:hint="eastAsia" w:asciiTheme="minorEastAsia" w:hAnsiTheme="minorEastAsia" w:eastAsiaTheme="minorEastAsia"/>
          <w:color w:val="auto"/>
          <w:sz w:val="24"/>
          <w:highlight w:val="none"/>
        </w:rPr>
        <w:t>谈判</w:t>
      </w:r>
      <w:r>
        <w:rPr>
          <w:rFonts w:asciiTheme="minorEastAsia" w:hAnsiTheme="minorEastAsia" w:eastAsiaTheme="minorEastAsia"/>
          <w:color w:val="auto"/>
          <w:sz w:val="24"/>
          <w:highlight w:val="none"/>
        </w:rPr>
        <w:t>时，不得同时提供</w:t>
      </w:r>
      <w:r>
        <w:rPr>
          <w:rFonts w:hint="eastAsia" w:asciiTheme="minorEastAsia" w:hAnsiTheme="minorEastAsia" w:eastAsiaTheme="minorEastAsia"/>
          <w:color w:val="auto"/>
          <w:sz w:val="24"/>
          <w:highlight w:val="none"/>
        </w:rPr>
        <w:t>备选谈判</w:t>
      </w:r>
      <w:r>
        <w:rPr>
          <w:rFonts w:asciiTheme="minorEastAsia" w:hAnsiTheme="minorEastAsia" w:eastAsiaTheme="minorEastAsia"/>
          <w:color w:val="auto"/>
          <w:sz w:val="24"/>
          <w:highlight w:val="none"/>
        </w:rPr>
        <w:t>方案。</w:t>
      </w:r>
    </w:p>
    <w:p w14:paraId="0493898A">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9</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报价</w:t>
      </w:r>
    </w:p>
    <w:p w14:paraId="27315E91">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9</w:t>
      </w: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的报价应当包括满足本次</w:t>
      </w:r>
      <w:r>
        <w:rPr>
          <w:rFonts w:hint="eastAsia" w:asciiTheme="minorEastAsia" w:hAnsiTheme="minorEastAsia" w:eastAsiaTheme="minorEastAsia"/>
          <w:color w:val="auto"/>
          <w:sz w:val="24"/>
          <w:highlight w:val="none"/>
        </w:rPr>
        <w:t>谈判</w:t>
      </w:r>
      <w:r>
        <w:rPr>
          <w:rFonts w:asciiTheme="minorEastAsia" w:hAnsiTheme="minorEastAsia" w:eastAsiaTheme="minorEastAsia"/>
          <w:color w:val="auto"/>
          <w:sz w:val="24"/>
          <w:highlight w:val="none"/>
        </w:rPr>
        <w:t>全部</w:t>
      </w:r>
      <w:r>
        <w:rPr>
          <w:rFonts w:hint="eastAsia" w:asciiTheme="minorEastAsia" w:hAnsiTheme="minorEastAsia" w:eastAsiaTheme="minorEastAsia"/>
          <w:color w:val="auto"/>
          <w:sz w:val="24"/>
          <w:highlight w:val="none"/>
        </w:rPr>
        <w:t>内容。所有报价均应以人民币报价，供应商的谈判报价应遵守《中华人民共和国价格法》。</w:t>
      </w:r>
    </w:p>
    <w:p w14:paraId="1B0D3734">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9</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2</w:t>
      </w:r>
      <w:r>
        <w:rPr>
          <w:rFonts w:asciiTheme="minorEastAsia" w:hAnsiTheme="minorEastAsia" w:eastAsiaTheme="minorEastAsia"/>
          <w:color w:val="auto"/>
          <w:sz w:val="24"/>
          <w:highlight w:val="none"/>
        </w:rPr>
        <w:t>最后报价均不得高于谈判文件（公告）列明的项目预算</w:t>
      </w:r>
      <w:r>
        <w:rPr>
          <w:rFonts w:hint="eastAsia" w:asciiTheme="minorEastAsia" w:hAnsiTheme="minorEastAsia" w:eastAsiaTheme="minorEastAsia"/>
          <w:color w:val="auto"/>
          <w:sz w:val="24"/>
          <w:highlight w:val="none"/>
        </w:rPr>
        <w:t>、最高投标限价</w:t>
      </w:r>
      <w:r>
        <w:rPr>
          <w:rFonts w:asciiTheme="minorEastAsia" w:hAnsiTheme="minorEastAsia" w:eastAsiaTheme="minorEastAsia"/>
          <w:color w:val="auto"/>
          <w:sz w:val="24"/>
          <w:highlight w:val="none"/>
        </w:rPr>
        <w:t>，否则其响应文件将被认定为</w:t>
      </w:r>
      <w:r>
        <w:rPr>
          <w:rFonts w:asciiTheme="minorEastAsia" w:hAnsiTheme="minorEastAsia" w:eastAsiaTheme="minorEastAsia"/>
          <w:b/>
          <w:color w:val="auto"/>
          <w:sz w:val="24"/>
          <w:highlight w:val="none"/>
        </w:rPr>
        <w:t>响应无效</w:t>
      </w:r>
      <w:r>
        <w:rPr>
          <w:rFonts w:asciiTheme="minorEastAsia" w:hAnsiTheme="minorEastAsia" w:eastAsiaTheme="minorEastAsia"/>
          <w:color w:val="auto"/>
          <w:sz w:val="24"/>
          <w:highlight w:val="none"/>
        </w:rPr>
        <w:t>。</w:t>
      </w:r>
    </w:p>
    <w:p w14:paraId="3C9EA541">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9</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3</w:t>
      </w:r>
      <w:r>
        <w:rPr>
          <w:rFonts w:hint="eastAsia" w:asciiTheme="minorEastAsia" w:hAnsiTheme="minorEastAsia" w:eastAsiaTheme="minorEastAsia"/>
          <w:color w:val="auto"/>
          <w:sz w:val="24"/>
          <w:highlight w:val="none"/>
        </w:rPr>
        <w:t>报价</w:t>
      </w:r>
      <w:r>
        <w:rPr>
          <w:rFonts w:asciiTheme="minorEastAsia" w:hAnsiTheme="minorEastAsia" w:eastAsiaTheme="minorEastAsia"/>
          <w:color w:val="auto"/>
          <w:sz w:val="24"/>
          <w:highlight w:val="none"/>
        </w:rPr>
        <w:t>在合同履行过程中是固定不变的，不得以任何理由予以变更。任何包含价格调整要求的</w:t>
      </w:r>
      <w:r>
        <w:rPr>
          <w:rFonts w:hint="eastAsia" w:asciiTheme="minorEastAsia" w:hAnsiTheme="minorEastAsia" w:eastAsiaTheme="minorEastAsia"/>
          <w:color w:val="auto"/>
          <w:sz w:val="24"/>
          <w:highlight w:val="none"/>
        </w:rPr>
        <w:t>报价</w:t>
      </w:r>
      <w:r>
        <w:rPr>
          <w:rFonts w:asciiTheme="minorEastAsia" w:hAnsiTheme="minorEastAsia" w:eastAsiaTheme="minorEastAsia"/>
          <w:color w:val="auto"/>
          <w:sz w:val="24"/>
          <w:highlight w:val="none"/>
        </w:rPr>
        <w:t>，其</w:t>
      </w:r>
      <w:r>
        <w:rPr>
          <w:rFonts w:hint="eastAsia" w:asciiTheme="minorEastAsia" w:hAnsiTheme="minorEastAsia" w:eastAsiaTheme="minorEastAsia"/>
          <w:color w:val="auto"/>
          <w:sz w:val="24"/>
          <w:highlight w:val="none"/>
        </w:rPr>
        <w:t>响应文件将被认定为</w:t>
      </w:r>
      <w:r>
        <w:rPr>
          <w:rFonts w:hint="eastAsia" w:asciiTheme="minorEastAsia" w:hAnsiTheme="minorEastAsia" w:eastAsiaTheme="minorEastAsia"/>
          <w:b/>
          <w:color w:val="auto"/>
          <w:sz w:val="24"/>
          <w:highlight w:val="none"/>
        </w:rPr>
        <w:t>响应无效</w:t>
      </w:r>
      <w:r>
        <w:rPr>
          <w:rFonts w:asciiTheme="minorEastAsia" w:hAnsiTheme="minorEastAsia" w:eastAsiaTheme="minorEastAsia"/>
          <w:color w:val="auto"/>
          <w:sz w:val="24"/>
          <w:highlight w:val="none"/>
        </w:rPr>
        <w:t>。</w:t>
      </w:r>
    </w:p>
    <w:p w14:paraId="2A65F0AE">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9</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4</w:t>
      </w:r>
      <w:r>
        <w:rPr>
          <w:rFonts w:asciiTheme="minorEastAsia" w:hAnsiTheme="minorEastAsia" w:eastAsiaTheme="minorEastAsia"/>
          <w:color w:val="auto"/>
          <w:sz w:val="24"/>
          <w:highlight w:val="none"/>
        </w:rPr>
        <w:t>采购人不接受具有附加条件的报价。</w:t>
      </w:r>
    </w:p>
    <w:p w14:paraId="2668364C">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1</w:t>
      </w:r>
      <w:r>
        <w:rPr>
          <w:rFonts w:hint="eastAsia" w:asciiTheme="minorEastAsia" w:hAnsiTheme="minorEastAsia" w:eastAsiaTheme="minorEastAsia"/>
          <w:b/>
          <w:color w:val="auto"/>
          <w:sz w:val="24"/>
          <w:highlight w:val="none"/>
          <w:lang w:val="en-US" w:eastAsia="zh-CN"/>
        </w:rPr>
        <w:t>0</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谈判保证金</w:t>
      </w:r>
    </w:p>
    <w:p w14:paraId="51F76DF7">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rPr>
        <w:t>1</w:t>
      </w:r>
      <w:r>
        <w:rPr>
          <w:rFonts w:hint="eastAsia" w:cs="@仿宋_GB2312" w:asciiTheme="minorEastAsia" w:hAnsiTheme="minorEastAsia" w:eastAsiaTheme="minorEastAsia"/>
          <w:color w:val="auto"/>
          <w:kern w:val="2"/>
          <w:sz w:val="24"/>
          <w:highlight w:val="none"/>
          <w:lang w:val="en-US" w:eastAsia="zh-CN"/>
        </w:rPr>
        <w:t>0</w:t>
      </w:r>
      <w:r>
        <w:rPr>
          <w:rFonts w:hint="eastAsia" w:cs="@仿宋_GB2312" w:asciiTheme="minorEastAsia" w:hAnsiTheme="minorEastAsia" w:eastAsiaTheme="minorEastAsia"/>
          <w:color w:val="auto"/>
          <w:kern w:val="2"/>
          <w:sz w:val="24"/>
          <w:highlight w:val="none"/>
        </w:rPr>
        <w:t>.1本项目不收取谈判保证金。</w:t>
      </w:r>
    </w:p>
    <w:p w14:paraId="515CF59C">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11</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谈判有效期</w:t>
      </w:r>
    </w:p>
    <w:p w14:paraId="3366D474">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1</w:t>
      </w:r>
      <w:r>
        <w:rPr>
          <w:rFonts w:asciiTheme="minorEastAsia" w:hAnsiTheme="minorEastAsia" w:eastAsiaTheme="minorEastAsia"/>
          <w:color w:val="auto"/>
          <w:sz w:val="24"/>
          <w:highlight w:val="none"/>
        </w:rPr>
        <w:t>.1谈判有效期为从响应文件提交截止之日算起的日历天数，谈判有效期详见</w:t>
      </w:r>
      <w:r>
        <w:rPr>
          <w:rFonts w:asciiTheme="minorEastAsia" w:hAnsiTheme="minorEastAsia" w:eastAsiaTheme="minorEastAsia"/>
          <w:color w:val="auto"/>
          <w:sz w:val="24"/>
          <w:highlight w:val="none"/>
          <w:u w:val="single"/>
        </w:rPr>
        <w:t>供应商须知前附表</w:t>
      </w:r>
      <w:r>
        <w:rPr>
          <w:rFonts w:asciiTheme="minorEastAsia" w:hAnsiTheme="minorEastAsia" w:eastAsiaTheme="minorEastAsia"/>
          <w:color w:val="auto"/>
          <w:sz w:val="24"/>
          <w:highlight w:val="none"/>
        </w:rPr>
        <w:t>。</w:t>
      </w:r>
    </w:p>
    <w:p w14:paraId="7A65FB65">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1</w:t>
      </w:r>
      <w:r>
        <w:rPr>
          <w:rFonts w:asciiTheme="minorEastAsia" w:hAnsiTheme="minorEastAsia" w:eastAsiaTheme="minorEastAsia"/>
          <w:color w:val="auto"/>
          <w:sz w:val="24"/>
          <w:highlight w:val="none"/>
        </w:rPr>
        <w:t>.2在谈判有效期内，供应商的谈判保持有效，供应商不得要求撤销或修改其响应文件。谈判有效期不满足要求的响应，其响应文件将被认定为</w:t>
      </w:r>
      <w:r>
        <w:rPr>
          <w:rFonts w:asciiTheme="minorEastAsia" w:hAnsiTheme="minorEastAsia" w:eastAsiaTheme="minorEastAsia"/>
          <w:b/>
          <w:color w:val="auto"/>
          <w:sz w:val="24"/>
          <w:highlight w:val="none"/>
        </w:rPr>
        <w:t>响应无效</w:t>
      </w:r>
      <w:r>
        <w:rPr>
          <w:rFonts w:asciiTheme="minorEastAsia" w:hAnsiTheme="minorEastAsia" w:eastAsiaTheme="minorEastAsia"/>
          <w:color w:val="auto"/>
          <w:sz w:val="24"/>
          <w:highlight w:val="none"/>
        </w:rPr>
        <w:t>。</w:t>
      </w:r>
    </w:p>
    <w:p w14:paraId="2050CE0F">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1</w:t>
      </w:r>
      <w:r>
        <w:rPr>
          <w:rFonts w:asciiTheme="minorEastAsia" w:hAnsiTheme="minorEastAsia" w:eastAsiaTheme="minorEastAsia"/>
          <w:color w:val="auto"/>
          <w:sz w:val="24"/>
          <w:highlight w:val="none"/>
        </w:rPr>
        <w:t>.3为保证有充分时间签订合同，采购人或采购代理机构可根据实际情况，在原谈判有效期截止之前，要求供应商延长谈判有效期。接受该要求的供应商将不会被要求和允许修正其响应文件。供应商可以拒绝延长谈判有效期的要求，且不承担任何责任。上述要求和答复都应以书面形式提交。</w:t>
      </w:r>
    </w:p>
    <w:p w14:paraId="11744F0C">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1</w:t>
      </w:r>
      <w:r>
        <w:rPr>
          <w:rFonts w:hint="eastAsia" w:asciiTheme="minorEastAsia" w:hAnsiTheme="minorEastAsia" w:eastAsiaTheme="minorEastAsia"/>
          <w:b/>
          <w:color w:val="auto"/>
          <w:sz w:val="24"/>
          <w:highlight w:val="none"/>
          <w:lang w:val="en-US" w:eastAsia="zh-CN"/>
        </w:rPr>
        <w:t>2</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响应文件的提交、修改与撤回</w:t>
      </w:r>
    </w:p>
    <w:p w14:paraId="69BD11F5">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2</w:t>
      </w:r>
      <w:r>
        <w:rPr>
          <w:rFonts w:hint="eastAsia" w:asciiTheme="minorEastAsia" w:hAnsiTheme="minorEastAsia" w:eastAsiaTheme="minorEastAsia"/>
          <w:color w:val="auto"/>
          <w:sz w:val="24"/>
          <w:highlight w:val="none"/>
        </w:rPr>
        <w:t>.1供应商应当在</w:t>
      </w:r>
      <w:r>
        <w:rPr>
          <w:rFonts w:hint="eastAsia" w:asciiTheme="minorEastAsia" w:hAnsiTheme="minorEastAsia" w:eastAsiaTheme="minorEastAsia"/>
          <w:color w:val="auto"/>
          <w:sz w:val="24"/>
          <w:highlight w:val="none"/>
          <w:lang w:val="en-US" w:eastAsia="zh-CN"/>
        </w:rPr>
        <w:t>竞争性谈判公告</w:t>
      </w:r>
      <w:r>
        <w:rPr>
          <w:rFonts w:hint="eastAsia" w:asciiTheme="minorEastAsia" w:hAnsiTheme="minorEastAsia" w:eastAsiaTheme="minorEastAsia"/>
          <w:color w:val="auto"/>
          <w:sz w:val="24"/>
          <w:highlight w:val="none"/>
        </w:rPr>
        <w:t>规定的响应文件提交截止时间前</w:t>
      </w:r>
      <w:r>
        <w:rPr>
          <w:rFonts w:asciiTheme="minorEastAsia" w:hAnsiTheme="minorEastAsia" w:eastAsiaTheme="minorEastAsia"/>
          <w:color w:val="auto"/>
          <w:sz w:val="24"/>
          <w:highlight w:val="none"/>
        </w:rPr>
        <w:t>，将</w:t>
      </w:r>
      <w:r>
        <w:rPr>
          <w:rFonts w:hint="eastAsia" w:asciiTheme="minorEastAsia" w:hAnsiTheme="minorEastAsia" w:eastAsiaTheme="minorEastAsia"/>
          <w:color w:val="auto"/>
          <w:sz w:val="24"/>
          <w:highlight w:val="none"/>
          <w:lang w:val="en-US" w:eastAsia="zh-CN"/>
        </w:rPr>
        <w:t>密封</w:t>
      </w:r>
      <w:r>
        <w:rPr>
          <w:rFonts w:asciiTheme="minorEastAsia" w:hAnsiTheme="minorEastAsia" w:eastAsiaTheme="minorEastAsia"/>
          <w:color w:val="auto"/>
          <w:sz w:val="24"/>
          <w:highlight w:val="none"/>
        </w:rPr>
        <w:t>的</w:t>
      </w:r>
      <w:r>
        <w:rPr>
          <w:rFonts w:hint="eastAsia" w:asciiTheme="minorEastAsia" w:hAnsiTheme="minorEastAsia" w:eastAsiaTheme="minorEastAsia"/>
          <w:color w:val="auto"/>
          <w:sz w:val="24"/>
          <w:highlight w:val="none"/>
        </w:rPr>
        <w:t>响应</w:t>
      </w:r>
      <w:r>
        <w:rPr>
          <w:rFonts w:asciiTheme="minorEastAsia" w:hAnsiTheme="minorEastAsia" w:eastAsiaTheme="minorEastAsia"/>
          <w:color w:val="auto"/>
          <w:sz w:val="24"/>
          <w:highlight w:val="none"/>
        </w:rPr>
        <w:t>文件</w:t>
      </w:r>
      <w:r>
        <w:rPr>
          <w:rFonts w:hint="eastAsia" w:asciiTheme="minorEastAsia" w:hAnsiTheme="minorEastAsia" w:eastAsiaTheme="minorEastAsia"/>
          <w:color w:val="auto"/>
          <w:sz w:val="24"/>
          <w:highlight w:val="none"/>
          <w:lang w:val="en-US" w:eastAsia="zh-CN"/>
        </w:rPr>
        <w:t>谈判现场提交</w:t>
      </w:r>
      <w:r>
        <w:rPr>
          <w:rFonts w:asciiTheme="minorEastAsia" w:hAnsiTheme="minorEastAsia" w:eastAsiaTheme="minorEastAsia"/>
          <w:color w:val="auto"/>
          <w:sz w:val="24"/>
          <w:highlight w:val="none"/>
        </w:rPr>
        <w:t>。</w:t>
      </w:r>
    </w:p>
    <w:p w14:paraId="31D73777">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2</w:t>
      </w:r>
      <w:r>
        <w:rPr>
          <w:rFonts w:hint="eastAsia" w:asciiTheme="minorEastAsia" w:hAnsiTheme="minorEastAsia" w:eastAsiaTheme="minorEastAsia"/>
          <w:color w:val="auto"/>
          <w:sz w:val="24"/>
          <w:highlight w:val="none"/>
        </w:rPr>
        <w:t>.2供应商应当在响应文件提交截止时间前提交，并可以补充、修改或者撤回响应文件。</w:t>
      </w:r>
    </w:p>
    <w:p w14:paraId="7A1DD430">
      <w:pPr>
        <w:spacing w:line="360" w:lineRule="auto"/>
        <w:ind w:firstLine="435"/>
        <w:rPr>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2</w:t>
      </w:r>
      <w:r>
        <w:rPr>
          <w:rFonts w:hint="eastAsia" w:asciiTheme="minorEastAsia" w:hAnsiTheme="minorEastAsia" w:eastAsiaTheme="minorEastAsia"/>
          <w:color w:val="auto"/>
          <w:sz w:val="24"/>
          <w:highlight w:val="none"/>
        </w:rPr>
        <w:t>.</w:t>
      </w:r>
      <w:r>
        <w:rPr>
          <w:rFonts w:asciiTheme="minorEastAsia" w:hAnsiTheme="minorEastAsia" w:eastAsiaTheme="minorEastAsia"/>
          <w:color w:val="auto"/>
          <w:sz w:val="24"/>
          <w:highlight w:val="none"/>
        </w:rPr>
        <w:t>3</w:t>
      </w:r>
      <w:r>
        <w:rPr>
          <w:rFonts w:hint="eastAsia" w:asciiTheme="minorEastAsia" w:hAnsiTheme="minorEastAsia" w:eastAsiaTheme="minorEastAsia"/>
          <w:color w:val="auto"/>
          <w:sz w:val="24"/>
          <w:highlight w:val="none"/>
        </w:rPr>
        <w:t>在响应文件提交截止时间之后，供应商不得对其响应文件做任何修改。</w:t>
      </w:r>
      <w:r>
        <w:rPr>
          <w:rFonts w:hint="eastAsia"/>
          <w:color w:val="auto"/>
          <w:sz w:val="24"/>
          <w:highlight w:val="none"/>
        </w:rPr>
        <w:t>但属于谈判小组在评审中发现的计算错误并进行核实的修改、按照谈判文件的变动情况和谈判小组的要求重新提交响应文件的，不在此列。</w:t>
      </w:r>
    </w:p>
    <w:p w14:paraId="44FCE88A">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1</w:t>
      </w:r>
      <w:r>
        <w:rPr>
          <w:rFonts w:asciiTheme="minorEastAsia" w:hAnsiTheme="minorEastAsia" w:eastAsiaTheme="minorEastAsia"/>
          <w:b/>
          <w:color w:val="auto"/>
          <w:sz w:val="24"/>
          <w:highlight w:val="none"/>
        </w:rPr>
        <w:t>8.</w:t>
      </w:r>
      <w:r>
        <w:rPr>
          <w:rFonts w:hint="eastAsia" w:asciiTheme="minorEastAsia" w:hAnsiTheme="minorEastAsia" w:eastAsiaTheme="minorEastAsia"/>
          <w:b/>
          <w:color w:val="auto"/>
          <w:sz w:val="24"/>
          <w:highlight w:val="none"/>
        </w:rPr>
        <w:t>谈判小组</w:t>
      </w:r>
    </w:p>
    <w:p w14:paraId="49A2978A">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3</w:t>
      </w:r>
      <w:r>
        <w:rPr>
          <w:rFonts w:asciiTheme="minorEastAsia" w:hAnsiTheme="minorEastAsia" w:eastAsiaTheme="minorEastAsia"/>
          <w:color w:val="auto"/>
          <w:sz w:val="24"/>
          <w:highlight w:val="none"/>
        </w:rPr>
        <w:t>.1本项目将依法组建谈判小组，谈判小组成员由3人以上</w:t>
      </w:r>
      <w:r>
        <w:rPr>
          <w:rFonts w:hint="eastAsia" w:asciiTheme="minorEastAsia" w:hAnsiTheme="minorEastAsia" w:eastAsiaTheme="minorEastAsia"/>
          <w:color w:val="auto"/>
          <w:sz w:val="24"/>
          <w:highlight w:val="none"/>
          <w:lang w:eastAsia="zh-CN"/>
        </w:rPr>
        <w:t>（</w:t>
      </w:r>
      <w:r>
        <w:rPr>
          <w:rFonts w:hint="eastAsia" w:asciiTheme="minorEastAsia" w:hAnsiTheme="minorEastAsia" w:eastAsiaTheme="minorEastAsia"/>
          <w:color w:val="auto"/>
          <w:sz w:val="24"/>
          <w:highlight w:val="none"/>
          <w:lang w:val="en-US" w:eastAsia="zh-CN"/>
        </w:rPr>
        <w:t>含</w:t>
      </w:r>
      <w:r>
        <w:rPr>
          <w:rFonts w:hint="eastAsia" w:asciiTheme="minorEastAsia" w:hAnsiTheme="minorEastAsia" w:eastAsiaTheme="minorEastAsia"/>
          <w:color w:val="auto"/>
          <w:sz w:val="24"/>
          <w:highlight w:val="none"/>
          <w:lang w:eastAsia="zh-CN"/>
        </w:rPr>
        <w:t>）</w:t>
      </w:r>
      <w:r>
        <w:rPr>
          <w:rFonts w:asciiTheme="minorEastAsia" w:hAnsiTheme="minorEastAsia" w:eastAsiaTheme="minorEastAsia"/>
          <w:color w:val="auto"/>
          <w:sz w:val="24"/>
          <w:highlight w:val="none"/>
        </w:rPr>
        <w:t>单数组成，谈判小组及其成员应当依照政府采购的有关规定履行相关职责和义务。</w:t>
      </w:r>
    </w:p>
    <w:p w14:paraId="6ACD03AD">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3</w:t>
      </w:r>
      <w:r>
        <w:rPr>
          <w:rFonts w:asciiTheme="minorEastAsia" w:hAnsiTheme="minorEastAsia" w:eastAsiaTheme="minorEastAsia"/>
          <w:color w:val="auto"/>
          <w:sz w:val="24"/>
          <w:highlight w:val="none"/>
        </w:rPr>
        <w:t>.2谈判小组依法对响应文件进行评审，并根据谈判文件规定的程序、评定成交的标准等事项与实质性响应谈判文件要求的供应商进行谈判。</w:t>
      </w:r>
    </w:p>
    <w:p w14:paraId="101C220A">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3</w:t>
      </w:r>
      <w:r>
        <w:rPr>
          <w:rFonts w:asciiTheme="minorEastAsia" w:hAnsiTheme="minorEastAsia" w:eastAsiaTheme="minorEastAsia"/>
          <w:color w:val="auto"/>
          <w:sz w:val="24"/>
          <w:highlight w:val="none"/>
        </w:rPr>
        <w:t>.3谈判小组应当从质量和服务均能满足谈判文件实质性响应要求的供应商中，按照评审</w:t>
      </w:r>
      <w:r>
        <w:rPr>
          <w:rFonts w:hint="eastAsia" w:asciiTheme="minorEastAsia" w:hAnsiTheme="minorEastAsia" w:eastAsiaTheme="minorEastAsia"/>
          <w:color w:val="auto"/>
          <w:sz w:val="24"/>
          <w:highlight w:val="none"/>
        </w:rPr>
        <w:t>方</w:t>
      </w:r>
      <w:r>
        <w:rPr>
          <w:rFonts w:asciiTheme="minorEastAsia" w:hAnsiTheme="minorEastAsia" w:eastAsiaTheme="minorEastAsia"/>
          <w:color w:val="auto"/>
          <w:sz w:val="24"/>
          <w:highlight w:val="none"/>
        </w:rPr>
        <w:t>法</w:t>
      </w:r>
      <w:r>
        <w:rPr>
          <w:rFonts w:hint="eastAsia" w:asciiTheme="minorEastAsia" w:hAnsiTheme="minorEastAsia" w:eastAsiaTheme="minorEastAsia"/>
          <w:color w:val="auto"/>
          <w:sz w:val="24"/>
          <w:highlight w:val="none"/>
        </w:rPr>
        <w:t>和标准推荐</w:t>
      </w:r>
      <w:r>
        <w:rPr>
          <w:rFonts w:asciiTheme="minorEastAsia" w:hAnsiTheme="minorEastAsia" w:eastAsiaTheme="minorEastAsia"/>
          <w:color w:val="auto"/>
          <w:sz w:val="24"/>
          <w:highlight w:val="none"/>
        </w:rPr>
        <w:t>成交候选供应商，并编写</w:t>
      </w:r>
      <w:r>
        <w:rPr>
          <w:rFonts w:hint="eastAsia" w:asciiTheme="minorEastAsia" w:hAnsiTheme="minorEastAsia" w:eastAsiaTheme="minorEastAsia"/>
          <w:color w:val="auto"/>
          <w:sz w:val="24"/>
          <w:highlight w:val="none"/>
        </w:rPr>
        <w:t>评审</w:t>
      </w:r>
      <w:r>
        <w:rPr>
          <w:rFonts w:asciiTheme="minorEastAsia" w:hAnsiTheme="minorEastAsia" w:eastAsiaTheme="minorEastAsia"/>
          <w:color w:val="auto"/>
          <w:sz w:val="24"/>
          <w:highlight w:val="none"/>
        </w:rPr>
        <w:t>报告。</w:t>
      </w:r>
    </w:p>
    <w:p w14:paraId="15FE96FF">
      <w:pPr>
        <w:spacing w:line="360" w:lineRule="auto"/>
        <w:ind w:firstLine="437"/>
        <w:outlineLvl w:val="2"/>
        <w:rPr>
          <w:rFonts w:asciiTheme="minorEastAsia" w:hAnsiTheme="minorEastAsia" w:eastAsiaTheme="minorEastAsia"/>
          <w:b/>
          <w:color w:val="auto"/>
          <w:sz w:val="24"/>
          <w:highlight w:val="none"/>
        </w:rPr>
      </w:pPr>
      <w:r>
        <w:rPr>
          <w:rFonts w:asciiTheme="minorEastAsia" w:hAnsiTheme="minorEastAsia" w:eastAsiaTheme="minorEastAsia"/>
          <w:b/>
          <w:color w:val="auto"/>
          <w:sz w:val="24"/>
          <w:highlight w:val="none"/>
        </w:rPr>
        <w:t>1</w:t>
      </w:r>
      <w:r>
        <w:rPr>
          <w:rFonts w:hint="eastAsia" w:asciiTheme="minorEastAsia" w:hAnsiTheme="minorEastAsia" w:eastAsiaTheme="minorEastAsia"/>
          <w:b/>
          <w:color w:val="auto"/>
          <w:sz w:val="24"/>
          <w:highlight w:val="none"/>
          <w:lang w:val="en-US" w:eastAsia="zh-CN"/>
        </w:rPr>
        <w:t>4</w:t>
      </w:r>
      <w:r>
        <w:rPr>
          <w:rFonts w:asciiTheme="minorEastAsia" w:hAnsiTheme="minorEastAsia" w:eastAsiaTheme="minorEastAsia"/>
          <w:b/>
          <w:color w:val="auto"/>
          <w:sz w:val="24"/>
          <w:highlight w:val="none"/>
        </w:rPr>
        <w:t>.响应文件的评审与谈判</w:t>
      </w:r>
    </w:p>
    <w:p w14:paraId="7EACAACD">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rPr>
        <w:t>1</w:t>
      </w:r>
      <w:r>
        <w:rPr>
          <w:rFonts w:hint="eastAsia" w:cs="@仿宋_GB2312" w:asciiTheme="minorEastAsia" w:hAnsiTheme="minorEastAsia" w:eastAsiaTheme="minorEastAsia"/>
          <w:color w:val="auto"/>
          <w:kern w:val="2"/>
          <w:sz w:val="24"/>
          <w:highlight w:val="none"/>
          <w:lang w:val="en-US" w:eastAsia="zh-CN"/>
        </w:rPr>
        <w:t>4</w:t>
      </w:r>
      <w:r>
        <w:rPr>
          <w:rFonts w:cs="@仿宋_GB2312" w:asciiTheme="minorEastAsia" w:hAnsiTheme="minorEastAsia" w:eastAsiaTheme="minorEastAsia"/>
          <w:color w:val="auto"/>
          <w:kern w:val="2"/>
          <w:sz w:val="24"/>
          <w:highlight w:val="none"/>
        </w:rPr>
        <w:t>.</w:t>
      </w:r>
      <w:r>
        <w:rPr>
          <w:rFonts w:hint="eastAsia" w:cs="@仿宋_GB2312" w:asciiTheme="minorEastAsia" w:hAnsiTheme="minorEastAsia" w:eastAsiaTheme="minorEastAsia"/>
          <w:color w:val="auto"/>
          <w:kern w:val="2"/>
          <w:sz w:val="24"/>
          <w:highlight w:val="none"/>
        </w:rPr>
        <w:t>1采购人和采购代理机构将在</w:t>
      </w:r>
      <w:r>
        <w:rPr>
          <w:rFonts w:hint="eastAsia" w:cs="@仿宋_GB2312" w:asciiTheme="minorEastAsia" w:hAnsiTheme="minorEastAsia" w:eastAsiaTheme="minorEastAsia"/>
          <w:color w:val="auto"/>
          <w:kern w:val="2"/>
          <w:sz w:val="24"/>
          <w:highlight w:val="none"/>
          <w:u w:val="none"/>
          <w:lang w:val="en-US" w:eastAsia="zh-CN"/>
        </w:rPr>
        <w:t>竞争性谈判公告</w:t>
      </w:r>
      <w:r>
        <w:rPr>
          <w:rFonts w:hint="eastAsia" w:cs="@仿宋_GB2312" w:asciiTheme="minorEastAsia" w:hAnsiTheme="minorEastAsia" w:eastAsiaTheme="minorEastAsia"/>
          <w:color w:val="auto"/>
          <w:kern w:val="2"/>
          <w:sz w:val="24"/>
          <w:highlight w:val="none"/>
        </w:rPr>
        <w:t>规定的时间和地点组织谈判。</w:t>
      </w:r>
    </w:p>
    <w:p w14:paraId="7251D78C">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rPr>
        <w:t>1</w:t>
      </w:r>
      <w:r>
        <w:rPr>
          <w:rFonts w:hint="eastAsia" w:cs="@仿宋_GB2312" w:asciiTheme="minorEastAsia" w:hAnsiTheme="minorEastAsia" w:eastAsiaTheme="minorEastAsia"/>
          <w:color w:val="auto"/>
          <w:kern w:val="2"/>
          <w:sz w:val="24"/>
          <w:highlight w:val="none"/>
          <w:lang w:val="en-US" w:eastAsia="zh-CN"/>
        </w:rPr>
        <w:t>4</w:t>
      </w:r>
      <w:r>
        <w:rPr>
          <w:rFonts w:cs="@仿宋_GB2312" w:asciiTheme="minorEastAsia" w:hAnsiTheme="minorEastAsia" w:eastAsiaTheme="minorEastAsia"/>
          <w:color w:val="auto"/>
          <w:kern w:val="2"/>
          <w:sz w:val="24"/>
          <w:highlight w:val="none"/>
        </w:rPr>
        <w:t>.</w:t>
      </w:r>
      <w:r>
        <w:rPr>
          <w:rFonts w:hint="eastAsia" w:cs="@仿宋_GB2312" w:asciiTheme="minorEastAsia" w:hAnsiTheme="minorEastAsia" w:eastAsiaTheme="minorEastAsia"/>
          <w:color w:val="auto"/>
          <w:kern w:val="2"/>
          <w:sz w:val="24"/>
          <w:highlight w:val="none"/>
        </w:rPr>
        <w:t>2竞争性谈判采用最低评标价法评审。</w:t>
      </w:r>
    </w:p>
    <w:p w14:paraId="19113906">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rPr>
        <w:t>最低评标价法，是指响应文件满足谈判文件全部实质性要求且最后报价最低的供应商为成交候选人的评审办法。</w:t>
      </w:r>
    </w:p>
    <w:p w14:paraId="367BD8C0">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rPr>
        <w:t>1</w:t>
      </w:r>
      <w:r>
        <w:rPr>
          <w:rFonts w:hint="eastAsia" w:cs="@仿宋_GB2312" w:asciiTheme="minorEastAsia" w:hAnsiTheme="minorEastAsia" w:eastAsiaTheme="minorEastAsia"/>
          <w:color w:val="auto"/>
          <w:kern w:val="2"/>
          <w:sz w:val="24"/>
          <w:highlight w:val="none"/>
          <w:lang w:val="en-US" w:eastAsia="zh-CN"/>
        </w:rPr>
        <w:t>4</w:t>
      </w:r>
      <w:r>
        <w:rPr>
          <w:rFonts w:hint="eastAsia" w:cs="@仿宋_GB2312" w:asciiTheme="minorEastAsia" w:hAnsiTheme="minorEastAsia" w:eastAsiaTheme="minorEastAsia"/>
          <w:color w:val="auto"/>
          <w:kern w:val="2"/>
          <w:sz w:val="24"/>
          <w:highlight w:val="none"/>
        </w:rPr>
        <w:t>.3谈判小组将按照谈判文件规定的评审办法和</w:t>
      </w:r>
      <w:r>
        <w:rPr>
          <w:rFonts w:cs="@仿宋_GB2312" w:asciiTheme="minorEastAsia" w:hAnsiTheme="minorEastAsia" w:eastAsiaTheme="minorEastAsia"/>
          <w:color w:val="auto"/>
          <w:kern w:val="2"/>
          <w:sz w:val="24"/>
          <w:highlight w:val="none"/>
        </w:rPr>
        <w:t>标准</w:t>
      </w:r>
      <w:r>
        <w:rPr>
          <w:rFonts w:hint="eastAsia" w:cs="@仿宋_GB2312" w:asciiTheme="minorEastAsia" w:hAnsiTheme="minorEastAsia" w:eastAsiaTheme="minorEastAsia"/>
          <w:color w:val="auto"/>
          <w:kern w:val="2"/>
          <w:sz w:val="24"/>
          <w:highlight w:val="none"/>
        </w:rPr>
        <w:t>对供应商独立进行评审。评审程序如下：</w:t>
      </w:r>
    </w:p>
    <w:p w14:paraId="3439E288">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.3.1</w:t>
      </w:r>
      <w:r>
        <w:rPr>
          <w:rFonts w:hint="eastAsia" w:asciiTheme="minorEastAsia" w:hAnsiTheme="minorEastAsia" w:eastAsiaTheme="minorEastAsia"/>
          <w:b/>
          <w:color w:val="auto"/>
          <w:sz w:val="24"/>
          <w:highlight w:val="none"/>
        </w:rPr>
        <w:t>初审</w:t>
      </w:r>
      <w:r>
        <w:rPr>
          <w:rFonts w:hint="eastAsia" w:asciiTheme="minorEastAsia" w:hAnsiTheme="minorEastAsia" w:eastAsiaTheme="minorEastAsia"/>
          <w:color w:val="auto"/>
          <w:sz w:val="24"/>
          <w:highlight w:val="none"/>
        </w:rPr>
        <w:t>。谈判小组对供应商必须满足和实质性响应的内容进行评审，供应商未实质性响应谈判文件要求导致响应无效的，谈判小组将以书面询标的方式告知有关供应商。</w:t>
      </w:r>
    </w:p>
    <w:p w14:paraId="774DD409">
      <w:pPr>
        <w:keepNext w:val="0"/>
        <w:keepLines w:val="0"/>
        <w:pageBreakBefore w:val="0"/>
        <w:widowControl w:val="0"/>
        <w:kinsoku/>
        <w:wordWrap w:val="0"/>
        <w:overflowPunct/>
        <w:topLinePunct/>
        <w:autoSpaceDE/>
        <w:autoSpaceDN/>
        <w:bidi w:val="0"/>
        <w:adjustRightInd/>
        <w:snapToGrid/>
        <w:spacing w:line="360" w:lineRule="auto"/>
        <w:ind w:firstLine="437"/>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采购人或采购代理机构将在响应文件提交截止时间后至评审结束前通过“信用中国”网站(www.creditchina.gov.cn)、中国政府采购网(www.ccgp.gov.cn)查询相关</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信用记录，并对供应商信用记录进行甄别，对列入“信用中国”网站(www.creditchina.gov.cn)失信被执行人名单、重大税收违法案件当事人名单、中国政府采购网(www.ccgp.gov.cn)政府采购严重违法失信行为记录名单及其他不符合《中华人民共和国政府采购法》第二十二条规定条件的供应商，其响应文件将被认定为</w:t>
      </w:r>
      <w:r>
        <w:rPr>
          <w:rFonts w:hint="eastAsia" w:ascii="宋体" w:hAnsi="宋体" w:eastAsia="宋体" w:cs="宋体"/>
          <w:b/>
          <w:color w:val="auto"/>
          <w:sz w:val="24"/>
          <w:szCs w:val="24"/>
          <w:highlight w:val="none"/>
        </w:rPr>
        <w:t>响应无效</w:t>
      </w:r>
      <w:r>
        <w:rPr>
          <w:rFonts w:hint="eastAsia" w:ascii="宋体" w:hAnsi="宋体" w:eastAsia="宋体" w:cs="宋体"/>
          <w:color w:val="auto"/>
          <w:sz w:val="24"/>
          <w:szCs w:val="24"/>
          <w:highlight w:val="none"/>
        </w:rPr>
        <w:t>。</w:t>
      </w:r>
    </w:p>
    <w:p w14:paraId="65531656">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以联合体形式参加</w:t>
      </w:r>
      <w:r>
        <w:rPr>
          <w:rFonts w:hint="eastAsia" w:cs="宋体"/>
          <w:color w:val="auto"/>
          <w:sz w:val="24"/>
          <w:szCs w:val="24"/>
          <w:highlight w:val="none"/>
          <w:lang w:val="en-US" w:eastAsia="zh-CN"/>
        </w:rPr>
        <w:t>谈判</w:t>
      </w:r>
      <w:r>
        <w:rPr>
          <w:rFonts w:hint="eastAsia" w:ascii="宋体" w:hAnsi="宋体" w:eastAsia="宋体" w:cs="宋体"/>
          <w:color w:val="auto"/>
          <w:sz w:val="24"/>
          <w:szCs w:val="24"/>
          <w:highlight w:val="none"/>
        </w:rPr>
        <w:t>的，联合体成员存在以上不良信用记录的，联合体</w:t>
      </w:r>
      <w:r>
        <w:rPr>
          <w:rFonts w:hint="eastAsia" w:cs="宋体"/>
          <w:color w:val="auto"/>
          <w:sz w:val="24"/>
          <w:szCs w:val="24"/>
          <w:highlight w:val="none"/>
          <w:lang w:val="en-US" w:eastAsia="zh-CN"/>
        </w:rPr>
        <w:t>谈判</w:t>
      </w:r>
      <w:r>
        <w:rPr>
          <w:rFonts w:hint="eastAsia" w:ascii="宋体" w:hAnsi="宋体" w:eastAsia="宋体" w:cs="宋体"/>
          <w:color w:val="auto"/>
          <w:sz w:val="24"/>
          <w:szCs w:val="24"/>
          <w:highlight w:val="none"/>
        </w:rPr>
        <w:t>将被认定为</w:t>
      </w:r>
      <w:r>
        <w:rPr>
          <w:rFonts w:hint="eastAsia" w:ascii="宋体" w:hAnsi="宋体" w:eastAsia="宋体" w:cs="宋体"/>
          <w:b/>
          <w:color w:val="auto"/>
          <w:sz w:val="24"/>
          <w:szCs w:val="24"/>
          <w:highlight w:val="none"/>
          <w:lang w:val="en-US" w:eastAsia="zh-CN"/>
        </w:rPr>
        <w:t>响应</w:t>
      </w:r>
      <w:r>
        <w:rPr>
          <w:rFonts w:hint="eastAsia" w:ascii="宋体" w:hAnsi="宋体" w:eastAsia="宋体" w:cs="宋体"/>
          <w:b/>
          <w:color w:val="auto"/>
          <w:sz w:val="24"/>
          <w:szCs w:val="24"/>
          <w:highlight w:val="none"/>
        </w:rPr>
        <w:t>无效</w:t>
      </w:r>
      <w:r>
        <w:rPr>
          <w:rFonts w:hint="eastAsia" w:ascii="宋体" w:hAnsi="宋体" w:eastAsia="宋体" w:cs="宋体"/>
          <w:color w:val="auto"/>
          <w:sz w:val="24"/>
          <w:szCs w:val="24"/>
          <w:highlight w:val="none"/>
        </w:rPr>
        <w:t>。</w:t>
      </w:r>
    </w:p>
    <w:p w14:paraId="4721645A">
      <w:pPr>
        <w:keepNext w:val="0"/>
        <w:keepLines w:val="0"/>
        <w:pageBreakBefore w:val="0"/>
        <w:widowControl w:val="0"/>
        <w:kinsoku/>
        <w:wordWrap w:val="0"/>
        <w:overflowPunct/>
        <w:topLinePunct/>
        <w:autoSpaceDE/>
        <w:autoSpaceDN/>
        <w:bidi w:val="0"/>
        <w:adjustRightInd/>
        <w:snapToGrid/>
        <w:spacing w:line="360" w:lineRule="auto"/>
        <w:ind w:firstLine="437"/>
        <w:textAlignment w:val="auto"/>
        <w:rPr>
          <w:rFonts w:asciiTheme="minorEastAsia" w:hAnsiTheme="minorEastAsia" w:eastAsiaTheme="minorEastAsia"/>
          <w:color w:val="auto"/>
          <w:sz w:val="24"/>
          <w:highlight w:val="none"/>
        </w:rPr>
      </w:pPr>
      <w:r>
        <w:rPr>
          <w:rFonts w:hint="eastAsia" w:ascii="宋体" w:hAnsi="宋体" w:eastAsia="宋体" w:cs="宋体"/>
          <w:color w:val="auto"/>
          <w:sz w:val="24"/>
          <w:szCs w:val="24"/>
          <w:highlight w:val="none"/>
        </w:rPr>
        <w:t>以上信用查询记录，采购人或采购代理机构将下载查询结果页面后与其他采购文件一并保存。</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不良信用记录以采购人或采购代理机构查询结果为准。在本</w:t>
      </w:r>
      <w:r>
        <w:rPr>
          <w:rFonts w:hint="eastAsia" w:cs="宋体"/>
          <w:color w:val="auto"/>
          <w:sz w:val="24"/>
          <w:szCs w:val="24"/>
          <w:highlight w:val="none"/>
          <w:lang w:val="en-US" w:eastAsia="zh-CN"/>
        </w:rPr>
        <w:t>采购</w:t>
      </w:r>
      <w:r>
        <w:rPr>
          <w:rFonts w:hint="eastAsia" w:ascii="宋体" w:hAnsi="宋体" w:eastAsia="宋体" w:cs="宋体"/>
          <w:color w:val="auto"/>
          <w:sz w:val="24"/>
          <w:szCs w:val="24"/>
          <w:highlight w:val="none"/>
        </w:rPr>
        <w:t>文件规定的查询时间之外，网站信息发生的任何变更均不作为初审依据。</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自行提供的与网站信息不一致的其他证明材料亦不作为</w:t>
      </w:r>
      <w:r>
        <w:rPr>
          <w:rFonts w:hint="eastAsia" w:ascii="宋体" w:hAnsi="宋体" w:eastAsia="宋体" w:cs="宋体"/>
          <w:color w:val="auto"/>
          <w:sz w:val="24"/>
          <w:szCs w:val="24"/>
          <w:highlight w:val="none"/>
          <w:lang w:val="en-US" w:eastAsia="zh-CN"/>
        </w:rPr>
        <w:t>初审</w:t>
      </w:r>
      <w:r>
        <w:rPr>
          <w:rFonts w:hint="eastAsia" w:ascii="宋体" w:hAnsi="宋体" w:eastAsia="宋体" w:cs="宋体"/>
          <w:color w:val="auto"/>
          <w:sz w:val="24"/>
          <w:szCs w:val="24"/>
          <w:highlight w:val="none"/>
        </w:rPr>
        <w:t>依据。</w:t>
      </w:r>
    </w:p>
    <w:p w14:paraId="5C6A2CDD">
      <w:pPr>
        <w:keepNext w:val="0"/>
        <w:keepLines w:val="0"/>
        <w:pageBreakBefore w:val="0"/>
        <w:widowControl w:val="0"/>
        <w:kinsoku/>
        <w:wordWrap w:val="0"/>
        <w:overflowPunct/>
        <w:topLinePunct/>
        <w:autoSpaceDE/>
        <w:autoSpaceDN/>
        <w:bidi w:val="0"/>
        <w:adjustRightInd/>
        <w:snapToGrid/>
        <w:spacing w:line="360" w:lineRule="auto"/>
        <w:ind w:firstLine="437"/>
        <w:textAlignment w:val="auto"/>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.3.2</w:t>
      </w:r>
      <w:r>
        <w:rPr>
          <w:rFonts w:hint="eastAsia" w:asciiTheme="minorEastAsia" w:hAnsiTheme="minorEastAsia" w:eastAsiaTheme="minorEastAsia"/>
          <w:b/>
          <w:color w:val="auto"/>
          <w:sz w:val="24"/>
          <w:highlight w:val="none"/>
        </w:rPr>
        <w:t>谈判</w:t>
      </w:r>
      <w:r>
        <w:rPr>
          <w:rFonts w:hint="eastAsia" w:asciiTheme="minorEastAsia" w:hAnsiTheme="minorEastAsia" w:eastAsiaTheme="minorEastAsia"/>
          <w:color w:val="auto"/>
          <w:sz w:val="24"/>
          <w:highlight w:val="none"/>
        </w:rPr>
        <w:t>。初审合格后，谈判小组将按响应文件提交顺序集中与单一供应商分别进行谈判，并给予所有参加谈判的供应商平等的谈判机会。</w:t>
      </w:r>
    </w:p>
    <w:p w14:paraId="7AE79E33">
      <w:pPr>
        <w:keepNext w:val="0"/>
        <w:keepLines w:val="0"/>
        <w:pageBreakBefore w:val="0"/>
        <w:widowControl w:val="0"/>
        <w:kinsoku/>
        <w:wordWrap w:val="0"/>
        <w:overflowPunct/>
        <w:topLinePunct/>
        <w:autoSpaceDE/>
        <w:autoSpaceDN/>
        <w:bidi w:val="0"/>
        <w:adjustRightInd/>
        <w:snapToGrid/>
        <w:spacing w:line="360" w:lineRule="auto"/>
        <w:ind w:firstLine="437"/>
        <w:textAlignment w:val="auto"/>
        <w:rPr>
          <w:rFonts w:hint="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.3.3</w:t>
      </w:r>
      <w:r>
        <w:rPr>
          <w:rFonts w:asciiTheme="minorEastAsia" w:hAnsiTheme="minorEastAsia" w:eastAsiaTheme="minorEastAsia"/>
          <w:b/>
          <w:color w:val="auto"/>
          <w:sz w:val="24"/>
          <w:highlight w:val="none"/>
        </w:rPr>
        <w:t>报价</w:t>
      </w:r>
      <w:r>
        <w:rPr>
          <w:rFonts w:hint="eastAsia" w:asciiTheme="minorEastAsia" w:hAnsiTheme="minorEastAsia" w:eastAsiaTheme="minorEastAsia"/>
          <w:color w:val="auto"/>
          <w:sz w:val="24"/>
          <w:highlight w:val="none"/>
        </w:rPr>
        <w:t>。</w:t>
      </w:r>
      <w:r>
        <w:rPr>
          <w:rFonts w:asciiTheme="minorEastAsia" w:hAnsiTheme="minorEastAsia" w:eastAsiaTheme="minorEastAsia"/>
          <w:color w:val="auto"/>
          <w:sz w:val="24"/>
          <w:highlight w:val="none"/>
        </w:rPr>
        <w:t>谈判结束后，谈判小组应当要求所有</w:t>
      </w:r>
      <w:r>
        <w:rPr>
          <w:rFonts w:hint="eastAsia" w:asciiTheme="minorEastAsia" w:hAnsiTheme="minorEastAsia" w:eastAsiaTheme="minorEastAsia"/>
          <w:color w:val="auto"/>
          <w:sz w:val="24"/>
          <w:highlight w:val="none"/>
        </w:rPr>
        <w:t>继续参加谈判</w:t>
      </w:r>
      <w:r>
        <w:rPr>
          <w:rFonts w:asciiTheme="minorEastAsia" w:hAnsiTheme="minorEastAsia" w:eastAsiaTheme="minorEastAsia"/>
          <w:color w:val="auto"/>
          <w:sz w:val="24"/>
          <w:highlight w:val="none"/>
        </w:rPr>
        <w:t>的供应商在规定时间内提交最后报价</w:t>
      </w:r>
      <w:r>
        <w:rPr>
          <w:rFonts w:hint="eastAsia"/>
          <w:color w:val="auto"/>
          <w:sz w:val="24"/>
          <w:highlight w:val="none"/>
        </w:rPr>
        <w:t>。</w:t>
      </w:r>
    </w:p>
    <w:p w14:paraId="04BDD443">
      <w:pPr>
        <w:keepNext w:val="0"/>
        <w:keepLines w:val="0"/>
        <w:pageBreakBefore w:val="0"/>
        <w:widowControl w:val="0"/>
        <w:kinsoku/>
        <w:wordWrap w:val="0"/>
        <w:overflowPunct/>
        <w:topLinePunct/>
        <w:autoSpaceDE/>
        <w:autoSpaceDN/>
        <w:bidi w:val="0"/>
        <w:adjustRightInd/>
        <w:snapToGrid/>
        <w:spacing w:line="360" w:lineRule="auto"/>
        <w:ind w:firstLine="437"/>
        <w:textAlignment w:val="auto"/>
        <w:rPr>
          <w:rFonts w:hint="eastAsia"/>
          <w:color w:val="auto"/>
          <w:sz w:val="24"/>
          <w:highlight w:val="none"/>
        </w:rPr>
      </w:pPr>
      <w:r>
        <w:rPr>
          <w:rFonts w:hint="eastAsia"/>
          <w:color w:val="auto"/>
          <w:sz w:val="24"/>
          <w:highlight w:val="none"/>
          <w:lang w:val="en-US" w:eastAsia="zh-CN"/>
        </w:rPr>
        <w:t>1</w:t>
      </w:r>
      <w:r>
        <w:rPr>
          <w:rFonts w:hint="eastAsia" w:asciiTheme="minorEastAsia" w:hAnsiTheme="minorEastAsia" w:eastAsiaTheme="minorEastAsia"/>
          <w:sz w:val="24"/>
          <w:highlight w:val="none"/>
          <w:lang w:val="en-US" w:eastAsia="zh-CN"/>
        </w:rPr>
        <w:t xml:space="preserve">4.3.4 </w:t>
      </w:r>
      <w:r>
        <w:rPr>
          <w:rFonts w:hint="eastAsia" w:asciiTheme="minorEastAsia" w:hAnsiTheme="minorEastAsia" w:eastAsiaTheme="minorEastAsia"/>
          <w:b/>
          <w:bCs/>
          <w:sz w:val="24"/>
          <w:highlight w:val="none"/>
          <w:lang w:val="en-US" w:eastAsia="zh-CN"/>
        </w:rPr>
        <w:t>异常低价响应审查。</w:t>
      </w:r>
      <w:r>
        <w:rPr>
          <w:rFonts w:hint="eastAsia" w:ascii="宋体" w:hAnsi="宋体" w:eastAsia="宋体"/>
          <w:sz w:val="24"/>
          <w:highlight w:val="none"/>
        </w:rPr>
        <w:t>根据《</w:t>
      </w:r>
      <w:r>
        <w:rPr>
          <w:rFonts w:hint="eastAsia" w:ascii="宋体" w:hAnsi="宋体" w:eastAsia="宋体"/>
          <w:sz w:val="24"/>
          <w:highlight w:val="none"/>
          <w:lang w:val="en-US" w:eastAsia="zh-CN"/>
        </w:rPr>
        <w:t>关于推进解决政府采购异常低价问题的通知</w:t>
      </w:r>
      <w:r>
        <w:rPr>
          <w:rFonts w:hint="eastAsia" w:ascii="宋体" w:hAnsi="宋体" w:eastAsia="宋体"/>
          <w:sz w:val="24"/>
          <w:highlight w:val="none"/>
        </w:rPr>
        <w:t>》（财库〔</w:t>
      </w:r>
      <w:r>
        <w:rPr>
          <w:rFonts w:ascii="宋体" w:hAnsi="宋体" w:eastAsia="宋体"/>
          <w:sz w:val="24"/>
          <w:highlight w:val="none"/>
        </w:rPr>
        <w:t>202</w:t>
      </w:r>
      <w:r>
        <w:rPr>
          <w:rFonts w:hint="eastAsia" w:ascii="宋体" w:hAnsi="宋体" w:eastAsia="宋体"/>
          <w:sz w:val="24"/>
          <w:highlight w:val="none"/>
          <w:lang w:val="en-US" w:eastAsia="zh-CN"/>
        </w:rPr>
        <w:t>6</w:t>
      </w:r>
      <w:r>
        <w:rPr>
          <w:rFonts w:ascii="宋体" w:hAnsi="宋体" w:eastAsia="宋体"/>
          <w:sz w:val="24"/>
          <w:highlight w:val="none"/>
        </w:rPr>
        <w:t>〕</w:t>
      </w:r>
      <w:r>
        <w:rPr>
          <w:rFonts w:hint="eastAsia" w:ascii="宋体" w:hAnsi="宋体" w:eastAsia="宋体"/>
          <w:sz w:val="24"/>
          <w:highlight w:val="none"/>
          <w:lang w:val="en-US" w:eastAsia="zh-CN"/>
        </w:rPr>
        <w:t>2</w:t>
      </w:r>
      <w:r>
        <w:rPr>
          <w:rFonts w:ascii="宋体" w:hAnsi="宋体" w:eastAsia="宋体"/>
          <w:sz w:val="24"/>
          <w:highlight w:val="none"/>
        </w:rPr>
        <w:t>号</w:t>
      </w:r>
      <w:r>
        <w:rPr>
          <w:rFonts w:hint="eastAsia" w:ascii="宋体" w:hAnsi="宋体" w:eastAsia="宋体"/>
          <w:sz w:val="24"/>
          <w:highlight w:val="none"/>
        </w:rPr>
        <w:t>）</w:t>
      </w:r>
      <w:r>
        <w:rPr>
          <w:rFonts w:hint="eastAsia" w:ascii="宋体" w:hAnsi="宋体" w:eastAsia="宋体"/>
          <w:sz w:val="24"/>
          <w:highlight w:val="none"/>
          <w:lang w:eastAsia="zh-CN"/>
        </w:rPr>
        <w:t>，</w:t>
      </w:r>
      <w:r>
        <w:rPr>
          <w:rFonts w:hint="eastAsia"/>
          <w:sz w:val="24"/>
          <w:highlight w:val="none"/>
          <w:lang w:val="en-US" w:eastAsia="zh-CN"/>
        </w:rPr>
        <w:t>谈判</w:t>
      </w:r>
      <w:r>
        <w:rPr>
          <w:rFonts w:hint="eastAsia" w:ascii="宋体" w:hAnsi="宋体" w:eastAsia="宋体"/>
          <w:sz w:val="24"/>
          <w:highlight w:val="none"/>
          <w:lang w:val="en-US" w:eastAsia="zh-CN"/>
        </w:rPr>
        <w:t>小组进行异常低价响应审查。</w:t>
      </w:r>
    </w:p>
    <w:p w14:paraId="5CAC1FFE">
      <w:pPr>
        <w:keepNext w:val="0"/>
        <w:keepLines w:val="0"/>
        <w:pageBreakBefore w:val="0"/>
        <w:widowControl w:val="0"/>
        <w:kinsoku/>
        <w:wordWrap w:val="0"/>
        <w:overflowPunct/>
        <w:topLinePunct/>
        <w:autoSpaceDE/>
        <w:autoSpaceDN/>
        <w:bidi w:val="0"/>
        <w:adjustRightInd/>
        <w:snapToGrid/>
        <w:spacing w:line="360" w:lineRule="auto"/>
        <w:ind w:firstLine="437"/>
        <w:textAlignment w:val="auto"/>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.4相关说明。</w:t>
      </w:r>
    </w:p>
    <w:p w14:paraId="759E846F">
      <w:pPr>
        <w:keepNext w:val="0"/>
        <w:keepLines w:val="0"/>
        <w:pageBreakBefore w:val="0"/>
        <w:widowControl w:val="0"/>
        <w:kinsoku/>
        <w:wordWrap w:val="0"/>
        <w:overflowPunct/>
        <w:topLinePunct/>
        <w:autoSpaceDE/>
        <w:autoSpaceDN/>
        <w:bidi w:val="0"/>
        <w:adjustRightInd/>
        <w:snapToGrid/>
        <w:spacing w:line="360" w:lineRule="auto"/>
        <w:ind w:firstLine="437"/>
        <w:textAlignment w:val="auto"/>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.4.1为保证谈判活动顺利进行，供应商可派相关技术人员进行答疑；</w:t>
      </w:r>
    </w:p>
    <w:p w14:paraId="5B2F5904">
      <w:pPr>
        <w:keepNext w:val="0"/>
        <w:keepLines w:val="0"/>
        <w:pageBreakBefore w:val="0"/>
        <w:widowControl w:val="0"/>
        <w:kinsoku/>
        <w:wordWrap w:val="0"/>
        <w:overflowPunct/>
        <w:topLinePunct/>
        <w:autoSpaceDE/>
        <w:autoSpaceDN/>
        <w:bidi w:val="0"/>
        <w:adjustRightInd/>
        <w:snapToGrid/>
        <w:spacing w:line="360" w:lineRule="auto"/>
        <w:ind w:firstLine="437"/>
        <w:textAlignment w:val="auto"/>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.4.2谈判</w:t>
      </w:r>
      <w:r>
        <w:rPr>
          <w:rFonts w:asciiTheme="minorEastAsia" w:hAnsiTheme="minorEastAsia" w:eastAsiaTheme="minorEastAsia"/>
          <w:color w:val="auto"/>
          <w:sz w:val="24"/>
          <w:highlight w:val="none"/>
        </w:rPr>
        <w:t>小组根据与</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谈判情况可能实质性变动</w:t>
      </w:r>
      <w:r>
        <w:rPr>
          <w:rFonts w:hint="eastAsia" w:asciiTheme="minorEastAsia" w:hAnsiTheme="minorEastAsia" w:eastAsiaTheme="minorEastAsia"/>
          <w:color w:val="auto"/>
          <w:sz w:val="24"/>
          <w:highlight w:val="none"/>
        </w:rPr>
        <w:t>谈判文件</w:t>
      </w:r>
      <w:r>
        <w:rPr>
          <w:rFonts w:asciiTheme="minorEastAsia" w:hAnsiTheme="minorEastAsia" w:eastAsiaTheme="minorEastAsia"/>
          <w:color w:val="auto"/>
          <w:sz w:val="24"/>
          <w:highlight w:val="none"/>
        </w:rPr>
        <w:t>的内容，包括采购需求中的技术、服务要求以及合同草案条款。谈判文件有实质性变动的，</w:t>
      </w:r>
      <w:r>
        <w:rPr>
          <w:rFonts w:hint="eastAsia" w:asciiTheme="minorEastAsia" w:hAnsiTheme="minorEastAsia" w:eastAsiaTheme="minorEastAsia"/>
          <w:color w:val="auto"/>
          <w:sz w:val="24"/>
          <w:highlight w:val="none"/>
        </w:rPr>
        <w:t>经采购人代表确认作为谈判文件的有效组成部分，</w:t>
      </w:r>
      <w:r>
        <w:rPr>
          <w:rFonts w:asciiTheme="minorEastAsia" w:hAnsiTheme="minorEastAsia" w:eastAsiaTheme="minorEastAsia"/>
          <w:color w:val="auto"/>
          <w:sz w:val="24"/>
          <w:highlight w:val="none"/>
        </w:rPr>
        <w:t>谈判小组</w:t>
      </w:r>
      <w:r>
        <w:rPr>
          <w:rFonts w:hint="eastAsia" w:asciiTheme="minorEastAsia" w:hAnsiTheme="minorEastAsia" w:eastAsiaTheme="minorEastAsia"/>
          <w:color w:val="auto"/>
          <w:sz w:val="24"/>
          <w:highlight w:val="none"/>
        </w:rPr>
        <w:t>将</w:t>
      </w:r>
      <w:r>
        <w:rPr>
          <w:rFonts w:asciiTheme="minorEastAsia" w:hAnsiTheme="minorEastAsia" w:eastAsiaTheme="minorEastAsia"/>
          <w:color w:val="auto"/>
          <w:sz w:val="24"/>
          <w:highlight w:val="none"/>
        </w:rPr>
        <w:t>以书面形式通知所有参加谈判的供应商。</w:t>
      </w:r>
    </w:p>
    <w:p w14:paraId="3FD32D13">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asciiTheme="minorEastAsia" w:hAnsiTheme="minorEastAsia" w:eastAsiaTheme="minorEastAsia"/>
          <w:color w:val="auto"/>
          <w:sz w:val="24"/>
          <w:highlight w:val="none"/>
        </w:rPr>
        <w:t>.4.3谈判小组发现供应商的报价或者某些分项报价明显低于其他通过初审的供应商的报价，有可能影响产品质量和不能诚信履约的，应当要求其在合理的时间内提供书面说明，必要时提交相关证明材料；供应商不能证明其报价合理性的，其响应文件将被认定为</w:t>
      </w:r>
      <w:r>
        <w:rPr>
          <w:rFonts w:asciiTheme="minorEastAsia" w:hAnsiTheme="minorEastAsia" w:eastAsiaTheme="minorEastAsia"/>
          <w:b/>
          <w:color w:val="auto"/>
          <w:sz w:val="24"/>
          <w:highlight w:val="none"/>
        </w:rPr>
        <w:t>响应无效。</w:t>
      </w:r>
    </w:p>
    <w:p w14:paraId="45E29E8B">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.4.4</w:t>
      </w:r>
      <w:r>
        <w:rPr>
          <w:rFonts w:asciiTheme="minorEastAsia" w:hAnsiTheme="minorEastAsia" w:eastAsiaTheme="minorEastAsia"/>
          <w:color w:val="auto"/>
          <w:sz w:val="24"/>
          <w:highlight w:val="none"/>
        </w:rPr>
        <w:t>无论何种原因，即使供应商</w:t>
      </w:r>
      <w:r>
        <w:rPr>
          <w:rFonts w:hint="eastAsia" w:asciiTheme="minorEastAsia" w:hAnsiTheme="minorEastAsia" w:eastAsiaTheme="minorEastAsia"/>
          <w:color w:val="auto"/>
          <w:sz w:val="24"/>
          <w:highlight w:val="none"/>
        </w:rPr>
        <w:t>谈判</w:t>
      </w:r>
      <w:r>
        <w:rPr>
          <w:rFonts w:asciiTheme="minorEastAsia" w:hAnsiTheme="minorEastAsia" w:eastAsiaTheme="minorEastAsia"/>
          <w:color w:val="auto"/>
          <w:sz w:val="24"/>
          <w:highlight w:val="none"/>
        </w:rPr>
        <w:t>时携带了证书材料的原件，但响应文件中未提供与之内容完全一致的</w:t>
      </w:r>
      <w:r>
        <w:rPr>
          <w:rFonts w:hint="eastAsia" w:asciiTheme="minorEastAsia" w:hAnsiTheme="minorEastAsia" w:eastAsiaTheme="minorEastAsia"/>
          <w:color w:val="auto"/>
          <w:sz w:val="24"/>
          <w:highlight w:val="none"/>
          <w:lang w:eastAsia="zh-CN"/>
        </w:rPr>
        <w:t>复印件</w:t>
      </w:r>
      <w:r>
        <w:rPr>
          <w:rFonts w:asciiTheme="minorEastAsia" w:hAnsiTheme="minorEastAsia" w:eastAsiaTheme="minorEastAsia"/>
          <w:color w:val="auto"/>
          <w:sz w:val="24"/>
          <w:highlight w:val="none"/>
        </w:rPr>
        <w:t>的，</w:t>
      </w:r>
      <w:r>
        <w:rPr>
          <w:rFonts w:hint="eastAsia" w:asciiTheme="minorEastAsia" w:hAnsiTheme="minorEastAsia" w:eastAsiaTheme="minorEastAsia"/>
          <w:color w:val="auto"/>
          <w:sz w:val="24"/>
          <w:highlight w:val="none"/>
        </w:rPr>
        <w:t>谈判</w:t>
      </w:r>
      <w:r>
        <w:rPr>
          <w:rFonts w:asciiTheme="minorEastAsia" w:hAnsiTheme="minorEastAsia" w:eastAsiaTheme="minorEastAsia"/>
          <w:color w:val="auto"/>
          <w:sz w:val="24"/>
          <w:highlight w:val="none"/>
        </w:rPr>
        <w:t>小组可以视同其未提供。</w:t>
      </w:r>
    </w:p>
    <w:p w14:paraId="34F74016">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.4.5谈判</w:t>
      </w:r>
      <w:r>
        <w:rPr>
          <w:rFonts w:asciiTheme="minorEastAsia" w:hAnsiTheme="minorEastAsia" w:eastAsiaTheme="minorEastAsia"/>
          <w:color w:val="auto"/>
          <w:sz w:val="24"/>
          <w:highlight w:val="none"/>
        </w:rPr>
        <w:t>小组决定响应文件的响应性及符合性只根据响应文件本身的内容，而不寻求其他外部证据。</w:t>
      </w:r>
    </w:p>
    <w:p w14:paraId="45446617">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5</w:t>
      </w:r>
      <w:r>
        <w:rPr>
          <w:rFonts w:asciiTheme="minorEastAsia" w:hAnsiTheme="minorEastAsia" w:eastAsiaTheme="minorEastAsia"/>
          <w:color w:val="auto"/>
          <w:sz w:val="24"/>
          <w:highlight w:val="none"/>
        </w:rPr>
        <w:t>供应商</w:t>
      </w:r>
      <w:r>
        <w:rPr>
          <w:rFonts w:hint="eastAsia" w:asciiTheme="minorEastAsia" w:hAnsiTheme="minorEastAsia" w:eastAsiaTheme="minorEastAsia"/>
          <w:color w:val="auto"/>
          <w:sz w:val="24"/>
          <w:highlight w:val="none"/>
        </w:rPr>
        <w:t>授权</w:t>
      </w:r>
      <w:r>
        <w:rPr>
          <w:rFonts w:asciiTheme="minorEastAsia" w:hAnsiTheme="minorEastAsia" w:eastAsiaTheme="minorEastAsia"/>
          <w:color w:val="auto"/>
          <w:sz w:val="24"/>
          <w:highlight w:val="none"/>
        </w:rPr>
        <w:t>代表对</w:t>
      </w:r>
      <w:r>
        <w:rPr>
          <w:rFonts w:hint="eastAsia" w:asciiTheme="minorEastAsia" w:hAnsiTheme="minorEastAsia" w:eastAsiaTheme="minorEastAsia"/>
          <w:color w:val="auto"/>
          <w:sz w:val="24"/>
          <w:highlight w:val="none"/>
        </w:rPr>
        <w:t>谈判过程</w:t>
      </w:r>
      <w:r>
        <w:rPr>
          <w:rFonts w:asciiTheme="minorEastAsia" w:hAnsiTheme="minorEastAsia" w:eastAsiaTheme="minorEastAsia"/>
          <w:color w:val="auto"/>
          <w:sz w:val="24"/>
          <w:highlight w:val="none"/>
        </w:rPr>
        <w:t>有疑义，以及认为采购人、采购代理机构相关工作人员有需要回避的情形的，应当场提出询问或者回避申请</w:t>
      </w:r>
      <w:r>
        <w:rPr>
          <w:rFonts w:hint="eastAsia" w:asciiTheme="minorEastAsia" w:hAnsiTheme="minorEastAsia" w:eastAsiaTheme="minorEastAsia"/>
          <w:color w:val="auto"/>
          <w:sz w:val="24"/>
          <w:highlight w:val="none"/>
        </w:rPr>
        <w:t>，并说明理由。</w:t>
      </w:r>
      <w:r>
        <w:rPr>
          <w:rFonts w:asciiTheme="minorEastAsia" w:hAnsiTheme="minorEastAsia" w:eastAsiaTheme="minorEastAsia"/>
          <w:color w:val="auto"/>
          <w:sz w:val="24"/>
          <w:highlight w:val="none"/>
        </w:rPr>
        <w:t xml:space="preserve"> </w:t>
      </w:r>
    </w:p>
    <w:p w14:paraId="478D67D4">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15</w:t>
      </w:r>
      <w:r>
        <w:rPr>
          <w:rFonts w:asciiTheme="minorEastAsia" w:hAnsiTheme="minorEastAsia" w:eastAsiaTheme="minorEastAsia"/>
          <w:b/>
          <w:color w:val="auto"/>
          <w:sz w:val="24"/>
          <w:highlight w:val="none"/>
        </w:rPr>
        <w:t>.终止竞争性谈判</w:t>
      </w:r>
    </w:p>
    <w:p w14:paraId="5042845F">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15</w:t>
      </w:r>
      <w:r>
        <w:rPr>
          <w:rFonts w:hint="eastAsia" w:asciiTheme="minorEastAsia" w:hAnsiTheme="minorEastAsia" w:eastAsiaTheme="minorEastAsia"/>
          <w:color w:val="auto"/>
          <w:sz w:val="24"/>
          <w:highlight w:val="none"/>
        </w:rPr>
        <w:t>.1出现下列情况之一时，采购人和采购代理机构有权宣布终止竞争性谈判采购，并将理由通知所有供应商：</w:t>
      </w:r>
    </w:p>
    <w:p w14:paraId="7520CC82">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（1）有效供应商数量不足，导致本次谈判缺乏竞争的；</w:t>
      </w:r>
    </w:p>
    <w:p w14:paraId="12AAC71D">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（2）出现影响采购公正的违法、违规行为的；</w:t>
      </w:r>
    </w:p>
    <w:p w14:paraId="61E84C58">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（3）因重大变故，采购任务取消的；</w:t>
      </w:r>
    </w:p>
    <w:p w14:paraId="3727585D">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（4）政府采购法律法规规定的其他情形。</w:t>
      </w:r>
    </w:p>
    <w:p w14:paraId="55D83891">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16</w:t>
      </w:r>
      <w:r>
        <w:rPr>
          <w:rFonts w:asciiTheme="minorEastAsia" w:hAnsiTheme="minorEastAsia" w:eastAsiaTheme="minorEastAsia"/>
          <w:b/>
          <w:color w:val="auto"/>
          <w:sz w:val="24"/>
          <w:highlight w:val="none"/>
        </w:rPr>
        <w:t>.响应文件的澄清、说明或</w:t>
      </w:r>
      <w:r>
        <w:rPr>
          <w:rFonts w:hint="eastAsia" w:asciiTheme="minorEastAsia" w:hAnsiTheme="minorEastAsia" w:eastAsiaTheme="minorEastAsia"/>
          <w:b/>
          <w:color w:val="auto"/>
          <w:sz w:val="24"/>
          <w:highlight w:val="none"/>
        </w:rPr>
        <w:t>更正</w:t>
      </w:r>
    </w:p>
    <w:p w14:paraId="123E59BB">
      <w:pPr>
        <w:spacing w:line="360" w:lineRule="auto"/>
        <w:ind w:firstLine="470" w:firstLineChars="196"/>
        <w:rPr>
          <w:color w:val="auto"/>
          <w:sz w:val="24"/>
          <w:highlight w:val="none"/>
        </w:rPr>
      </w:pPr>
      <w:r>
        <w:rPr>
          <w:rFonts w:hint="eastAsia"/>
          <w:color w:val="auto"/>
          <w:sz w:val="24"/>
          <w:highlight w:val="none"/>
          <w:lang w:val="en-US" w:eastAsia="zh-CN"/>
        </w:rPr>
        <w:t>16</w:t>
      </w:r>
      <w:r>
        <w:rPr>
          <w:rFonts w:hint="eastAsia"/>
          <w:color w:val="auto"/>
          <w:sz w:val="24"/>
          <w:highlight w:val="none"/>
        </w:rPr>
        <w:t>.1谈判小组将对响应文件的有效性、完整性和响应程度进行审查，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对不同文字文本响应文件的解释发生异议的，以中文文本为准。</w:t>
      </w:r>
    </w:p>
    <w:p w14:paraId="1436C5D9">
      <w:pPr>
        <w:spacing w:line="360" w:lineRule="auto"/>
        <w:ind w:firstLine="470" w:firstLineChars="196"/>
        <w:rPr>
          <w:color w:val="auto"/>
          <w:sz w:val="24"/>
          <w:highlight w:val="none"/>
        </w:rPr>
      </w:pPr>
      <w:r>
        <w:rPr>
          <w:rFonts w:hint="eastAsia"/>
          <w:color w:val="auto"/>
          <w:sz w:val="24"/>
          <w:highlight w:val="none"/>
          <w:lang w:val="en-US" w:eastAsia="zh-CN"/>
        </w:rPr>
        <w:t>16</w:t>
      </w:r>
      <w:r>
        <w:rPr>
          <w:rFonts w:hint="eastAsia"/>
          <w:color w:val="auto"/>
          <w:sz w:val="24"/>
          <w:highlight w:val="none"/>
        </w:rPr>
        <w:t>.2谈判小组要求供应商澄清、说明或者更正响应文件应当以书面形式（询标）作出。供应商的澄清、说明或者更正应当由法定代表人或其授权代表签字或者加盖公章。</w:t>
      </w:r>
    </w:p>
    <w:p w14:paraId="58FE5014">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17</w:t>
      </w:r>
      <w:r>
        <w:rPr>
          <w:rFonts w:asciiTheme="minorEastAsia" w:hAnsiTheme="minorEastAsia" w:eastAsiaTheme="minorEastAsia"/>
          <w:b/>
          <w:color w:val="auto"/>
          <w:sz w:val="24"/>
          <w:highlight w:val="none"/>
        </w:rPr>
        <w:t>.最后报价</w:t>
      </w:r>
    </w:p>
    <w:p w14:paraId="3B120B5F">
      <w:pPr>
        <w:spacing w:line="360" w:lineRule="auto"/>
        <w:ind w:firstLine="435"/>
        <w:rPr>
          <w:rFonts w:asciiTheme="minorEastAsia" w:hAnsiTheme="minorEastAsia" w:eastAsiaTheme="minorEastAsia"/>
          <w:b/>
          <w:bCs/>
          <w:color w:val="auto"/>
          <w:sz w:val="24"/>
          <w:highlight w:val="none"/>
        </w:rPr>
      </w:pPr>
      <w:r>
        <w:rPr>
          <w:rFonts w:hint="eastAsia" w:asciiTheme="minorEastAsia" w:hAnsiTheme="minorEastAsia" w:eastAsiaTheme="minorEastAsia"/>
          <w:b/>
          <w:bCs/>
          <w:color w:val="auto"/>
          <w:sz w:val="24"/>
          <w:highlight w:val="none"/>
          <w:lang w:val="en-US" w:eastAsia="zh-CN"/>
        </w:rPr>
        <w:t>17.</w:t>
      </w:r>
      <w:r>
        <w:rPr>
          <w:rFonts w:hint="eastAsia" w:asciiTheme="minorEastAsia" w:hAnsiTheme="minorEastAsia" w:eastAsiaTheme="minorEastAsia"/>
          <w:b/>
          <w:bCs/>
          <w:color w:val="auto"/>
          <w:sz w:val="24"/>
          <w:highlight w:val="none"/>
        </w:rPr>
        <w:t>1</w:t>
      </w:r>
      <w:r>
        <w:rPr>
          <w:rFonts w:asciiTheme="minorEastAsia" w:hAnsiTheme="minorEastAsia" w:eastAsiaTheme="minorEastAsia"/>
          <w:b/>
          <w:bCs/>
          <w:color w:val="auto"/>
          <w:sz w:val="24"/>
          <w:highlight w:val="none"/>
        </w:rPr>
        <w:t>谈判并不限定只进行二轮报价，如果谈判小组认为有必要，可以要求供应商进行多轮报价。</w:t>
      </w:r>
      <w:r>
        <w:rPr>
          <w:rFonts w:hint="eastAsia" w:asciiTheme="minorEastAsia" w:hAnsiTheme="minorEastAsia" w:eastAsiaTheme="minorEastAsia"/>
          <w:b/>
          <w:bCs/>
          <w:color w:val="auto"/>
          <w:sz w:val="24"/>
          <w:highlight w:val="none"/>
          <w:lang w:eastAsia="zh-CN"/>
        </w:rPr>
        <w:t>（</w:t>
      </w:r>
      <w:r>
        <w:rPr>
          <w:rFonts w:hint="eastAsia" w:asciiTheme="minorEastAsia" w:hAnsiTheme="minorEastAsia" w:eastAsiaTheme="minorEastAsia"/>
          <w:b/>
          <w:bCs/>
          <w:color w:val="auto"/>
          <w:sz w:val="24"/>
          <w:highlight w:val="none"/>
          <w:lang w:val="en-US" w:eastAsia="zh-CN"/>
        </w:rPr>
        <w:t>注：本项目约定为两次报价）</w:t>
      </w:r>
    </w:p>
    <w:p w14:paraId="65433B96">
      <w:pPr>
        <w:spacing w:line="360" w:lineRule="auto"/>
        <w:ind w:firstLine="435"/>
        <w:rPr>
          <w:rFonts w:hint="eastAsia" w:asciiTheme="majorEastAsia" w:hAnsiTheme="majorEastAsia" w:eastAsiaTheme="majorEastAsia"/>
          <w:color w:val="auto"/>
          <w:sz w:val="24"/>
          <w:highlight w:val="none"/>
          <w:lang w:val="en-US" w:eastAsia="zh-CN"/>
        </w:rPr>
      </w:pPr>
      <w:r>
        <w:rPr>
          <w:rFonts w:hint="eastAsia" w:asciiTheme="majorEastAsia" w:hAnsiTheme="majorEastAsia" w:eastAsiaTheme="majorEastAsia"/>
          <w:color w:val="auto"/>
          <w:sz w:val="24"/>
          <w:highlight w:val="none"/>
          <w:lang w:val="en-US" w:eastAsia="zh-CN"/>
        </w:rPr>
        <w:t>17.2在谈判内容不做实质性变更或重大调整的前提下，供应商下轮报价不得高于上一轮报价。</w:t>
      </w:r>
    </w:p>
    <w:p w14:paraId="592A0413">
      <w:pPr>
        <w:spacing w:line="360" w:lineRule="auto"/>
        <w:ind w:firstLine="435"/>
        <w:rPr>
          <w:rFonts w:hint="eastAsia" w:asciiTheme="majorEastAsia" w:hAnsiTheme="majorEastAsia" w:eastAsiaTheme="majorEastAsia"/>
          <w:color w:val="auto"/>
          <w:sz w:val="24"/>
          <w:highlight w:val="none"/>
          <w:lang w:val="en-US" w:eastAsia="zh-CN"/>
        </w:rPr>
      </w:pPr>
      <w:r>
        <w:rPr>
          <w:rFonts w:hint="eastAsia" w:asciiTheme="majorEastAsia" w:hAnsiTheme="majorEastAsia" w:eastAsiaTheme="majorEastAsia"/>
          <w:color w:val="auto"/>
          <w:sz w:val="24"/>
          <w:highlight w:val="none"/>
          <w:lang w:val="en-US" w:eastAsia="zh-CN"/>
        </w:rPr>
        <w:t>若供应商未在规定的时间内进行二次报价（最后报价）或二次报价被谈判小组认为不符合要求的，谈判小组默认其响应文件中（商务报价第一次）填报的价格为供应商的最后报价。</w:t>
      </w:r>
    </w:p>
    <w:p w14:paraId="3D5DFD48">
      <w:pPr>
        <w:spacing w:line="360" w:lineRule="auto"/>
        <w:ind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17</w:t>
      </w:r>
      <w:r>
        <w:rPr>
          <w:rFonts w:hint="eastAsia" w:asciiTheme="minorEastAsia" w:hAnsiTheme="minorEastAsia" w:eastAsiaTheme="minorEastAsia"/>
          <w:color w:val="auto"/>
          <w:sz w:val="24"/>
          <w:highlight w:val="none"/>
        </w:rPr>
        <w:t>.3</w:t>
      </w:r>
      <w:r>
        <w:rPr>
          <w:rFonts w:asciiTheme="minorEastAsia" w:hAnsiTheme="minorEastAsia" w:eastAsiaTheme="minorEastAsia"/>
          <w:color w:val="auto"/>
          <w:sz w:val="24"/>
          <w:highlight w:val="none"/>
        </w:rPr>
        <w:t>最后报价是供应商响应文件的有效组成部分，最后报价也是签订合同的依据。</w:t>
      </w:r>
    </w:p>
    <w:p w14:paraId="3BC1CABB">
      <w:pPr>
        <w:spacing w:line="360" w:lineRule="auto"/>
        <w:ind w:firstLine="435"/>
        <w:rPr>
          <w:rFonts w:asciiTheme="majorEastAsia" w:hAnsiTheme="majorEastAsia" w:eastAsiaTheme="majorEastAsia"/>
          <w:color w:val="auto"/>
          <w:sz w:val="24"/>
          <w:highlight w:val="none"/>
        </w:rPr>
      </w:pPr>
      <w:bookmarkStart w:id="17" w:name="_Hlk60607655"/>
      <w:r>
        <w:rPr>
          <w:rFonts w:hint="eastAsia" w:asciiTheme="majorEastAsia" w:hAnsiTheme="majorEastAsia" w:eastAsiaTheme="majorEastAsia"/>
          <w:color w:val="auto"/>
          <w:sz w:val="24"/>
          <w:highlight w:val="none"/>
          <w:lang w:val="en-US" w:eastAsia="zh-CN"/>
        </w:rPr>
        <w:t>17</w:t>
      </w:r>
      <w:r>
        <w:rPr>
          <w:rFonts w:hint="eastAsia" w:asciiTheme="majorEastAsia" w:hAnsiTheme="majorEastAsia" w:eastAsiaTheme="majorEastAsia"/>
          <w:color w:val="auto"/>
          <w:sz w:val="24"/>
          <w:highlight w:val="none"/>
        </w:rPr>
        <w:t>.</w:t>
      </w:r>
      <w:r>
        <w:rPr>
          <w:rFonts w:asciiTheme="majorEastAsia" w:hAnsiTheme="majorEastAsia" w:eastAsiaTheme="majorEastAsia"/>
          <w:color w:val="auto"/>
          <w:sz w:val="24"/>
          <w:highlight w:val="none"/>
        </w:rPr>
        <w:t>4</w:t>
      </w:r>
      <w:r>
        <w:rPr>
          <w:rFonts w:hint="eastAsia" w:asciiTheme="majorEastAsia" w:hAnsiTheme="majorEastAsia" w:eastAsiaTheme="majorEastAsia"/>
          <w:color w:val="auto"/>
          <w:sz w:val="24"/>
          <w:highlight w:val="none"/>
        </w:rPr>
        <w:t>根据《政府采购促进中小企业发展管理办法》（财库〔</w:t>
      </w:r>
      <w:r>
        <w:rPr>
          <w:rFonts w:asciiTheme="majorEastAsia" w:hAnsiTheme="majorEastAsia" w:eastAsiaTheme="majorEastAsia"/>
          <w:color w:val="auto"/>
          <w:sz w:val="24"/>
          <w:highlight w:val="none"/>
        </w:rPr>
        <w:t>2020〕46号</w:t>
      </w:r>
      <w:r>
        <w:rPr>
          <w:rFonts w:hint="eastAsia" w:asciiTheme="majorEastAsia" w:hAnsiTheme="majorEastAsia" w:eastAsiaTheme="majorEastAsia"/>
          <w:color w:val="auto"/>
          <w:sz w:val="24"/>
          <w:highlight w:val="none"/>
        </w:rPr>
        <w:t>）、《三部门联合发布关于促进残疾人就业政府采购政策的通知》（财库〔2017〕141号）和《</w:t>
      </w:r>
      <w:r>
        <w:rPr>
          <w:rFonts w:asciiTheme="majorEastAsia" w:hAnsiTheme="majorEastAsia" w:eastAsiaTheme="majorEastAsia"/>
          <w:color w:val="auto"/>
          <w:sz w:val="24"/>
          <w:highlight w:val="none"/>
        </w:rPr>
        <w:t>财政部 司法部关于政府采购支持监狱企业发展有关问题的通知</w:t>
      </w:r>
      <w:r>
        <w:rPr>
          <w:rFonts w:hint="eastAsia" w:asciiTheme="majorEastAsia" w:hAnsiTheme="majorEastAsia" w:eastAsiaTheme="majorEastAsia"/>
          <w:color w:val="auto"/>
          <w:sz w:val="24"/>
          <w:highlight w:val="none"/>
        </w:rPr>
        <w:t>》（财库〔2014〕68号）的规定，对满足价格扣除条件且在响应文件中提交了</w:t>
      </w:r>
      <w:r>
        <w:rPr>
          <w:rFonts w:asciiTheme="majorEastAsia" w:hAnsiTheme="majorEastAsia" w:eastAsiaTheme="majorEastAsia"/>
          <w:color w:val="auto"/>
          <w:sz w:val="24"/>
          <w:highlight w:val="none"/>
        </w:rPr>
        <w:t>《中小企业声明函》</w:t>
      </w:r>
      <w:r>
        <w:rPr>
          <w:rFonts w:hint="eastAsia" w:asciiTheme="majorEastAsia" w:hAnsiTheme="majorEastAsia" w:eastAsiaTheme="majorEastAsia"/>
          <w:color w:val="auto"/>
          <w:sz w:val="24"/>
          <w:highlight w:val="none"/>
        </w:rPr>
        <w:t>、</w:t>
      </w:r>
      <w:r>
        <w:rPr>
          <w:rFonts w:asciiTheme="majorEastAsia" w:hAnsiTheme="majorEastAsia" w:eastAsiaTheme="majorEastAsia"/>
          <w:color w:val="auto"/>
          <w:sz w:val="24"/>
          <w:highlight w:val="none"/>
        </w:rPr>
        <w:t>《残疾人福利性单位声明函》</w:t>
      </w:r>
      <w:r>
        <w:rPr>
          <w:rFonts w:hint="eastAsia" w:asciiTheme="majorEastAsia" w:hAnsiTheme="majorEastAsia" w:eastAsiaTheme="majorEastAsia"/>
          <w:color w:val="auto"/>
          <w:sz w:val="24"/>
          <w:highlight w:val="none"/>
        </w:rPr>
        <w:t>或省级以上监狱管理局、戒毒管理局（含新疆生产建设兵团）出具的属于监狱企业的证明文件的供应商，其最后报价按照</w:t>
      </w:r>
      <w:r>
        <w:rPr>
          <w:rFonts w:hint="eastAsia" w:asciiTheme="majorEastAsia" w:hAnsiTheme="majorEastAsia" w:eastAsiaTheme="majorEastAsia"/>
          <w:color w:val="auto"/>
          <w:sz w:val="24"/>
          <w:highlight w:val="none"/>
          <w:u w:val="single"/>
        </w:rPr>
        <w:t>供应商须知前附表</w:t>
      </w:r>
      <w:r>
        <w:rPr>
          <w:rFonts w:hint="eastAsia" w:asciiTheme="majorEastAsia" w:hAnsiTheme="majorEastAsia" w:eastAsiaTheme="majorEastAsia"/>
          <w:color w:val="auto"/>
          <w:sz w:val="24"/>
          <w:highlight w:val="none"/>
        </w:rPr>
        <w:t>中规定的标准扣除后的价格参与评审。对于同时属于小微企业、监狱企业或残疾人福利性单位的，不重复进行最后报价扣除。</w:t>
      </w:r>
    </w:p>
    <w:p w14:paraId="22C0AF8F">
      <w:pPr>
        <w:spacing w:line="360" w:lineRule="auto"/>
        <w:ind w:firstLine="435"/>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接受大中型企业与小微企业组成联合体或者允许大中型企业向一家或者多家小微企业分包的，对于联合协议或者分包意向协议约定小微企业的合同份额占到合同总金额</w:t>
      </w:r>
      <w:r>
        <w:rPr>
          <w:rFonts w:asciiTheme="majorEastAsia" w:hAnsiTheme="majorEastAsia" w:eastAsiaTheme="majorEastAsia"/>
          <w:color w:val="auto"/>
          <w:sz w:val="24"/>
          <w:highlight w:val="none"/>
        </w:rPr>
        <w:t>30%以上的，可给予联合体或者大中型企业的</w:t>
      </w:r>
      <w:r>
        <w:rPr>
          <w:rFonts w:hint="eastAsia" w:asciiTheme="majorEastAsia" w:hAnsiTheme="majorEastAsia" w:eastAsiaTheme="majorEastAsia"/>
          <w:color w:val="auto"/>
          <w:sz w:val="24"/>
          <w:highlight w:val="none"/>
        </w:rPr>
        <w:t>最后报价按照</w:t>
      </w:r>
      <w:r>
        <w:rPr>
          <w:rFonts w:hint="eastAsia" w:asciiTheme="majorEastAsia" w:hAnsiTheme="majorEastAsia" w:eastAsiaTheme="majorEastAsia"/>
          <w:color w:val="auto"/>
          <w:sz w:val="24"/>
          <w:highlight w:val="none"/>
          <w:u w:val="single"/>
        </w:rPr>
        <w:t>供应商须知前附表</w:t>
      </w:r>
      <w:r>
        <w:rPr>
          <w:rFonts w:hint="eastAsia" w:asciiTheme="majorEastAsia" w:hAnsiTheme="majorEastAsia" w:eastAsiaTheme="majorEastAsia"/>
          <w:color w:val="auto"/>
          <w:sz w:val="24"/>
          <w:highlight w:val="none"/>
        </w:rPr>
        <w:t>中规定的标准扣除后的价格参与评审</w:t>
      </w:r>
      <w:r>
        <w:rPr>
          <w:rFonts w:asciiTheme="majorEastAsia" w:hAnsiTheme="majorEastAsia" w:eastAsiaTheme="majorEastAsia"/>
          <w:color w:val="auto"/>
          <w:sz w:val="24"/>
          <w:highlight w:val="none"/>
        </w:rPr>
        <w:t>。</w:t>
      </w:r>
      <w:r>
        <w:rPr>
          <w:rFonts w:hint="eastAsia" w:asciiTheme="majorEastAsia" w:hAnsiTheme="majorEastAsia" w:eastAsiaTheme="majorEastAsia"/>
          <w:color w:val="auto"/>
          <w:sz w:val="24"/>
          <w:highlight w:val="none"/>
        </w:rPr>
        <w:t>组成联合体或者接受分包的小微企业与联合体内其他企业、分包企业之间存在直接控股、管理关系的，不享受价格扣除优惠政策。</w:t>
      </w:r>
    </w:p>
    <w:p w14:paraId="56364BEB">
      <w:pPr>
        <w:spacing w:line="360" w:lineRule="auto"/>
        <w:ind w:firstLine="435"/>
        <w:rPr>
          <w:rFonts w:cs="@仿宋_GB2312"/>
          <w:color w:val="auto"/>
          <w:kern w:val="2"/>
          <w:sz w:val="24"/>
          <w:szCs w:val="22"/>
          <w:highlight w:val="none"/>
        </w:rPr>
      </w:pPr>
      <w:r>
        <w:rPr>
          <w:rFonts w:hint="eastAsia" w:asciiTheme="majorEastAsia" w:hAnsiTheme="majorEastAsia" w:eastAsiaTheme="majorEastAsia"/>
          <w:color w:val="auto"/>
          <w:sz w:val="24"/>
          <w:highlight w:val="none"/>
        </w:rPr>
        <w:t>以联合体形式参加政府采购活动，联合体各方均为中小企业的，联合体视同中小企业。其中，联合体各方均为小微企业的，联合体视同小微企业。</w:t>
      </w:r>
      <w:bookmarkEnd w:id="17"/>
      <w:r>
        <w:rPr>
          <w:rFonts w:hint="eastAsia" w:cs="@仿宋_GB2312"/>
          <w:color w:val="auto"/>
          <w:kern w:val="2"/>
          <w:sz w:val="24"/>
          <w:szCs w:val="22"/>
          <w:highlight w:val="none"/>
        </w:rPr>
        <w:t xml:space="preserve"> </w:t>
      </w:r>
    </w:p>
    <w:p w14:paraId="471EE64C">
      <w:pPr>
        <w:spacing w:line="360" w:lineRule="auto"/>
        <w:ind w:firstLine="435"/>
        <w:rPr>
          <w:rFonts w:cs="@仿宋_GB2312"/>
          <w:color w:val="auto"/>
          <w:kern w:val="2"/>
          <w:sz w:val="24"/>
          <w:szCs w:val="22"/>
          <w:highlight w:val="none"/>
        </w:rPr>
      </w:pPr>
      <w:r>
        <w:rPr>
          <w:rFonts w:hint="eastAsia" w:cs="@仿宋_GB2312"/>
          <w:color w:val="auto"/>
          <w:kern w:val="2"/>
          <w:sz w:val="24"/>
          <w:szCs w:val="22"/>
          <w:highlight w:val="none"/>
          <w:lang w:val="en-US" w:eastAsia="zh-CN"/>
        </w:rPr>
        <w:t>17</w:t>
      </w:r>
      <w:r>
        <w:rPr>
          <w:rFonts w:hint="eastAsia" w:cs="@仿宋_GB2312"/>
          <w:color w:val="auto"/>
          <w:kern w:val="2"/>
          <w:sz w:val="24"/>
          <w:szCs w:val="22"/>
          <w:highlight w:val="none"/>
        </w:rPr>
        <w:t>.</w:t>
      </w:r>
      <w:r>
        <w:rPr>
          <w:rFonts w:hint="eastAsia" w:cs="@仿宋_GB2312"/>
          <w:color w:val="auto"/>
          <w:kern w:val="2"/>
          <w:sz w:val="24"/>
          <w:szCs w:val="22"/>
          <w:highlight w:val="none"/>
          <w:lang w:val="en-US" w:eastAsia="zh-CN"/>
        </w:rPr>
        <w:t>5</w:t>
      </w:r>
      <w:r>
        <w:rPr>
          <w:rFonts w:hint="eastAsia" w:cs="@仿宋_GB2312"/>
          <w:color w:val="auto"/>
          <w:kern w:val="2"/>
          <w:sz w:val="24"/>
          <w:szCs w:val="22"/>
          <w:highlight w:val="none"/>
        </w:rPr>
        <w:t>供应商应当按照企业定额或项目所在地最新建设工程计价依据以及材料市场价格信息等，结合自身实力、施工经验、现场环境以及谈判文件的要求自主报价。</w:t>
      </w:r>
    </w:p>
    <w:p w14:paraId="6CFED052">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w:t>
      </w:r>
      <w:r>
        <w:rPr>
          <w:rFonts w:hint="eastAsia" w:cs="@仿宋_GB2312" w:asciiTheme="minorEastAsia" w:hAnsiTheme="minorEastAsia" w:eastAsiaTheme="minorEastAsia"/>
          <w:color w:val="auto"/>
          <w:kern w:val="2"/>
          <w:sz w:val="24"/>
          <w:highlight w:val="none"/>
        </w:rPr>
        <w:t>.</w:t>
      </w:r>
      <w:r>
        <w:rPr>
          <w:rFonts w:hint="eastAsia" w:cs="@仿宋_GB2312" w:asciiTheme="minorEastAsia" w:hAnsiTheme="minorEastAsia" w:eastAsiaTheme="minorEastAsia"/>
          <w:color w:val="auto"/>
          <w:kern w:val="2"/>
          <w:sz w:val="24"/>
          <w:highlight w:val="none"/>
          <w:lang w:val="en-US" w:eastAsia="zh-CN"/>
        </w:rPr>
        <w:t>6</w:t>
      </w:r>
      <w:r>
        <w:rPr>
          <w:rFonts w:hint="eastAsia" w:cs="@仿宋_GB2312" w:asciiTheme="minorEastAsia" w:hAnsiTheme="minorEastAsia" w:eastAsiaTheme="minorEastAsia"/>
          <w:color w:val="auto"/>
          <w:kern w:val="2"/>
          <w:sz w:val="24"/>
          <w:highlight w:val="none"/>
        </w:rPr>
        <w:t>除非采购人对谈判文件予以澄清、修改，否则供应商应按采购人提供的工程量清单中列出的工程项目和工程量逐项填报综合单价和合价。供应商不得在工程量清单中任意增删、修改清单项目与工程量及项目排列顺序。</w:t>
      </w:r>
    </w:p>
    <w:p w14:paraId="42BA43D5">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17.7</w:t>
      </w:r>
      <w:r>
        <w:rPr>
          <w:rFonts w:hint="eastAsia" w:cs="@仿宋_GB2312" w:asciiTheme="minorEastAsia" w:hAnsiTheme="minorEastAsia" w:eastAsiaTheme="minorEastAsia"/>
          <w:color w:val="auto"/>
          <w:kern w:val="2"/>
          <w:sz w:val="24"/>
          <w:highlight w:val="none"/>
        </w:rPr>
        <w:t>除非合同中另有规定，供应商在工程量清单报价书中所报的价格包括完成谈判文件规定的全部工程内容及为达到质量和工期目标、安全文明、环境保护等要求的分部分项工程费，措施项目费，不可竞争费，其他项目费，税金等所有费用。为满足工程建设标准和技术规范要求所发生的费用应包括在报价中。报价为供应商在响应文件中提出的各项支付金额的总和。每一清单项目只允许有一个报价，任何有选择的报价将不予接受。供应商未填综合单价或合价的清单项目，将被视为该项费用已包括在其他有价款的综合单价或合价以及总价内，供应商必须按合同要求完成工程量清单中未填综合单价或合价的工程项目，任何与未填综合单价或合价的工程项目有关的工程价款，采购人将不再另行支付。</w:t>
      </w:r>
    </w:p>
    <w:p w14:paraId="15324F47">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w:t>
      </w:r>
      <w:r>
        <w:rPr>
          <w:rFonts w:hint="eastAsia" w:cs="@仿宋_GB2312" w:asciiTheme="minorEastAsia" w:hAnsiTheme="minorEastAsia" w:eastAsiaTheme="minorEastAsia"/>
          <w:color w:val="auto"/>
          <w:kern w:val="2"/>
          <w:sz w:val="24"/>
          <w:highlight w:val="none"/>
        </w:rPr>
        <w:t>.</w:t>
      </w:r>
      <w:r>
        <w:rPr>
          <w:rFonts w:hint="eastAsia" w:cs="@仿宋_GB2312" w:asciiTheme="minorEastAsia" w:hAnsiTheme="minorEastAsia" w:eastAsiaTheme="minorEastAsia"/>
          <w:color w:val="auto"/>
          <w:kern w:val="2"/>
          <w:sz w:val="24"/>
          <w:highlight w:val="none"/>
          <w:lang w:val="en-US" w:eastAsia="zh-CN"/>
        </w:rPr>
        <w:t>8</w:t>
      </w:r>
      <w:r>
        <w:rPr>
          <w:rFonts w:hint="eastAsia" w:cs="@仿宋_GB2312" w:asciiTheme="minorEastAsia" w:hAnsiTheme="minorEastAsia" w:eastAsiaTheme="minorEastAsia"/>
          <w:color w:val="auto"/>
          <w:kern w:val="2"/>
          <w:sz w:val="24"/>
          <w:highlight w:val="none"/>
        </w:rPr>
        <w:t>本项目的施工地点为本须知前附表所述，供应商可到施工现场踏勘以充分了解工地位置、情况、道路、储存空间、装卸限制及任何其它足以影响谈判报价的情况，任何因忽视或误解施工场地情况而导致的索赔或工期延长申请将不被批准。对于受施工现场场地限制，如需要另外寻找场地解决临时住宿、材料及设备堆放，由此所产生的费用应包含在谈判报价范围内，采购人不再承担该费用。</w:t>
      </w:r>
    </w:p>
    <w:p w14:paraId="734CD71A">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17.9</w:t>
      </w:r>
      <w:r>
        <w:rPr>
          <w:rFonts w:hint="eastAsia" w:cs="@仿宋_GB2312" w:asciiTheme="minorEastAsia" w:hAnsiTheme="minorEastAsia" w:eastAsiaTheme="minorEastAsia"/>
          <w:color w:val="auto"/>
          <w:kern w:val="2"/>
          <w:sz w:val="24"/>
          <w:highlight w:val="none"/>
        </w:rPr>
        <w:t>工程造价的确定与控制</w:t>
      </w:r>
    </w:p>
    <w:p w14:paraId="5FDD5149">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17.9</w:t>
      </w:r>
      <w:r>
        <w:rPr>
          <w:rFonts w:hint="eastAsia" w:cs="@仿宋_GB2312" w:asciiTheme="minorEastAsia" w:hAnsiTheme="minorEastAsia" w:eastAsiaTheme="minorEastAsia"/>
          <w:color w:val="auto"/>
          <w:kern w:val="2"/>
          <w:sz w:val="24"/>
          <w:highlight w:val="none"/>
        </w:rPr>
        <w:t>.1本工程确定成交供应商后，工程总造价在谈判范围内包定，除经批准的设计变更、经济签证外，其它工程造价增减均不予签证计价。</w:t>
      </w:r>
    </w:p>
    <w:p w14:paraId="6A3D3A7B">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17.9</w:t>
      </w:r>
      <w:r>
        <w:rPr>
          <w:rFonts w:hint="eastAsia" w:cs="@仿宋_GB2312" w:asciiTheme="minorEastAsia" w:hAnsiTheme="minorEastAsia" w:eastAsiaTheme="minorEastAsia"/>
          <w:color w:val="auto"/>
          <w:kern w:val="2"/>
          <w:sz w:val="24"/>
          <w:highlight w:val="none"/>
        </w:rPr>
        <w:t>.2谈判前，供应商应认真对照施工设计图纸等文件核对采购人提供的工程量清单，发现工程量存在项目划分误差、计量单位误差、数量误差、遗漏项目的，必须在询问截止时间前向采购人提出疑问，否则采购人可不予答复。</w:t>
      </w:r>
    </w:p>
    <w:p w14:paraId="6A4EF6BC">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17.9</w:t>
      </w:r>
      <w:r>
        <w:rPr>
          <w:rFonts w:hint="eastAsia" w:cs="@仿宋_GB2312" w:asciiTheme="minorEastAsia" w:hAnsiTheme="minorEastAsia" w:eastAsiaTheme="minorEastAsia"/>
          <w:color w:val="auto"/>
          <w:kern w:val="2"/>
          <w:sz w:val="24"/>
          <w:highlight w:val="none"/>
        </w:rPr>
        <w:t>.3</w:t>
      </w:r>
      <w:r>
        <w:rPr>
          <w:rFonts w:hint="eastAsia" w:ascii="宋体" w:hAnsi="宋体" w:eastAsia="宋体" w:cs="宋体"/>
          <w:b w:val="0"/>
          <w:bCs w:val="0"/>
          <w:color w:val="auto"/>
          <w:kern w:val="2"/>
          <w:sz w:val="24"/>
          <w:szCs w:val="24"/>
          <w:highlight w:val="none"/>
        </w:rPr>
        <w:t>采购人对疑问应进行核实，确认工程量单项子目误差在±3%（含±3%）以内的，采购人可不予调整工程量，供应商应将其误差考虑在综合单价内；若有遗漏项目或单项子目工程量误差超过±3%的，采购人应进行修正并重新公布准确的工程量清单。</w:t>
      </w:r>
    </w:p>
    <w:p w14:paraId="1BE258B9">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17.9</w:t>
      </w:r>
      <w:r>
        <w:rPr>
          <w:rFonts w:cs="@仿宋_GB2312" w:asciiTheme="minorEastAsia" w:hAnsiTheme="minorEastAsia" w:eastAsiaTheme="minorEastAsia"/>
          <w:color w:val="auto"/>
          <w:kern w:val="2"/>
          <w:sz w:val="24"/>
          <w:highlight w:val="none"/>
        </w:rPr>
        <w:t>.</w:t>
      </w:r>
      <w:r>
        <w:rPr>
          <w:rFonts w:hint="eastAsia" w:cs="@仿宋_GB2312" w:asciiTheme="minorEastAsia" w:hAnsiTheme="minorEastAsia" w:eastAsiaTheme="minorEastAsia"/>
          <w:color w:val="auto"/>
          <w:kern w:val="2"/>
          <w:sz w:val="24"/>
          <w:highlight w:val="none"/>
        </w:rPr>
        <w:t>4供应商在规定时间内未对工程量清单提出疑问的，成交后，采购人不再对工程量清单的项目和数量进行校对调整。供应商必须按其报价完成竞争性谈判文件规定范围内的设计图纸规定的所有工程项目。</w:t>
      </w:r>
    </w:p>
    <w:p w14:paraId="64750B47">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17.10</w:t>
      </w:r>
      <w:r>
        <w:rPr>
          <w:rFonts w:hint="eastAsia" w:cs="@仿宋_GB2312" w:asciiTheme="minorEastAsia" w:hAnsiTheme="minorEastAsia" w:eastAsiaTheme="minorEastAsia"/>
          <w:color w:val="auto"/>
          <w:kern w:val="2"/>
          <w:sz w:val="24"/>
          <w:highlight w:val="none"/>
        </w:rPr>
        <w:t>成交供应商在工程量清单报价书中所报的综合单价一律不予调整。</w:t>
      </w:r>
    </w:p>
    <w:p w14:paraId="05BA83FE">
      <w:pPr>
        <w:spacing w:line="360" w:lineRule="auto"/>
        <w:ind w:firstLine="435"/>
        <w:rPr>
          <w:rFonts w:asciiTheme="minorEastAsia" w:hAnsiTheme="minorEastAsia" w:eastAsiaTheme="minorEastAsia"/>
          <w:color w:val="auto"/>
          <w:sz w:val="24"/>
          <w:highlight w:val="none"/>
        </w:rPr>
      </w:pPr>
      <w:r>
        <w:rPr>
          <w:rFonts w:hint="eastAsia" w:cs="@仿宋_GB2312" w:asciiTheme="minorEastAsia" w:hAnsiTheme="minorEastAsia" w:eastAsiaTheme="minorEastAsia"/>
          <w:color w:val="auto"/>
          <w:kern w:val="2"/>
          <w:sz w:val="24"/>
          <w:highlight w:val="none"/>
          <w:lang w:val="en-US" w:eastAsia="zh-CN"/>
        </w:rPr>
        <w:t>17.11</w:t>
      </w:r>
      <w:r>
        <w:rPr>
          <w:rFonts w:hint="eastAsia" w:cs="@仿宋_GB2312" w:asciiTheme="minorEastAsia" w:hAnsiTheme="minorEastAsia" w:eastAsiaTheme="minorEastAsia"/>
          <w:color w:val="auto"/>
          <w:kern w:val="2"/>
          <w:sz w:val="24"/>
          <w:highlight w:val="none"/>
        </w:rPr>
        <w:t>本工程不接受恶意不平衡报价，不保证最低价成交。</w:t>
      </w:r>
    </w:p>
    <w:p w14:paraId="3AE648D0">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18</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成交候选供应商的推荐原则及标准</w:t>
      </w:r>
    </w:p>
    <w:p w14:paraId="2E4E6331">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18</w:t>
      </w: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谈判小组</w:t>
      </w:r>
      <w:r>
        <w:rPr>
          <w:rFonts w:asciiTheme="minorEastAsia" w:hAnsiTheme="minorEastAsia" w:eastAsiaTheme="minorEastAsia"/>
          <w:color w:val="auto"/>
          <w:sz w:val="24"/>
          <w:highlight w:val="none"/>
        </w:rPr>
        <w:t>依据本项目</w:t>
      </w:r>
      <w:r>
        <w:rPr>
          <w:rFonts w:hint="eastAsia" w:asciiTheme="minorEastAsia" w:hAnsiTheme="minorEastAsia" w:eastAsiaTheme="minorEastAsia"/>
          <w:color w:val="auto"/>
          <w:sz w:val="24"/>
          <w:highlight w:val="none"/>
        </w:rPr>
        <w:t>谈判</w:t>
      </w:r>
      <w:r>
        <w:rPr>
          <w:rFonts w:asciiTheme="minorEastAsia" w:hAnsiTheme="minorEastAsia" w:eastAsiaTheme="minorEastAsia"/>
          <w:color w:val="auto"/>
          <w:sz w:val="24"/>
          <w:highlight w:val="none"/>
        </w:rPr>
        <w:t>文件所约定的</w:t>
      </w:r>
      <w:r>
        <w:rPr>
          <w:rFonts w:hint="eastAsia" w:asciiTheme="minorEastAsia" w:hAnsiTheme="minorEastAsia" w:eastAsiaTheme="minorEastAsia"/>
          <w:color w:val="auto"/>
          <w:sz w:val="24"/>
          <w:highlight w:val="none"/>
        </w:rPr>
        <w:t>评审</w:t>
      </w:r>
      <w:r>
        <w:rPr>
          <w:rFonts w:asciiTheme="minorEastAsia" w:hAnsiTheme="minorEastAsia" w:eastAsiaTheme="minorEastAsia"/>
          <w:color w:val="auto"/>
          <w:sz w:val="24"/>
          <w:highlight w:val="none"/>
        </w:rPr>
        <w:t>方法</w:t>
      </w:r>
      <w:r>
        <w:rPr>
          <w:rFonts w:hint="eastAsia" w:asciiTheme="minorEastAsia" w:hAnsiTheme="minorEastAsia" w:eastAsiaTheme="minorEastAsia"/>
          <w:color w:val="auto"/>
          <w:sz w:val="24"/>
          <w:highlight w:val="none"/>
        </w:rPr>
        <w:t>和</w:t>
      </w:r>
      <w:r>
        <w:rPr>
          <w:rFonts w:asciiTheme="minorEastAsia" w:hAnsiTheme="minorEastAsia" w:eastAsiaTheme="minorEastAsia"/>
          <w:color w:val="auto"/>
          <w:sz w:val="24"/>
          <w:highlight w:val="none"/>
        </w:rPr>
        <w:t>标准，</w:t>
      </w:r>
      <w:r>
        <w:rPr>
          <w:rFonts w:hint="eastAsia" w:asciiTheme="minorEastAsia" w:hAnsiTheme="minorEastAsia" w:eastAsiaTheme="minorEastAsia"/>
          <w:color w:val="auto"/>
          <w:sz w:val="24"/>
          <w:highlight w:val="none"/>
        </w:rPr>
        <w:t>按照最后报价由低到高的顺序依次推荐成交候选人。最后报价相同的，</w:t>
      </w:r>
      <w:r>
        <w:rPr>
          <w:rFonts w:asciiTheme="minorEastAsia" w:hAnsiTheme="minorEastAsia" w:eastAsiaTheme="minorEastAsia"/>
          <w:color w:val="auto"/>
          <w:sz w:val="24"/>
          <w:highlight w:val="none"/>
        </w:rPr>
        <w:t>则</w:t>
      </w:r>
      <w:r>
        <w:rPr>
          <w:rFonts w:hint="eastAsia" w:asciiTheme="minorEastAsia" w:hAnsiTheme="minorEastAsia" w:eastAsiaTheme="minorEastAsia"/>
          <w:color w:val="auto"/>
          <w:sz w:val="24"/>
          <w:highlight w:val="none"/>
        </w:rPr>
        <w:t>由</w:t>
      </w:r>
      <w:r>
        <w:rPr>
          <w:rFonts w:hint="eastAsia" w:asciiTheme="minorEastAsia" w:hAnsiTheme="minorEastAsia" w:eastAsiaTheme="minorEastAsia"/>
          <w:color w:val="auto"/>
          <w:sz w:val="24"/>
          <w:highlight w:val="none"/>
          <w:lang w:val="en-US" w:eastAsia="zh-CN"/>
        </w:rPr>
        <w:t>采购人</w:t>
      </w:r>
      <w:r>
        <w:rPr>
          <w:rFonts w:hint="eastAsia" w:asciiTheme="minorEastAsia" w:hAnsiTheme="minorEastAsia" w:eastAsiaTheme="minorEastAsia"/>
          <w:color w:val="auto"/>
          <w:sz w:val="24"/>
          <w:highlight w:val="none"/>
        </w:rPr>
        <w:t>采取随机抽取方式确定。</w:t>
      </w:r>
    </w:p>
    <w:p w14:paraId="7FF73F86">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19</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确定成交候选供应商和成交供应商</w:t>
      </w:r>
    </w:p>
    <w:p w14:paraId="5B1E3209">
      <w:pPr>
        <w:spacing w:line="360" w:lineRule="auto"/>
        <w:ind w:firstLine="435"/>
        <w:rPr>
          <w:rFonts w:asciiTheme="minorEastAsia" w:hAnsiTheme="minorEastAsia" w:eastAsiaTheme="minorEastAsia"/>
          <w:color w:val="auto"/>
          <w:sz w:val="24"/>
          <w:highlight w:val="none"/>
        </w:rPr>
      </w:pPr>
      <w:r>
        <w:rPr>
          <w:rFonts w:hint="eastAsia"/>
          <w:color w:val="auto"/>
          <w:sz w:val="24"/>
          <w:highlight w:val="none"/>
          <w:lang w:val="en-US" w:eastAsia="zh-CN"/>
        </w:rPr>
        <w:t>19</w:t>
      </w:r>
      <w:r>
        <w:rPr>
          <w:rFonts w:hint="eastAsia"/>
          <w:color w:val="auto"/>
          <w:sz w:val="24"/>
          <w:highlight w:val="none"/>
        </w:rPr>
        <w:t>.1谈判小组按照最后报价由低到高的顺序和</w:t>
      </w:r>
      <w:r>
        <w:rPr>
          <w:rFonts w:hint="eastAsia" w:asciiTheme="minorEastAsia" w:hAnsiTheme="minorEastAsia" w:eastAsiaTheme="minorEastAsia"/>
          <w:color w:val="auto"/>
          <w:sz w:val="24"/>
          <w:highlight w:val="none"/>
          <w:u w:val="single"/>
        </w:rPr>
        <w:t>供应商</w:t>
      </w:r>
      <w:r>
        <w:rPr>
          <w:rFonts w:asciiTheme="minorEastAsia" w:hAnsiTheme="minorEastAsia" w:eastAsiaTheme="minorEastAsia"/>
          <w:color w:val="auto"/>
          <w:sz w:val="24"/>
          <w:highlight w:val="none"/>
          <w:u w:val="single"/>
        </w:rPr>
        <w:t>须知前附表</w:t>
      </w:r>
      <w:r>
        <w:rPr>
          <w:rFonts w:asciiTheme="minorEastAsia" w:hAnsiTheme="minorEastAsia" w:eastAsiaTheme="minorEastAsia"/>
          <w:color w:val="auto"/>
          <w:sz w:val="24"/>
          <w:highlight w:val="none"/>
        </w:rPr>
        <w:t>中规定</w:t>
      </w:r>
      <w:r>
        <w:rPr>
          <w:rFonts w:hint="eastAsia"/>
          <w:color w:val="auto"/>
          <w:sz w:val="24"/>
          <w:highlight w:val="none"/>
        </w:rPr>
        <w:t>确定成交候选人，并标明排列顺序。</w:t>
      </w:r>
      <w:r>
        <w:rPr>
          <w:rFonts w:hint="eastAsia" w:asciiTheme="minorEastAsia" w:hAnsiTheme="minorEastAsia" w:eastAsiaTheme="minorEastAsia"/>
          <w:color w:val="auto"/>
          <w:sz w:val="24"/>
          <w:highlight w:val="none"/>
        </w:rPr>
        <w:t>按</w:t>
      </w:r>
      <w:r>
        <w:rPr>
          <w:rFonts w:hint="eastAsia" w:asciiTheme="minorEastAsia" w:hAnsiTheme="minorEastAsia" w:eastAsiaTheme="minorEastAsia"/>
          <w:color w:val="auto"/>
          <w:sz w:val="24"/>
          <w:highlight w:val="none"/>
          <w:u w:val="single"/>
          <w:lang w:val="en-US" w:eastAsia="zh-CN"/>
        </w:rPr>
        <w:t>供应商</w:t>
      </w:r>
      <w:r>
        <w:rPr>
          <w:rFonts w:asciiTheme="minorEastAsia" w:hAnsiTheme="minorEastAsia" w:eastAsiaTheme="minorEastAsia"/>
          <w:color w:val="auto"/>
          <w:sz w:val="24"/>
          <w:highlight w:val="none"/>
          <w:u w:val="single"/>
        </w:rPr>
        <w:t>须知前附表</w:t>
      </w:r>
      <w:r>
        <w:rPr>
          <w:rFonts w:hint="eastAsia" w:asciiTheme="minorEastAsia" w:hAnsiTheme="minorEastAsia" w:eastAsiaTheme="minorEastAsia"/>
          <w:color w:val="auto"/>
          <w:sz w:val="24"/>
          <w:highlight w:val="none"/>
        </w:rPr>
        <w:t>中规定，</w:t>
      </w:r>
      <w:r>
        <w:rPr>
          <w:rFonts w:asciiTheme="minorEastAsia" w:hAnsiTheme="minorEastAsia" w:eastAsiaTheme="minorEastAsia"/>
          <w:color w:val="auto"/>
          <w:sz w:val="24"/>
          <w:highlight w:val="none"/>
        </w:rPr>
        <w:t>由</w:t>
      </w:r>
      <w:r>
        <w:rPr>
          <w:rFonts w:hint="eastAsia" w:asciiTheme="minorEastAsia" w:hAnsiTheme="minorEastAsia" w:eastAsiaTheme="minorEastAsia"/>
          <w:color w:val="auto"/>
          <w:sz w:val="24"/>
          <w:highlight w:val="none"/>
          <w:lang w:val="en-US" w:eastAsia="zh-CN"/>
        </w:rPr>
        <w:t>谈判小组</w:t>
      </w:r>
      <w:r>
        <w:rPr>
          <w:rFonts w:asciiTheme="minorEastAsia" w:hAnsiTheme="minorEastAsia" w:eastAsiaTheme="minorEastAsia"/>
          <w:color w:val="auto"/>
          <w:sz w:val="24"/>
          <w:highlight w:val="none"/>
        </w:rPr>
        <w:t>或采购人确定</w:t>
      </w:r>
      <w:r>
        <w:rPr>
          <w:rFonts w:hint="eastAsia" w:asciiTheme="minorEastAsia" w:hAnsiTheme="minorEastAsia" w:eastAsiaTheme="minorEastAsia"/>
          <w:color w:val="auto"/>
          <w:sz w:val="24"/>
          <w:highlight w:val="none"/>
          <w:lang w:val="en-US" w:eastAsia="zh-CN"/>
        </w:rPr>
        <w:t>成交供应商</w:t>
      </w:r>
      <w:r>
        <w:rPr>
          <w:rFonts w:asciiTheme="minorEastAsia" w:hAnsiTheme="minorEastAsia" w:eastAsiaTheme="minorEastAsia"/>
          <w:color w:val="auto"/>
          <w:sz w:val="24"/>
          <w:highlight w:val="none"/>
        </w:rPr>
        <w:t>。</w:t>
      </w:r>
    </w:p>
    <w:p w14:paraId="1E35BC25">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20</w:t>
      </w:r>
      <w:r>
        <w:rPr>
          <w:rFonts w:asciiTheme="minorEastAsia" w:hAnsiTheme="minorEastAsia" w:eastAsiaTheme="minorEastAsia"/>
          <w:b/>
          <w:color w:val="auto"/>
          <w:sz w:val="24"/>
          <w:highlight w:val="none"/>
        </w:rPr>
        <w:t>.编写评审报告</w:t>
      </w:r>
    </w:p>
    <w:p w14:paraId="52FA3FE8">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20</w:t>
      </w:r>
      <w:r>
        <w:rPr>
          <w:rFonts w:hint="eastAsia" w:asciiTheme="minorEastAsia" w:hAnsiTheme="minorEastAsia" w:eastAsiaTheme="minorEastAsia"/>
          <w:color w:val="auto"/>
          <w:sz w:val="24"/>
          <w:highlight w:val="none"/>
        </w:rPr>
        <w:t>.1评审报告是根据全体谈判小组成员签字的原始评审记录和评审结果编写的报告，评审报告由谈判小组全体成员签字。对评审结论持有异议的谈判小组成员可以书面方式阐述其不同意见和理由。谈判小组成员拒绝在评审报告上签字且不陈述其不同意见和理由的，视为同意评审结论。</w:t>
      </w:r>
    </w:p>
    <w:p w14:paraId="2F72A9F8">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2</w:t>
      </w:r>
      <w:r>
        <w:rPr>
          <w:rFonts w:hint="eastAsia" w:asciiTheme="minorEastAsia" w:hAnsiTheme="minorEastAsia" w:eastAsiaTheme="minorEastAsia"/>
          <w:b/>
          <w:color w:val="auto"/>
          <w:sz w:val="24"/>
          <w:highlight w:val="none"/>
          <w:lang w:val="en-US" w:eastAsia="zh-CN"/>
        </w:rPr>
        <w:t>1</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保密要求</w:t>
      </w:r>
    </w:p>
    <w:p w14:paraId="7FE53478">
      <w:pPr>
        <w:spacing w:line="360" w:lineRule="auto"/>
        <w:ind w:firstLine="435"/>
        <w:rPr>
          <w:color w:val="auto"/>
          <w:sz w:val="24"/>
          <w:highlight w:val="none"/>
        </w:rPr>
      </w:pPr>
      <w:r>
        <w:rPr>
          <w:color w:val="auto"/>
          <w:sz w:val="24"/>
          <w:highlight w:val="none"/>
        </w:rPr>
        <w:t>2</w:t>
      </w:r>
      <w:r>
        <w:rPr>
          <w:rFonts w:hint="eastAsia"/>
          <w:color w:val="auto"/>
          <w:sz w:val="24"/>
          <w:highlight w:val="none"/>
          <w:lang w:val="en-US" w:eastAsia="zh-CN"/>
        </w:rPr>
        <w:t>1</w:t>
      </w:r>
      <w:r>
        <w:rPr>
          <w:rFonts w:hint="eastAsia"/>
          <w:color w:val="auto"/>
          <w:sz w:val="24"/>
          <w:highlight w:val="none"/>
        </w:rPr>
        <w:t>.1评审将在严格保密的情况下进行。</w:t>
      </w:r>
    </w:p>
    <w:p w14:paraId="4C51A051">
      <w:pPr>
        <w:keepNext w:val="0"/>
        <w:keepLines w:val="0"/>
        <w:pageBreakBefore w:val="0"/>
        <w:widowControl w:val="0"/>
        <w:kinsoku/>
        <w:wordWrap w:val="0"/>
        <w:overflowPunct/>
        <w:topLinePunct/>
        <w:autoSpaceDE/>
        <w:autoSpaceDN/>
        <w:bidi w:val="0"/>
        <w:adjustRightInd/>
        <w:snapToGrid/>
        <w:spacing w:line="360" w:lineRule="auto"/>
        <w:ind w:firstLine="435"/>
        <w:textAlignment w:val="auto"/>
        <w:rPr>
          <w:color w:val="auto"/>
          <w:sz w:val="24"/>
          <w:highlight w:val="none"/>
        </w:rPr>
      </w:pPr>
      <w:r>
        <w:rPr>
          <w:color w:val="auto"/>
          <w:sz w:val="24"/>
          <w:highlight w:val="none"/>
        </w:rPr>
        <w:t>2</w:t>
      </w:r>
      <w:r>
        <w:rPr>
          <w:rFonts w:hint="eastAsia"/>
          <w:color w:val="auto"/>
          <w:sz w:val="24"/>
          <w:highlight w:val="none"/>
          <w:lang w:val="en-US" w:eastAsia="zh-CN"/>
        </w:rPr>
        <w:t>1</w:t>
      </w:r>
      <w:r>
        <w:rPr>
          <w:rFonts w:hint="eastAsia"/>
          <w:color w:val="auto"/>
          <w:sz w:val="24"/>
          <w:highlight w:val="none"/>
        </w:rPr>
        <w:t>.2有关人员</w:t>
      </w:r>
      <w:r>
        <w:rPr>
          <w:color w:val="auto"/>
          <w:sz w:val="24"/>
          <w:highlight w:val="none"/>
        </w:rPr>
        <w:t>应当</w:t>
      </w:r>
      <w:r>
        <w:rPr>
          <w:rFonts w:hint="eastAsia"/>
          <w:color w:val="auto"/>
          <w:sz w:val="24"/>
          <w:highlight w:val="none"/>
        </w:rPr>
        <w:t>遵</w:t>
      </w:r>
      <w:r>
        <w:rPr>
          <w:color w:val="auto"/>
          <w:sz w:val="24"/>
          <w:highlight w:val="none"/>
        </w:rPr>
        <w:t>守</w:t>
      </w:r>
      <w:r>
        <w:rPr>
          <w:rFonts w:hint="eastAsia"/>
          <w:color w:val="auto"/>
          <w:sz w:val="24"/>
          <w:highlight w:val="none"/>
        </w:rPr>
        <w:t>评审</w:t>
      </w:r>
      <w:r>
        <w:rPr>
          <w:color w:val="auto"/>
          <w:sz w:val="24"/>
          <w:highlight w:val="none"/>
        </w:rPr>
        <w:t>工作纪律，不得</w:t>
      </w:r>
      <w:r>
        <w:rPr>
          <w:rFonts w:hint="eastAsia"/>
          <w:color w:val="auto"/>
          <w:sz w:val="24"/>
          <w:highlight w:val="none"/>
        </w:rPr>
        <w:t>泄露评审文件</w:t>
      </w:r>
      <w:r>
        <w:rPr>
          <w:color w:val="auto"/>
          <w:sz w:val="24"/>
          <w:highlight w:val="none"/>
        </w:rPr>
        <w:t>、</w:t>
      </w:r>
      <w:r>
        <w:rPr>
          <w:rFonts w:hint="eastAsia"/>
          <w:color w:val="auto"/>
          <w:sz w:val="24"/>
          <w:highlight w:val="none"/>
        </w:rPr>
        <w:t>评审</w:t>
      </w:r>
      <w:r>
        <w:rPr>
          <w:color w:val="auto"/>
          <w:sz w:val="24"/>
          <w:highlight w:val="none"/>
        </w:rPr>
        <w:t>情况和</w:t>
      </w:r>
      <w:r>
        <w:rPr>
          <w:rFonts w:hint="eastAsia"/>
          <w:color w:val="auto"/>
          <w:sz w:val="24"/>
          <w:highlight w:val="none"/>
        </w:rPr>
        <w:t>评审</w:t>
      </w:r>
      <w:r>
        <w:rPr>
          <w:color w:val="auto"/>
          <w:sz w:val="24"/>
          <w:highlight w:val="none"/>
        </w:rPr>
        <w:t>中获悉的</w:t>
      </w:r>
      <w:r>
        <w:rPr>
          <w:rFonts w:hint="eastAsia"/>
          <w:color w:val="auto"/>
          <w:sz w:val="24"/>
          <w:highlight w:val="none"/>
        </w:rPr>
        <w:t>国家秘密、</w:t>
      </w:r>
      <w:r>
        <w:rPr>
          <w:color w:val="auto"/>
          <w:sz w:val="24"/>
          <w:highlight w:val="none"/>
        </w:rPr>
        <w:t>商业秘密。</w:t>
      </w:r>
    </w:p>
    <w:p w14:paraId="644B10C7">
      <w:pPr>
        <w:keepNext w:val="0"/>
        <w:keepLines w:val="0"/>
        <w:pageBreakBefore w:val="0"/>
        <w:widowControl w:val="0"/>
        <w:kinsoku/>
        <w:wordWrap w:val="0"/>
        <w:overflowPunct/>
        <w:topLinePunct/>
        <w:autoSpaceDE/>
        <w:autoSpaceDN/>
        <w:bidi w:val="0"/>
        <w:adjustRightInd/>
        <w:snapToGrid/>
        <w:spacing w:line="360" w:lineRule="auto"/>
        <w:ind w:firstLine="437"/>
        <w:textAlignment w:val="auto"/>
        <w:outlineLvl w:val="2"/>
        <w:rPr>
          <w:rFonts w:asciiTheme="minorEastAsia" w:hAnsiTheme="minorEastAsia" w:eastAsiaTheme="minorEastAsia"/>
          <w:b/>
          <w:color w:val="auto"/>
          <w:sz w:val="24"/>
          <w:highlight w:val="none"/>
        </w:rPr>
      </w:pPr>
      <w:r>
        <w:rPr>
          <w:rFonts w:asciiTheme="minorEastAsia" w:hAnsiTheme="minorEastAsia" w:eastAsiaTheme="minorEastAsia"/>
          <w:b/>
          <w:color w:val="auto"/>
          <w:sz w:val="24"/>
          <w:highlight w:val="none"/>
        </w:rPr>
        <w:t>2</w:t>
      </w:r>
      <w:r>
        <w:rPr>
          <w:rFonts w:hint="eastAsia" w:asciiTheme="minorEastAsia" w:hAnsiTheme="minorEastAsia" w:eastAsiaTheme="minorEastAsia"/>
          <w:b/>
          <w:color w:val="auto"/>
          <w:sz w:val="24"/>
          <w:highlight w:val="none"/>
          <w:lang w:val="en-US" w:eastAsia="zh-CN"/>
        </w:rPr>
        <w:t>2</w:t>
      </w:r>
      <w:r>
        <w:rPr>
          <w:rFonts w:asciiTheme="minorEastAsia" w:hAnsiTheme="minorEastAsia" w:eastAsiaTheme="minorEastAsia"/>
          <w:b/>
          <w:color w:val="auto"/>
          <w:sz w:val="24"/>
          <w:highlight w:val="none"/>
        </w:rPr>
        <w:t>.成交结果公告</w:t>
      </w:r>
    </w:p>
    <w:p w14:paraId="7DF6CD42">
      <w:pPr>
        <w:keepNext w:val="0"/>
        <w:keepLines w:val="0"/>
        <w:pageBreakBefore w:val="0"/>
        <w:widowControl w:val="0"/>
        <w:kinsoku/>
        <w:wordWrap w:val="0"/>
        <w:overflowPunct/>
        <w:topLinePunct/>
        <w:autoSpaceDE/>
        <w:autoSpaceDN/>
        <w:bidi w:val="0"/>
        <w:adjustRightInd/>
        <w:snapToGrid/>
        <w:spacing w:line="360" w:lineRule="auto"/>
        <w:ind w:firstLine="437"/>
        <w:textAlignment w:val="auto"/>
        <w:rPr>
          <w:rFonts w:asciiTheme="minorEastAsia" w:hAnsiTheme="minorEastAsia" w:eastAsiaTheme="minorEastAsia"/>
          <w:b/>
          <w:bCs/>
          <w:color w:val="auto"/>
          <w:sz w:val="24"/>
          <w:highlight w:val="none"/>
        </w:rPr>
      </w:pPr>
      <w:r>
        <w:rPr>
          <w:rFonts w:asciiTheme="minorEastAsia" w:hAnsiTheme="minorEastAsia" w:eastAsiaTheme="minorEastAsia"/>
          <w:b/>
          <w:bCs/>
          <w:color w:val="auto"/>
          <w:sz w:val="24"/>
          <w:highlight w:val="none"/>
        </w:rPr>
        <w:t>2</w:t>
      </w:r>
      <w:r>
        <w:rPr>
          <w:rFonts w:hint="eastAsia" w:asciiTheme="minorEastAsia" w:hAnsiTheme="minorEastAsia" w:eastAsiaTheme="minorEastAsia"/>
          <w:b/>
          <w:bCs/>
          <w:color w:val="auto"/>
          <w:sz w:val="24"/>
          <w:highlight w:val="none"/>
          <w:lang w:val="en-US" w:eastAsia="zh-CN"/>
        </w:rPr>
        <w:t>2</w:t>
      </w:r>
      <w:r>
        <w:rPr>
          <w:rFonts w:asciiTheme="minorEastAsia" w:hAnsiTheme="minorEastAsia" w:eastAsiaTheme="minorEastAsia"/>
          <w:b/>
          <w:bCs/>
          <w:color w:val="auto"/>
          <w:sz w:val="24"/>
          <w:highlight w:val="none"/>
        </w:rPr>
        <w:t>.1为体现“公开、公平、公正”的原则，谈判结束后，</w:t>
      </w:r>
      <w:r>
        <w:rPr>
          <w:rFonts w:hint="eastAsia" w:asciiTheme="minorEastAsia" w:hAnsiTheme="minorEastAsia" w:eastAsiaTheme="minorEastAsia"/>
          <w:b/>
          <w:bCs/>
          <w:color w:val="auto"/>
          <w:sz w:val="24"/>
          <w:highlight w:val="none"/>
        </w:rPr>
        <w:t>采购代理机构将</w:t>
      </w:r>
      <w:r>
        <w:rPr>
          <w:rFonts w:hint="eastAsia"/>
          <w:b/>
          <w:bCs/>
          <w:color w:val="auto"/>
          <w:sz w:val="24"/>
          <w:szCs w:val="18"/>
          <w:highlight w:val="none"/>
        </w:rPr>
        <w:t>在</w:t>
      </w:r>
      <w:r>
        <w:rPr>
          <w:rFonts w:hint="eastAsia" w:asciiTheme="minorEastAsia" w:hAnsiTheme="minorEastAsia" w:eastAsiaTheme="minorEastAsia" w:cstheme="minorEastAsia"/>
          <w:b/>
          <w:bCs/>
          <w:color w:val="auto"/>
          <w:kern w:val="0"/>
          <w:sz w:val="24"/>
          <w:szCs w:val="24"/>
          <w:highlight w:val="none"/>
          <w:u w:val="single"/>
          <w:lang w:val="en-US" w:eastAsia="zh-CN"/>
        </w:rPr>
        <w:t>定远县人民政府网（http://www.dyxzyy.com/xxgk.html）</w:t>
      </w:r>
      <w:r>
        <w:rPr>
          <w:rFonts w:hint="eastAsia" w:cs="宋体"/>
          <w:b/>
          <w:bCs/>
          <w:color w:val="auto"/>
          <w:sz w:val="21"/>
          <w:szCs w:val="21"/>
          <w:u w:val="single"/>
          <w:lang w:val="en-US" w:eastAsia="zh-CN"/>
        </w:rPr>
        <w:t>--</w:t>
      </w:r>
      <w:r>
        <w:rPr>
          <w:rFonts w:hint="eastAsia" w:asciiTheme="minorEastAsia" w:hAnsiTheme="minorEastAsia" w:eastAsiaTheme="minorEastAsia" w:cstheme="minorEastAsia"/>
          <w:b/>
          <w:bCs/>
          <w:color w:val="auto"/>
          <w:kern w:val="0"/>
          <w:sz w:val="24"/>
          <w:szCs w:val="24"/>
          <w:highlight w:val="none"/>
          <w:u w:val="single"/>
          <w:lang w:val="en-US" w:eastAsia="zh-CN"/>
        </w:rPr>
        <w:t>政务信息公开</w:t>
      </w:r>
      <w:r>
        <w:rPr>
          <w:rFonts w:hint="eastAsia" w:cs="宋体"/>
          <w:b/>
          <w:bCs/>
          <w:color w:val="auto"/>
          <w:sz w:val="21"/>
          <w:szCs w:val="21"/>
          <w:u w:val="single"/>
          <w:lang w:val="en-US" w:eastAsia="zh-CN"/>
        </w:rPr>
        <w:t>--</w:t>
      </w:r>
      <w:r>
        <w:rPr>
          <w:rFonts w:hint="eastAsia"/>
          <w:b/>
          <w:bCs/>
          <w:color w:val="auto"/>
          <w:sz w:val="24"/>
          <w:szCs w:val="18"/>
          <w:highlight w:val="none"/>
          <w:u w:val="single"/>
          <w:lang w:val="en-US" w:eastAsia="zh-CN"/>
        </w:rPr>
        <w:t>定远县总医院</w:t>
      </w:r>
      <w:r>
        <w:rPr>
          <w:rFonts w:hint="eastAsia"/>
          <w:b/>
          <w:bCs/>
          <w:color w:val="auto"/>
          <w:sz w:val="24"/>
          <w:szCs w:val="18"/>
          <w:highlight w:val="none"/>
        </w:rPr>
        <w:t>上</w:t>
      </w:r>
      <w:r>
        <w:rPr>
          <w:rFonts w:asciiTheme="minorEastAsia" w:hAnsiTheme="minorEastAsia" w:eastAsiaTheme="minorEastAsia"/>
          <w:b/>
          <w:bCs/>
          <w:color w:val="auto"/>
          <w:sz w:val="24"/>
          <w:highlight w:val="none"/>
        </w:rPr>
        <w:t>发布成交结果公告。</w:t>
      </w:r>
    </w:p>
    <w:p w14:paraId="3569EE0C">
      <w:pPr>
        <w:keepNext w:val="0"/>
        <w:keepLines w:val="0"/>
        <w:pageBreakBefore w:val="0"/>
        <w:widowControl w:val="0"/>
        <w:kinsoku/>
        <w:wordWrap w:val="0"/>
        <w:overflowPunct/>
        <w:topLinePunct/>
        <w:autoSpaceDE/>
        <w:autoSpaceDN/>
        <w:bidi w:val="0"/>
        <w:adjustRightInd/>
        <w:snapToGrid/>
        <w:spacing w:line="360" w:lineRule="auto"/>
        <w:ind w:firstLine="435"/>
        <w:textAlignment w:val="auto"/>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2</w:t>
      </w:r>
      <w:r>
        <w:rPr>
          <w:rFonts w:hint="eastAsia" w:asciiTheme="minorEastAsia" w:hAnsiTheme="minorEastAsia" w:eastAsiaTheme="minorEastAsia"/>
          <w:color w:val="auto"/>
          <w:sz w:val="24"/>
          <w:highlight w:val="none"/>
          <w:lang w:val="en-US" w:eastAsia="zh-CN"/>
        </w:rPr>
        <w:t>2</w:t>
      </w:r>
      <w:r>
        <w:rPr>
          <w:rFonts w:asciiTheme="minorEastAsia" w:hAnsiTheme="minorEastAsia" w:eastAsiaTheme="minorEastAsia"/>
          <w:color w:val="auto"/>
          <w:sz w:val="24"/>
          <w:highlight w:val="none"/>
        </w:rPr>
        <w:t>.2成交结果公告内容应当包括采购人及其委托的采购代理机构的名称、地址、联系方式，项目名称和项目编号，成交供应商名称、地址和成交金额，主要成交标的的名称、规格型号、数量、单价、服务要求，成交结果公告期限、评审专家名单以及</w:t>
      </w:r>
      <w:r>
        <w:rPr>
          <w:rFonts w:hint="eastAsia" w:asciiTheme="minorEastAsia" w:hAnsiTheme="minorEastAsia" w:eastAsiaTheme="minorEastAsia"/>
          <w:color w:val="auto"/>
          <w:sz w:val="24"/>
          <w:highlight w:val="none"/>
          <w:u w:val="single"/>
        </w:rPr>
        <w:t>供应商须知前附表</w:t>
      </w:r>
      <w:r>
        <w:rPr>
          <w:rFonts w:asciiTheme="minorEastAsia" w:hAnsiTheme="minorEastAsia" w:eastAsiaTheme="minorEastAsia"/>
          <w:color w:val="auto"/>
          <w:sz w:val="24"/>
          <w:highlight w:val="none"/>
        </w:rPr>
        <w:t>中约定进行公告的内容。</w:t>
      </w:r>
    </w:p>
    <w:p w14:paraId="253E2905">
      <w:pPr>
        <w:spacing w:line="360" w:lineRule="auto"/>
        <w:ind w:firstLine="437"/>
        <w:outlineLvl w:val="2"/>
        <w:rPr>
          <w:b/>
          <w:color w:val="auto"/>
          <w:sz w:val="24"/>
          <w:highlight w:val="none"/>
        </w:rPr>
      </w:pPr>
      <w:r>
        <w:rPr>
          <w:b/>
          <w:color w:val="auto"/>
          <w:sz w:val="24"/>
          <w:highlight w:val="none"/>
        </w:rPr>
        <w:t>2</w:t>
      </w:r>
      <w:r>
        <w:rPr>
          <w:rFonts w:hint="eastAsia"/>
          <w:b/>
          <w:color w:val="auto"/>
          <w:sz w:val="24"/>
          <w:highlight w:val="none"/>
          <w:lang w:val="en-US" w:eastAsia="zh-CN"/>
        </w:rPr>
        <w:t>3</w:t>
      </w:r>
      <w:r>
        <w:rPr>
          <w:b/>
          <w:color w:val="auto"/>
          <w:sz w:val="24"/>
          <w:highlight w:val="none"/>
        </w:rPr>
        <w:t>.成交通知书</w:t>
      </w:r>
    </w:p>
    <w:p w14:paraId="188BE919">
      <w:pPr>
        <w:spacing w:line="360" w:lineRule="auto"/>
        <w:ind w:firstLine="435"/>
        <w:rPr>
          <w:color w:val="auto"/>
          <w:sz w:val="24"/>
          <w:highlight w:val="none"/>
        </w:rPr>
      </w:pPr>
      <w:r>
        <w:rPr>
          <w:color w:val="auto"/>
          <w:sz w:val="24"/>
          <w:highlight w:val="none"/>
        </w:rPr>
        <w:t>2</w:t>
      </w:r>
      <w:r>
        <w:rPr>
          <w:rFonts w:hint="eastAsia"/>
          <w:color w:val="auto"/>
          <w:sz w:val="24"/>
          <w:highlight w:val="none"/>
          <w:lang w:val="en-US" w:eastAsia="zh-CN"/>
        </w:rPr>
        <w:t>3</w:t>
      </w:r>
      <w:r>
        <w:rPr>
          <w:color w:val="auto"/>
          <w:sz w:val="24"/>
          <w:highlight w:val="none"/>
        </w:rPr>
        <w:t>.1采购代理机构发布成交结果公告的同时</w:t>
      </w:r>
      <w:r>
        <w:rPr>
          <w:rFonts w:asciiTheme="minorEastAsia" w:hAnsiTheme="minorEastAsia" w:eastAsiaTheme="minorEastAsia"/>
          <w:color w:val="auto"/>
          <w:sz w:val="24"/>
          <w:highlight w:val="none"/>
        </w:rPr>
        <w:t>以</w:t>
      </w:r>
      <w:r>
        <w:rPr>
          <w:rFonts w:hint="eastAsia" w:asciiTheme="minorEastAsia" w:hAnsiTheme="minorEastAsia" w:eastAsiaTheme="minorEastAsia"/>
          <w:color w:val="auto"/>
          <w:sz w:val="24"/>
          <w:highlight w:val="none"/>
          <w:u w:val="single"/>
        </w:rPr>
        <w:t>供应商须知前附表</w:t>
      </w:r>
      <w:r>
        <w:rPr>
          <w:rFonts w:hint="eastAsia" w:asciiTheme="minorEastAsia" w:hAnsiTheme="minorEastAsia" w:eastAsiaTheme="minorEastAsia"/>
          <w:color w:val="auto"/>
          <w:sz w:val="24"/>
          <w:highlight w:val="none"/>
        </w:rPr>
        <w:t>规定的</w:t>
      </w:r>
      <w:r>
        <w:rPr>
          <w:rFonts w:asciiTheme="minorEastAsia" w:hAnsiTheme="minorEastAsia" w:eastAsiaTheme="minorEastAsia"/>
          <w:color w:val="auto"/>
          <w:sz w:val="24"/>
          <w:highlight w:val="none"/>
        </w:rPr>
        <w:t>形式</w:t>
      </w:r>
      <w:r>
        <w:rPr>
          <w:color w:val="auto"/>
          <w:sz w:val="24"/>
          <w:highlight w:val="none"/>
        </w:rPr>
        <w:t>向成交供应商发出成交通知书。</w:t>
      </w:r>
    </w:p>
    <w:p w14:paraId="3D34BD55">
      <w:pPr>
        <w:spacing w:line="360" w:lineRule="auto"/>
        <w:ind w:firstLine="435"/>
        <w:rPr>
          <w:color w:val="auto"/>
          <w:sz w:val="24"/>
          <w:highlight w:val="none"/>
        </w:rPr>
      </w:pPr>
      <w:r>
        <w:rPr>
          <w:color w:val="auto"/>
          <w:sz w:val="24"/>
          <w:highlight w:val="none"/>
        </w:rPr>
        <w:t>2</w:t>
      </w:r>
      <w:r>
        <w:rPr>
          <w:rFonts w:hint="eastAsia"/>
          <w:color w:val="auto"/>
          <w:sz w:val="24"/>
          <w:highlight w:val="none"/>
          <w:lang w:val="en-US" w:eastAsia="zh-CN"/>
        </w:rPr>
        <w:t>3</w:t>
      </w:r>
      <w:r>
        <w:rPr>
          <w:color w:val="auto"/>
          <w:sz w:val="24"/>
          <w:highlight w:val="none"/>
        </w:rPr>
        <w:t>.2成交通知书对采购人和成交供应商具有同等法律效力。成交通知书发出以后，采购人改变成交结果或者成交供应商放弃成交资格，应当承担相应的法律责任。</w:t>
      </w:r>
    </w:p>
    <w:p w14:paraId="534FBF7E">
      <w:pPr>
        <w:spacing w:line="360" w:lineRule="auto"/>
        <w:ind w:firstLine="435"/>
        <w:rPr>
          <w:color w:val="auto"/>
          <w:sz w:val="24"/>
          <w:highlight w:val="none"/>
        </w:rPr>
      </w:pPr>
      <w:r>
        <w:rPr>
          <w:color w:val="auto"/>
          <w:sz w:val="24"/>
          <w:highlight w:val="none"/>
        </w:rPr>
        <w:t>2</w:t>
      </w:r>
      <w:r>
        <w:rPr>
          <w:rFonts w:hint="eastAsia"/>
          <w:color w:val="auto"/>
          <w:sz w:val="24"/>
          <w:highlight w:val="none"/>
          <w:lang w:val="en-US" w:eastAsia="zh-CN"/>
        </w:rPr>
        <w:t>3</w:t>
      </w:r>
      <w:r>
        <w:rPr>
          <w:color w:val="auto"/>
          <w:sz w:val="24"/>
          <w:highlight w:val="none"/>
        </w:rPr>
        <w:t>.3成交通知书是合同的组成部分。</w:t>
      </w:r>
    </w:p>
    <w:p w14:paraId="1E7B0C02">
      <w:pPr>
        <w:spacing w:line="360" w:lineRule="auto"/>
        <w:ind w:firstLine="437"/>
        <w:outlineLvl w:val="2"/>
        <w:rPr>
          <w:b/>
          <w:color w:val="auto"/>
          <w:sz w:val="24"/>
          <w:highlight w:val="none"/>
        </w:rPr>
      </w:pPr>
      <w:r>
        <w:rPr>
          <w:rFonts w:hint="eastAsia"/>
          <w:b/>
          <w:color w:val="auto"/>
          <w:sz w:val="24"/>
          <w:highlight w:val="none"/>
        </w:rPr>
        <w:t>2</w:t>
      </w:r>
      <w:r>
        <w:rPr>
          <w:rFonts w:hint="eastAsia"/>
          <w:b/>
          <w:color w:val="auto"/>
          <w:sz w:val="24"/>
          <w:highlight w:val="none"/>
          <w:lang w:val="en-US" w:eastAsia="zh-CN"/>
        </w:rPr>
        <w:t>4</w:t>
      </w:r>
      <w:r>
        <w:rPr>
          <w:b/>
          <w:color w:val="auto"/>
          <w:sz w:val="24"/>
          <w:highlight w:val="none"/>
        </w:rPr>
        <w:t>.告知</w:t>
      </w:r>
      <w:r>
        <w:rPr>
          <w:rFonts w:hint="eastAsia" w:asciiTheme="minorEastAsia" w:hAnsiTheme="minorEastAsia" w:eastAsiaTheme="minorEastAsia"/>
          <w:b/>
          <w:color w:val="auto"/>
          <w:sz w:val="24"/>
          <w:highlight w:val="none"/>
        </w:rPr>
        <w:t>谈判</w:t>
      </w:r>
      <w:r>
        <w:rPr>
          <w:b/>
          <w:color w:val="auto"/>
          <w:sz w:val="24"/>
          <w:highlight w:val="none"/>
        </w:rPr>
        <w:t>结果</w:t>
      </w:r>
    </w:p>
    <w:p w14:paraId="320CBA4C">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cs="宋体"/>
          <w:color w:val="auto"/>
          <w:sz w:val="24"/>
          <w:szCs w:val="24"/>
          <w:highlight w:val="none"/>
          <w:lang w:val="en-US" w:eastAsia="zh-CN"/>
        </w:rPr>
        <w:t>4</w:t>
      </w:r>
      <w:r>
        <w:rPr>
          <w:rFonts w:hint="eastAsia" w:ascii="宋体" w:hAnsi="宋体" w:eastAsia="宋体" w:cs="宋体"/>
          <w:color w:val="auto"/>
          <w:sz w:val="24"/>
          <w:szCs w:val="24"/>
          <w:highlight w:val="none"/>
        </w:rPr>
        <w:t>.1在公告成交结果的同时，采购代理机构同时以</w:t>
      </w:r>
      <w:r>
        <w:rPr>
          <w:rFonts w:hint="eastAsia" w:ascii="宋体" w:hAnsi="宋体" w:eastAsia="宋体" w:cs="宋体"/>
          <w:color w:val="auto"/>
          <w:sz w:val="24"/>
          <w:szCs w:val="24"/>
          <w:highlight w:val="none"/>
          <w:u w:val="single"/>
        </w:rPr>
        <w:t>供应商须知前附表</w:t>
      </w:r>
      <w:r>
        <w:rPr>
          <w:rFonts w:hint="eastAsia" w:ascii="宋体" w:hAnsi="宋体" w:eastAsia="宋体" w:cs="宋体"/>
          <w:color w:val="auto"/>
          <w:sz w:val="24"/>
          <w:szCs w:val="24"/>
          <w:highlight w:val="none"/>
        </w:rPr>
        <w:t>规定的形式告知未成交供应商本人的排序。</w:t>
      </w:r>
    </w:p>
    <w:p w14:paraId="1A0BE36F">
      <w:pPr>
        <w:spacing w:line="360" w:lineRule="auto"/>
        <w:ind w:firstLine="480" w:firstLineChars="200"/>
        <w:rPr>
          <w:color w:val="auto"/>
          <w:sz w:val="24"/>
          <w:highlight w:val="none"/>
        </w:rPr>
      </w:pPr>
      <w:r>
        <w:rPr>
          <w:rFonts w:hint="eastAsia" w:ascii="宋体" w:hAnsi="宋体" w:eastAsia="宋体" w:cs="宋体"/>
          <w:color w:val="auto"/>
          <w:sz w:val="24"/>
          <w:szCs w:val="24"/>
          <w:highlight w:val="none"/>
        </w:rPr>
        <w:t>2</w:t>
      </w:r>
      <w:r>
        <w:rPr>
          <w:rFonts w:hint="eastAsia"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采购代理机构对未成交的供应商不做未成交原因的解释</w:t>
      </w:r>
      <w:r>
        <w:rPr>
          <w:color w:val="auto"/>
          <w:sz w:val="24"/>
          <w:highlight w:val="none"/>
        </w:rPr>
        <w:t>。</w:t>
      </w:r>
    </w:p>
    <w:p w14:paraId="073701BA">
      <w:pPr>
        <w:spacing w:line="360" w:lineRule="auto"/>
        <w:ind w:firstLine="437"/>
        <w:outlineLvl w:val="2"/>
        <w:rPr>
          <w:b/>
          <w:color w:val="auto"/>
          <w:sz w:val="24"/>
          <w:highlight w:val="none"/>
        </w:rPr>
      </w:pPr>
      <w:r>
        <w:rPr>
          <w:rFonts w:hint="eastAsia"/>
          <w:b/>
          <w:color w:val="auto"/>
          <w:sz w:val="24"/>
          <w:highlight w:val="none"/>
          <w:lang w:val="en-US" w:eastAsia="zh-CN"/>
        </w:rPr>
        <w:t>25</w:t>
      </w:r>
      <w:r>
        <w:rPr>
          <w:b/>
          <w:color w:val="auto"/>
          <w:sz w:val="24"/>
          <w:highlight w:val="none"/>
        </w:rPr>
        <w:t>.履约</w:t>
      </w:r>
      <w:r>
        <w:rPr>
          <w:rFonts w:asciiTheme="minorEastAsia" w:hAnsiTheme="minorEastAsia" w:eastAsiaTheme="minorEastAsia"/>
          <w:b/>
          <w:color w:val="auto"/>
          <w:sz w:val="24"/>
          <w:highlight w:val="none"/>
        </w:rPr>
        <w:t>保证金</w:t>
      </w:r>
    </w:p>
    <w:p w14:paraId="77A40868">
      <w:pPr>
        <w:spacing w:line="360" w:lineRule="auto"/>
        <w:ind w:firstLine="435"/>
        <w:rPr>
          <w:color w:val="auto"/>
          <w:sz w:val="24"/>
          <w:highlight w:val="none"/>
        </w:rPr>
      </w:pPr>
      <w:r>
        <w:rPr>
          <w:rFonts w:hint="eastAsia"/>
          <w:color w:val="auto"/>
          <w:sz w:val="24"/>
          <w:highlight w:val="none"/>
          <w:lang w:val="en-US" w:eastAsia="zh-CN"/>
        </w:rPr>
        <w:t>25</w:t>
      </w:r>
      <w:r>
        <w:rPr>
          <w:color w:val="auto"/>
          <w:sz w:val="24"/>
          <w:highlight w:val="none"/>
        </w:rPr>
        <w:t>.1成交供应商应按照</w:t>
      </w:r>
      <w:r>
        <w:rPr>
          <w:color w:val="auto"/>
          <w:sz w:val="24"/>
          <w:highlight w:val="none"/>
          <w:u w:val="single"/>
        </w:rPr>
        <w:t>供应商须知前附表</w:t>
      </w:r>
      <w:r>
        <w:rPr>
          <w:color w:val="auto"/>
          <w:sz w:val="24"/>
          <w:highlight w:val="none"/>
        </w:rPr>
        <w:t>规定</w:t>
      </w:r>
      <w:r>
        <w:rPr>
          <w:rFonts w:hint="eastAsia"/>
          <w:color w:val="auto"/>
          <w:sz w:val="24"/>
          <w:highlight w:val="none"/>
        </w:rPr>
        <w:t>缴纳</w:t>
      </w:r>
      <w:r>
        <w:rPr>
          <w:color w:val="auto"/>
          <w:sz w:val="24"/>
          <w:highlight w:val="none"/>
        </w:rPr>
        <w:t>履约保证金。</w:t>
      </w:r>
    </w:p>
    <w:p w14:paraId="060ED382">
      <w:pPr>
        <w:spacing w:line="360" w:lineRule="auto"/>
        <w:ind w:firstLine="435"/>
        <w:rPr>
          <w:color w:val="auto"/>
          <w:sz w:val="24"/>
          <w:highlight w:val="none"/>
        </w:rPr>
      </w:pPr>
      <w:r>
        <w:rPr>
          <w:rFonts w:hint="eastAsia"/>
          <w:color w:val="auto"/>
          <w:sz w:val="24"/>
          <w:highlight w:val="none"/>
          <w:lang w:val="en-US" w:eastAsia="zh-CN"/>
        </w:rPr>
        <w:t>25</w:t>
      </w:r>
      <w:r>
        <w:rPr>
          <w:color w:val="auto"/>
          <w:sz w:val="24"/>
          <w:highlight w:val="none"/>
        </w:rPr>
        <w:t>.2如果成交供应商没有按照上述履约保证金的规定执行，将视为放弃成交资格。在此情况下，采购人可确定下一成交候选供应商为成交供应商，也可以重新开展采购活动。</w:t>
      </w:r>
    </w:p>
    <w:p w14:paraId="63607E13">
      <w:pPr>
        <w:spacing w:line="360" w:lineRule="auto"/>
        <w:ind w:firstLine="437"/>
        <w:outlineLvl w:val="2"/>
        <w:rPr>
          <w:rFonts w:hint="default" w:eastAsia="宋体"/>
          <w:b/>
          <w:color w:val="auto"/>
          <w:sz w:val="24"/>
          <w:highlight w:val="none"/>
          <w:lang w:val="en-US" w:eastAsia="zh-CN"/>
        </w:rPr>
      </w:pPr>
      <w:r>
        <w:rPr>
          <w:rFonts w:hint="eastAsia"/>
          <w:b/>
          <w:color w:val="auto"/>
          <w:sz w:val="24"/>
          <w:highlight w:val="none"/>
          <w:lang w:val="en-US" w:eastAsia="zh-CN"/>
        </w:rPr>
        <w:t>26</w:t>
      </w:r>
      <w:r>
        <w:rPr>
          <w:b/>
          <w:color w:val="auto"/>
          <w:sz w:val="24"/>
          <w:highlight w:val="none"/>
        </w:rPr>
        <w:t>.</w:t>
      </w:r>
      <w:r>
        <w:rPr>
          <w:rFonts w:hint="eastAsia"/>
          <w:b/>
          <w:color w:val="auto"/>
          <w:sz w:val="24"/>
          <w:highlight w:val="none"/>
          <w:lang w:val="en-US" w:eastAsia="zh-CN"/>
        </w:rPr>
        <w:t>代理费用</w:t>
      </w:r>
    </w:p>
    <w:p w14:paraId="25EC7136">
      <w:pPr>
        <w:spacing w:line="360" w:lineRule="auto"/>
        <w:ind w:firstLine="435"/>
        <w:rPr>
          <w:color w:val="auto"/>
          <w:sz w:val="24"/>
          <w:highlight w:val="none"/>
        </w:rPr>
      </w:pPr>
      <w:r>
        <w:rPr>
          <w:rFonts w:hint="eastAsia"/>
          <w:color w:val="auto"/>
          <w:sz w:val="24"/>
          <w:highlight w:val="none"/>
          <w:lang w:val="en-US" w:eastAsia="zh-CN"/>
        </w:rPr>
        <w:t>26</w:t>
      </w:r>
      <w:r>
        <w:rPr>
          <w:color w:val="auto"/>
          <w:sz w:val="24"/>
          <w:highlight w:val="none"/>
        </w:rPr>
        <w:t>.1本项目</w:t>
      </w:r>
      <w:r>
        <w:rPr>
          <w:rFonts w:hint="eastAsia"/>
          <w:color w:val="auto"/>
          <w:sz w:val="24"/>
          <w:highlight w:val="none"/>
          <w:lang w:val="en-US" w:eastAsia="zh-CN"/>
        </w:rPr>
        <w:t>代理费用</w:t>
      </w:r>
      <w:r>
        <w:rPr>
          <w:color w:val="auto"/>
          <w:sz w:val="24"/>
          <w:highlight w:val="none"/>
        </w:rPr>
        <w:t>的收取按</w:t>
      </w:r>
      <w:r>
        <w:rPr>
          <w:rFonts w:hint="eastAsia"/>
          <w:color w:val="auto"/>
          <w:sz w:val="24"/>
          <w:highlight w:val="none"/>
          <w:u w:val="single"/>
        </w:rPr>
        <w:t>供应商</w:t>
      </w:r>
      <w:r>
        <w:rPr>
          <w:color w:val="auto"/>
          <w:sz w:val="24"/>
          <w:highlight w:val="none"/>
          <w:u w:val="single"/>
        </w:rPr>
        <w:t>须知前附表</w:t>
      </w:r>
      <w:r>
        <w:rPr>
          <w:color w:val="auto"/>
          <w:sz w:val="24"/>
          <w:highlight w:val="none"/>
        </w:rPr>
        <w:t>的规定执行。</w:t>
      </w:r>
    </w:p>
    <w:p w14:paraId="7F1FF05F">
      <w:pPr>
        <w:spacing w:line="360" w:lineRule="auto"/>
        <w:ind w:firstLine="437"/>
        <w:outlineLvl w:val="2"/>
        <w:rPr>
          <w:b/>
          <w:color w:val="auto"/>
          <w:sz w:val="24"/>
          <w:highlight w:val="none"/>
        </w:rPr>
      </w:pPr>
      <w:r>
        <w:rPr>
          <w:rFonts w:hint="eastAsia"/>
          <w:b/>
          <w:color w:val="auto"/>
          <w:sz w:val="24"/>
          <w:highlight w:val="none"/>
          <w:lang w:val="en-US" w:eastAsia="zh-CN"/>
        </w:rPr>
        <w:t>27</w:t>
      </w:r>
      <w:r>
        <w:rPr>
          <w:b/>
          <w:color w:val="auto"/>
          <w:sz w:val="24"/>
          <w:highlight w:val="none"/>
        </w:rPr>
        <w:t>.签订</w:t>
      </w:r>
      <w:r>
        <w:rPr>
          <w:rFonts w:asciiTheme="minorEastAsia" w:hAnsiTheme="minorEastAsia" w:eastAsiaTheme="minorEastAsia"/>
          <w:b/>
          <w:color w:val="auto"/>
          <w:sz w:val="24"/>
          <w:highlight w:val="none"/>
        </w:rPr>
        <w:t>合同</w:t>
      </w:r>
    </w:p>
    <w:p w14:paraId="61107B3D">
      <w:pPr>
        <w:spacing w:line="360" w:lineRule="auto"/>
        <w:ind w:firstLine="435"/>
        <w:rPr>
          <w:color w:val="auto"/>
          <w:sz w:val="24"/>
          <w:highlight w:val="none"/>
        </w:rPr>
      </w:pPr>
      <w:r>
        <w:rPr>
          <w:rFonts w:hint="eastAsia"/>
          <w:color w:val="auto"/>
          <w:sz w:val="24"/>
          <w:highlight w:val="none"/>
          <w:lang w:val="en-US" w:eastAsia="zh-CN"/>
        </w:rPr>
        <w:t>27</w:t>
      </w:r>
      <w:r>
        <w:rPr>
          <w:color w:val="auto"/>
          <w:sz w:val="24"/>
          <w:highlight w:val="none"/>
        </w:rPr>
        <w:t>.1</w:t>
      </w:r>
      <w:r>
        <w:rPr>
          <w:rFonts w:hint="eastAsia" w:ascii="宋体" w:hAnsi="宋体" w:eastAsia="宋体" w:cs="宋体"/>
          <w:color w:val="auto"/>
          <w:sz w:val="24"/>
          <w:szCs w:val="24"/>
          <w:highlight w:val="none"/>
          <w:u w:val="none"/>
          <w:lang w:val="en-US" w:eastAsia="zh-CN"/>
        </w:rPr>
        <w:t>采购人与成交供应商应当按照</w:t>
      </w:r>
      <w:r>
        <w:rPr>
          <w:rFonts w:hint="eastAsia" w:ascii="宋体" w:hAnsi="宋体" w:eastAsia="宋体" w:cs="宋体"/>
          <w:color w:val="auto"/>
          <w:sz w:val="24"/>
          <w:szCs w:val="24"/>
          <w:highlight w:val="none"/>
          <w:u w:val="single"/>
          <w:lang w:val="en-US" w:eastAsia="zh-CN"/>
        </w:rPr>
        <w:t>供应商</w:t>
      </w:r>
      <w:r>
        <w:rPr>
          <w:rFonts w:hint="eastAsia" w:ascii="宋体" w:hAnsi="宋体" w:eastAsia="宋体" w:cs="宋体"/>
          <w:color w:val="auto"/>
          <w:sz w:val="24"/>
          <w:szCs w:val="24"/>
          <w:highlight w:val="none"/>
          <w:u w:val="single"/>
        </w:rPr>
        <w:t>须知前附表</w:t>
      </w:r>
      <w:r>
        <w:rPr>
          <w:rFonts w:hint="eastAsia" w:ascii="宋体" w:hAnsi="宋体" w:eastAsia="宋体" w:cs="宋体"/>
          <w:color w:val="auto"/>
          <w:sz w:val="24"/>
          <w:szCs w:val="24"/>
          <w:highlight w:val="none"/>
          <w:u w:val="none"/>
        </w:rPr>
        <w:t>规定</w:t>
      </w:r>
      <w:r>
        <w:rPr>
          <w:rFonts w:hint="eastAsia" w:ascii="宋体" w:hAnsi="宋体" w:eastAsia="宋体" w:cs="宋体"/>
          <w:color w:val="auto"/>
          <w:sz w:val="24"/>
          <w:szCs w:val="24"/>
          <w:highlight w:val="none"/>
          <w:lang w:val="en-US" w:eastAsia="zh-CN"/>
        </w:rPr>
        <w:t>的时间内完成政府采购合同签订及合同公告。</w:t>
      </w:r>
    </w:p>
    <w:p w14:paraId="238A5125">
      <w:pPr>
        <w:spacing w:line="360" w:lineRule="auto"/>
        <w:ind w:firstLine="435"/>
        <w:rPr>
          <w:color w:val="auto"/>
          <w:sz w:val="24"/>
          <w:highlight w:val="none"/>
        </w:rPr>
      </w:pPr>
      <w:r>
        <w:rPr>
          <w:rFonts w:hint="eastAsia"/>
          <w:color w:val="auto"/>
          <w:sz w:val="24"/>
          <w:highlight w:val="none"/>
          <w:lang w:val="en-US" w:eastAsia="zh-CN"/>
        </w:rPr>
        <w:t>27</w:t>
      </w:r>
      <w:r>
        <w:rPr>
          <w:color w:val="auto"/>
          <w:sz w:val="24"/>
          <w:highlight w:val="none"/>
        </w:rPr>
        <w:t>.2谈判文件、成交供应商的响应文件及其澄清文件等，均为签订合同的依据。</w:t>
      </w:r>
    </w:p>
    <w:p w14:paraId="40312A60">
      <w:pPr>
        <w:spacing w:line="360" w:lineRule="auto"/>
        <w:ind w:firstLine="470" w:firstLineChars="196"/>
        <w:rPr>
          <w:color w:val="auto"/>
          <w:sz w:val="24"/>
          <w:highlight w:val="none"/>
        </w:rPr>
      </w:pPr>
      <w:r>
        <w:rPr>
          <w:rFonts w:hint="eastAsia"/>
          <w:color w:val="auto"/>
          <w:sz w:val="24"/>
          <w:highlight w:val="none"/>
          <w:lang w:val="en-US" w:eastAsia="zh-CN"/>
        </w:rPr>
        <w:t>27</w:t>
      </w:r>
      <w:r>
        <w:rPr>
          <w:color w:val="auto"/>
          <w:sz w:val="24"/>
          <w:highlight w:val="none"/>
        </w:rPr>
        <w:t>.3成交供应商拒绝与采购人签订合同的，采购人可以按照评审报告推荐的成交候选供应商名单排序，确定下一成交候选供应商为成交供应商，也可以重新开展采购活动。</w:t>
      </w:r>
      <w:r>
        <w:rPr>
          <w:rFonts w:hint="eastAsia"/>
          <w:color w:val="auto"/>
          <w:sz w:val="24"/>
          <w:highlight w:val="none"/>
        </w:rPr>
        <w:t>成交供应商拒绝签订政府采购合同的不得参加对该项目重新开展的采购活动。</w:t>
      </w:r>
    </w:p>
    <w:p w14:paraId="43F954D3">
      <w:pPr>
        <w:spacing w:line="360" w:lineRule="auto"/>
        <w:ind w:firstLine="470" w:firstLineChars="196"/>
        <w:rPr>
          <w:color w:val="auto"/>
          <w:sz w:val="24"/>
          <w:highlight w:val="none"/>
        </w:rPr>
      </w:pPr>
      <w:bookmarkStart w:id="18" w:name="_Hlk60264926"/>
      <w:r>
        <w:rPr>
          <w:rFonts w:hint="eastAsia"/>
          <w:color w:val="auto"/>
          <w:sz w:val="24"/>
          <w:highlight w:val="none"/>
          <w:lang w:val="en-US" w:eastAsia="zh-CN"/>
        </w:rPr>
        <w:t>27</w:t>
      </w:r>
      <w:r>
        <w:rPr>
          <w:rFonts w:hint="eastAsia"/>
          <w:color w:val="auto"/>
          <w:sz w:val="24"/>
          <w:highlight w:val="none"/>
        </w:rPr>
        <w:t>.</w:t>
      </w:r>
      <w:r>
        <w:rPr>
          <w:color w:val="auto"/>
          <w:sz w:val="24"/>
          <w:highlight w:val="none"/>
        </w:rPr>
        <w:t>4</w:t>
      </w:r>
      <w:r>
        <w:rPr>
          <w:rFonts w:hint="eastAsia"/>
          <w:color w:val="auto"/>
          <w:sz w:val="24"/>
          <w:highlight w:val="none"/>
        </w:rPr>
        <w:t>依据《政府采购促进中小企业发展管理办法》（财库〔</w:t>
      </w:r>
      <w:r>
        <w:rPr>
          <w:color w:val="auto"/>
          <w:sz w:val="24"/>
          <w:highlight w:val="none"/>
        </w:rPr>
        <w:t>2020〕46号</w:t>
      </w:r>
      <w:r>
        <w:rPr>
          <w:rFonts w:hint="eastAsia"/>
          <w:color w:val="auto"/>
          <w:sz w:val="24"/>
          <w:highlight w:val="none"/>
        </w:rPr>
        <w:t>）规定享受扶持政策获得政府采购合同的，小微企业不得将合同分包给大中型企业，中型企业不得将合同分包给大型企业。</w:t>
      </w:r>
      <w:bookmarkEnd w:id="18"/>
    </w:p>
    <w:p w14:paraId="30A84B2B">
      <w:pPr>
        <w:spacing w:line="360" w:lineRule="auto"/>
        <w:ind w:firstLine="437"/>
        <w:outlineLvl w:val="2"/>
        <w:rPr>
          <w:b/>
          <w:color w:val="auto"/>
          <w:sz w:val="24"/>
          <w:highlight w:val="none"/>
        </w:rPr>
      </w:pPr>
      <w:r>
        <w:rPr>
          <w:rFonts w:hint="eastAsia"/>
          <w:b/>
          <w:color w:val="auto"/>
          <w:sz w:val="24"/>
          <w:highlight w:val="none"/>
          <w:lang w:val="en-US" w:eastAsia="zh-CN"/>
        </w:rPr>
        <w:t>28</w:t>
      </w:r>
      <w:r>
        <w:rPr>
          <w:b/>
          <w:color w:val="auto"/>
          <w:sz w:val="24"/>
          <w:highlight w:val="none"/>
        </w:rPr>
        <w:t>.廉洁</w:t>
      </w:r>
      <w:r>
        <w:rPr>
          <w:rFonts w:asciiTheme="minorEastAsia" w:hAnsiTheme="minorEastAsia" w:eastAsiaTheme="minorEastAsia"/>
          <w:b/>
          <w:color w:val="auto"/>
          <w:sz w:val="24"/>
          <w:highlight w:val="none"/>
        </w:rPr>
        <w:t>自律</w:t>
      </w:r>
      <w:r>
        <w:rPr>
          <w:b/>
          <w:color w:val="auto"/>
          <w:sz w:val="24"/>
          <w:highlight w:val="none"/>
        </w:rPr>
        <w:t>规定</w:t>
      </w:r>
    </w:p>
    <w:p w14:paraId="4C038124">
      <w:pPr>
        <w:spacing w:line="360" w:lineRule="auto"/>
        <w:ind w:firstLine="435"/>
        <w:rPr>
          <w:color w:val="auto"/>
          <w:sz w:val="24"/>
          <w:highlight w:val="none"/>
        </w:rPr>
      </w:pPr>
      <w:r>
        <w:rPr>
          <w:rFonts w:hint="eastAsia"/>
          <w:color w:val="auto"/>
          <w:sz w:val="24"/>
          <w:highlight w:val="none"/>
          <w:lang w:val="en-US" w:eastAsia="zh-CN"/>
        </w:rPr>
        <w:t>28</w:t>
      </w:r>
      <w:r>
        <w:rPr>
          <w:color w:val="auto"/>
          <w:sz w:val="24"/>
          <w:highlight w:val="none"/>
        </w:rPr>
        <w:t>.1采购代理机构工作人员不得以不正当手段获取政府采购代理业务，不得与采购人、供应商恶意串通。</w:t>
      </w:r>
    </w:p>
    <w:p w14:paraId="513C669F">
      <w:pPr>
        <w:spacing w:line="360" w:lineRule="auto"/>
        <w:ind w:firstLine="435"/>
        <w:rPr>
          <w:color w:val="auto"/>
          <w:sz w:val="24"/>
          <w:highlight w:val="none"/>
        </w:rPr>
      </w:pPr>
      <w:r>
        <w:rPr>
          <w:rFonts w:hint="eastAsia"/>
          <w:color w:val="auto"/>
          <w:sz w:val="24"/>
          <w:highlight w:val="none"/>
          <w:lang w:val="en-US" w:eastAsia="zh-CN"/>
        </w:rPr>
        <w:t>28</w:t>
      </w:r>
      <w:r>
        <w:rPr>
          <w:color w:val="auto"/>
          <w:sz w:val="24"/>
          <w:highlight w:val="none"/>
        </w:rPr>
        <w:t>.2采购代理机构工作人员不得接受采购人或者供应商组织的宴请、旅游、娱乐，不得收受礼品、现金、有价证券等，不得向采购人或者供应商报销应当由个人承担的费用。</w:t>
      </w:r>
    </w:p>
    <w:p w14:paraId="0BE245EF">
      <w:pPr>
        <w:spacing w:line="360" w:lineRule="auto"/>
        <w:ind w:firstLine="437"/>
        <w:outlineLvl w:val="2"/>
        <w:rPr>
          <w:b/>
          <w:color w:val="auto"/>
          <w:sz w:val="24"/>
          <w:highlight w:val="none"/>
        </w:rPr>
      </w:pPr>
      <w:r>
        <w:rPr>
          <w:rFonts w:hint="eastAsia"/>
          <w:b/>
          <w:color w:val="auto"/>
          <w:sz w:val="24"/>
          <w:highlight w:val="none"/>
          <w:lang w:val="en-US" w:eastAsia="zh-CN"/>
        </w:rPr>
        <w:t>29</w:t>
      </w:r>
      <w:r>
        <w:rPr>
          <w:b/>
          <w:color w:val="auto"/>
          <w:sz w:val="24"/>
          <w:highlight w:val="none"/>
        </w:rPr>
        <w:t>.质疑的提出与接收</w:t>
      </w:r>
    </w:p>
    <w:p w14:paraId="262EC961">
      <w:pPr>
        <w:spacing w:line="360" w:lineRule="auto"/>
        <w:ind w:firstLine="435"/>
        <w:rPr>
          <w:color w:val="auto"/>
          <w:sz w:val="24"/>
          <w:highlight w:val="none"/>
        </w:rPr>
      </w:pPr>
      <w:r>
        <w:rPr>
          <w:rFonts w:hint="eastAsia"/>
          <w:color w:val="auto"/>
          <w:sz w:val="24"/>
          <w:highlight w:val="none"/>
          <w:lang w:val="en-US" w:eastAsia="zh-CN"/>
        </w:rPr>
        <w:t>29</w:t>
      </w:r>
      <w:r>
        <w:rPr>
          <w:rFonts w:hint="eastAsia"/>
          <w:color w:val="auto"/>
          <w:sz w:val="24"/>
          <w:highlight w:val="none"/>
        </w:rPr>
        <w:t>.1供应商认为谈判文件、采购过程和成交结果使自己的权益受到损害的，可以在知道或者应知其权益受到损害之日起七个工作日内，以书面形式向采购人或其委托的采购代理机构提出质疑。</w:t>
      </w:r>
    </w:p>
    <w:p w14:paraId="009B033B">
      <w:pPr>
        <w:spacing w:line="360" w:lineRule="auto"/>
        <w:ind w:firstLine="435"/>
        <w:rPr>
          <w:color w:val="auto"/>
          <w:sz w:val="24"/>
          <w:highlight w:val="none"/>
        </w:rPr>
      </w:pPr>
      <w:r>
        <w:rPr>
          <w:rFonts w:hint="eastAsia"/>
          <w:color w:val="auto"/>
          <w:sz w:val="24"/>
          <w:highlight w:val="none"/>
          <w:lang w:val="en-US" w:eastAsia="zh-CN"/>
        </w:rPr>
        <w:t>29</w:t>
      </w:r>
      <w:r>
        <w:rPr>
          <w:rFonts w:hint="eastAsia"/>
          <w:color w:val="auto"/>
          <w:sz w:val="24"/>
          <w:highlight w:val="none"/>
        </w:rPr>
        <w:t>.</w:t>
      </w:r>
      <w:r>
        <w:rPr>
          <w:rFonts w:hint="eastAsia"/>
          <w:color w:val="auto"/>
          <w:sz w:val="24"/>
          <w:highlight w:val="none"/>
          <w:lang w:val="en-US" w:eastAsia="zh-CN"/>
        </w:rPr>
        <w:t>2</w:t>
      </w:r>
      <w:r>
        <w:rPr>
          <w:rFonts w:hint="eastAsia"/>
          <w:color w:val="auto"/>
          <w:sz w:val="24"/>
          <w:highlight w:val="none"/>
        </w:rPr>
        <w:t>质疑供应商应按照财政部制定的《政府采购质疑函范本》格式（详见谈判文件第八章）和《政府采购质疑和投诉办法》的要求，在法定质疑期内以书面形式提出质疑，超出法定质疑期提交的质疑将被拒绝。针对同一采购程序环节的质疑应一次性提出。</w:t>
      </w:r>
    </w:p>
    <w:p w14:paraId="19B421C6">
      <w:pPr>
        <w:spacing w:line="360" w:lineRule="auto"/>
        <w:ind w:firstLine="435"/>
        <w:rPr>
          <w:rFonts w:hint="eastAsia"/>
          <w:color w:val="auto"/>
          <w:sz w:val="24"/>
          <w:highlight w:val="none"/>
        </w:rPr>
      </w:pPr>
      <w:r>
        <w:rPr>
          <w:rFonts w:hint="eastAsia"/>
          <w:color w:val="auto"/>
          <w:sz w:val="24"/>
          <w:highlight w:val="none"/>
          <w:lang w:val="en-US" w:eastAsia="zh-CN"/>
        </w:rPr>
        <w:t>29</w:t>
      </w:r>
      <w:r>
        <w:rPr>
          <w:rFonts w:hint="eastAsia"/>
          <w:color w:val="auto"/>
          <w:sz w:val="24"/>
          <w:highlight w:val="none"/>
        </w:rPr>
        <w:t>.</w:t>
      </w:r>
      <w:r>
        <w:rPr>
          <w:rFonts w:hint="eastAsia"/>
          <w:color w:val="auto"/>
          <w:sz w:val="24"/>
          <w:highlight w:val="none"/>
          <w:lang w:val="en-US" w:eastAsia="zh-CN"/>
        </w:rPr>
        <w:t>3</w:t>
      </w:r>
      <w:r>
        <w:rPr>
          <w:rFonts w:hint="eastAsia"/>
          <w:color w:val="auto"/>
          <w:sz w:val="24"/>
          <w:highlight w:val="none"/>
        </w:rPr>
        <w:t>采购代理机构质疑函接收部门、联系电话和通讯地址，见</w:t>
      </w:r>
      <w:r>
        <w:rPr>
          <w:rFonts w:hint="eastAsia"/>
          <w:color w:val="auto"/>
          <w:sz w:val="24"/>
          <w:highlight w:val="none"/>
          <w:u w:val="single"/>
        </w:rPr>
        <w:t>供应商须知前附表</w:t>
      </w:r>
      <w:r>
        <w:rPr>
          <w:rFonts w:hint="eastAsia"/>
          <w:color w:val="auto"/>
          <w:sz w:val="24"/>
          <w:highlight w:val="none"/>
        </w:rPr>
        <w:t>。</w:t>
      </w:r>
    </w:p>
    <w:p w14:paraId="308BBBB1">
      <w:pPr>
        <w:spacing w:line="360" w:lineRule="auto"/>
        <w:ind w:firstLine="437"/>
        <w:outlineLvl w:val="2"/>
        <w:rPr>
          <w:b/>
          <w:color w:val="auto"/>
          <w:sz w:val="24"/>
          <w:highlight w:val="none"/>
        </w:rPr>
      </w:pPr>
      <w:r>
        <w:rPr>
          <w:b/>
          <w:color w:val="auto"/>
          <w:sz w:val="24"/>
          <w:highlight w:val="none"/>
        </w:rPr>
        <w:t>3</w:t>
      </w:r>
      <w:r>
        <w:rPr>
          <w:rFonts w:hint="eastAsia"/>
          <w:b/>
          <w:color w:val="auto"/>
          <w:sz w:val="24"/>
          <w:highlight w:val="none"/>
          <w:lang w:val="en-US" w:eastAsia="zh-CN"/>
        </w:rPr>
        <w:t>0</w:t>
      </w:r>
      <w:r>
        <w:rPr>
          <w:b/>
          <w:color w:val="auto"/>
          <w:sz w:val="24"/>
          <w:highlight w:val="none"/>
        </w:rPr>
        <w:t>.需要补充的其他内容</w:t>
      </w:r>
    </w:p>
    <w:p w14:paraId="777D8819">
      <w:pPr>
        <w:spacing w:line="360" w:lineRule="auto"/>
        <w:ind w:firstLine="435"/>
        <w:rPr>
          <w:color w:val="auto"/>
          <w:sz w:val="24"/>
          <w:highlight w:val="none"/>
        </w:rPr>
      </w:pPr>
      <w:r>
        <w:rPr>
          <w:rFonts w:hint="eastAsia"/>
          <w:color w:val="auto"/>
          <w:sz w:val="24"/>
          <w:highlight w:val="none"/>
        </w:rPr>
        <w:t>需要补充的其他内容，见</w:t>
      </w:r>
      <w:r>
        <w:rPr>
          <w:rFonts w:hint="eastAsia"/>
          <w:color w:val="auto"/>
          <w:sz w:val="24"/>
          <w:highlight w:val="none"/>
          <w:u w:val="single"/>
        </w:rPr>
        <w:t>供应商须知前附表</w:t>
      </w:r>
      <w:r>
        <w:rPr>
          <w:rFonts w:hint="eastAsia"/>
          <w:color w:val="auto"/>
          <w:sz w:val="24"/>
          <w:highlight w:val="none"/>
        </w:rPr>
        <w:t>。</w:t>
      </w:r>
    </w:p>
    <w:p w14:paraId="51DAAC68">
      <w:pPr>
        <w:widowControl/>
        <w:jc w:val="left"/>
        <w:rPr>
          <w:rFonts w:asciiTheme="minorEastAsia" w:hAnsiTheme="minorEastAsia" w:eastAsiaTheme="minorEastAsia"/>
          <w:b/>
          <w:color w:val="auto"/>
          <w:sz w:val="28"/>
          <w:highlight w:val="none"/>
        </w:rPr>
      </w:pPr>
      <w:r>
        <w:rPr>
          <w:rFonts w:asciiTheme="minorEastAsia" w:hAnsiTheme="minorEastAsia" w:eastAsiaTheme="minorEastAsia"/>
          <w:color w:val="auto"/>
          <w:sz w:val="24"/>
          <w:highlight w:val="none"/>
        </w:rPr>
        <w:br w:type="page"/>
      </w:r>
    </w:p>
    <w:p w14:paraId="6271875E">
      <w:pPr>
        <w:spacing w:line="360" w:lineRule="auto"/>
        <w:jc w:val="center"/>
        <w:outlineLvl w:val="0"/>
        <w:rPr>
          <w:rFonts w:asciiTheme="minorEastAsia" w:hAnsiTheme="minorEastAsia" w:eastAsiaTheme="minorEastAsia"/>
          <w:b/>
          <w:color w:val="auto"/>
          <w:sz w:val="28"/>
          <w:highlight w:val="none"/>
        </w:rPr>
      </w:pPr>
      <w:bookmarkStart w:id="19" w:name="_Toc8667"/>
      <w:bookmarkStart w:id="20" w:name="_Toc29420"/>
      <w:r>
        <w:rPr>
          <w:rFonts w:hint="eastAsia" w:asciiTheme="minorEastAsia" w:hAnsiTheme="minorEastAsia" w:eastAsiaTheme="minorEastAsia"/>
          <w:b/>
          <w:color w:val="auto"/>
          <w:sz w:val="28"/>
          <w:highlight w:val="none"/>
        </w:rPr>
        <w:t>第三章  采购需求</w:t>
      </w:r>
      <w:bookmarkEnd w:id="19"/>
      <w:bookmarkEnd w:id="20"/>
    </w:p>
    <w:tbl>
      <w:tblPr>
        <w:tblStyle w:val="103"/>
        <w:tblW w:w="5333" w:type="pct"/>
        <w:tblInd w:w="-2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
        <w:gridCol w:w="1717"/>
        <w:gridCol w:w="7120"/>
      </w:tblGrid>
      <w:tr w14:paraId="495CD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 w:type="pct"/>
            <w:vAlign w:val="center"/>
          </w:tcPr>
          <w:p w14:paraId="2E2DF82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cs="@仿宋_GB2312" w:asciiTheme="minorEastAsia" w:hAnsiTheme="minorEastAsia" w:eastAsiaTheme="minorEastAsia"/>
                <w:b/>
                <w:color w:val="auto"/>
                <w:kern w:val="2"/>
                <w:sz w:val="24"/>
                <w:szCs w:val="22"/>
                <w:highlight w:val="none"/>
              </w:rPr>
            </w:pPr>
            <w:r>
              <w:rPr>
                <w:rFonts w:hint="eastAsia" w:cs="@仿宋_GB2312" w:asciiTheme="minorEastAsia" w:hAnsiTheme="minorEastAsia" w:eastAsiaTheme="minorEastAsia"/>
                <w:b/>
                <w:color w:val="auto"/>
                <w:kern w:val="2"/>
                <w:sz w:val="24"/>
                <w:szCs w:val="22"/>
                <w:highlight w:val="none"/>
              </w:rPr>
              <w:t>序号</w:t>
            </w:r>
          </w:p>
        </w:tc>
        <w:tc>
          <w:tcPr>
            <w:tcW w:w="875" w:type="pct"/>
            <w:vAlign w:val="center"/>
          </w:tcPr>
          <w:p w14:paraId="2563B5DA">
            <w:pPr>
              <w:keepNext w:val="0"/>
              <w:keepLines w:val="0"/>
              <w:pageBreakBefore w:val="0"/>
              <w:widowControl w:val="0"/>
              <w:kinsoku/>
              <w:wordWrap/>
              <w:overflowPunct/>
              <w:topLinePunct w:val="0"/>
              <w:autoSpaceDE/>
              <w:autoSpaceDN/>
              <w:bidi w:val="0"/>
              <w:adjustRightInd/>
              <w:snapToGrid/>
              <w:spacing w:line="440" w:lineRule="exact"/>
              <w:ind w:firstLine="435"/>
              <w:jc w:val="center"/>
              <w:textAlignment w:val="auto"/>
              <w:rPr>
                <w:rFonts w:cs="@仿宋_GB2312" w:asciiTheme="minorEastAsia" w:hAnsiTheme="minorEastAsia" w:eastAsiaTheme="minorEastAsia"/>
                <w:b/>
                <w:color w:val="auto"/>
                <w:kern w:val="2"/>
                <w:sz w:val="24"/>
                <w:szCs w:val="22"/>
                <w:highlight w:val="none"/>
              </w:rPr>
            </w:pPr>
            <w:r>
              <w:rPr>
                <w:rFonts w:hint="eastAsia" w:cs="@仿宋_GB2312" w:asciiTheme="minorEastAsia" w:hAnsiTheme="minorEastAsia" w:eastAsiaTheme="minorEastAsia"/>
                <w:b/>
                <w:color w:val="auto"/>
                <w:kern w:val="2"/>
                <w:sz w:val="24"/>
                <w:szCs w:val="22"/>
                <w:highlight w:val="none"/>
              </w:rPr>
              <w:t>内容</w:t>
            </w:r>
          </w:p>
        </w:tc>
        <w:tc>
          <w:tcPr>
            <w:tcW w:w="3629" w:type="pct"/>
            <w:vAlign w:val="center"/>
          </w:tcPr>
          <w:p w14:paraId="6E253B63">
            <w:pPr>
              <w:keepNext w:val="0"/>
              <w:keepLines w:val="0"/>
              <w:pageBreakBefore w:val="0"/>
              <w:widowControl w:val="0"/>
              <w:kinsoku/>
              <w:wordWrap/>
              <w:overflowPunct/>
              <w:topLinePunct w:val="0"/>
              <w:autoSpaceDE/>
              <w:autoSpaceDN/>
              <w:bidi w:val="0"/>
              <w:adjustRightInd/>
              <w:snapToGrid/>
              <w:spacing w:line="440" w:lineRule="exact"/>
              <w:ind w:firstLine="435"/>
              <w:jc w:val="center"/>
              <w:textAlignment w:val="auto"/>
              <w:rPr>
                <w:rFonts w:cs="@仿宋_GB2312" w:asciiTheme="minorEastAsia" w:hAnsiTheme="minorEastAsia" w:eastAsiaTheme="minorEastAsia"/>
                <w:b/>
                <w:color w:val="auto"/>
                <w:kern w:val="2"/>
                <w:sz w:val="24"/>
                <w:szCs w:val="22"/>
                <w:highlight w:val="none"/>
              </w:rPr>
            </w:pPr>
            <w:r>
              <w:rPr>
                <w:rFonts w:hint="eastAsia" w:cs="@仿宋_GB2312" w:asciiTheme="minorEastAsia" w:hAnsiTheme="minorEastAsia" w:eastAsiaTheme="minorEastAsia"/>
                <w:b/>
                <w:color w:val="auto"/>
                <w:kern w:val="2"/>
                <w:sz w:val="24"/>
                <w:szCs w:val="22"/>
                <w:highlight w:val="none"/>
              </w:rPr>
              <w:t>说明和要求</w:t>
            </w:r>
          </w:p>
        </w:tc>
      </w:tr>
      <w:tr w14:paraId="4F4BD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 w:type="pct"/>
            <w:vAlign w:val="center"/>
          </w:tcPr>
          <w:p w14:paraId="5B4171A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1</w:t>
            </w:r>
          </w:p>
        </w:tc>
        <w:tc>
          <w:tcPr>
            <w:tcW w:w="875" w:type="pct"/>
            <w:vAlign w:val="center"/>
          </w:tcPr>
          <w:p w14:paraId="6A0AC821">
            <w:pPr>
              <w:keepNext w:val="0"/>
              <w:keepLines w:val="0"/>
              <w:pageBreakBefore w:val="0"/>
              <w:widowControl w:val="0"/>
              <w:kinsoku/>
              <w:wordWrap/>
              <w:overflowPunct/>
              <w:topLinePunct w:val="0"/>
              <w:autoSpaceDE/>
              <w:autoSpaceDN/>
              <w:bidi w:val="0"/>
              <w:adjustRightInd/>
              <w:snapToGrid/>
              <w:spacing w:line="440" w:lineRule="exact"/>
              <w:textAlignment w:val="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人员到岗及履约要求</w:t>
            </w:r>
          </w:p>
        </w:tc>
        <w:tc>
          <w:tcPr>
            <w:tcW w:w="3629" w:type="pct"/>
            <w:vAlign w:val="center"/>
          </w:tcPr>
          <w:p w14:paraId="632B30E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cs="@仿宋_GB2312" w:asciiTheme="minorEastAsia" w:hAnsiTheme="minorEastAsia" w:eastAsiaTheme="minorEastAsia"/>
                <w:color w:val="auto"/>
                <w:kern w:val="2"/>
                <w:sz w:val="24"/>
                <w:szCs w:val="22"/>
                <w:highlight w:val="none"/>
                <w:lang w:eastAsia="zh-CN"/>
              </w:rPr>
            </w:pPr>
            <w:r>
              <w:rPr>
                <w:rFonts w:hint="eastAsia" w:cs="@仿宋_GB2312" w:asciiTheme="minorEastAsia" w:hAnsiTheme="minorEastAsia" w:eastAsiaTheme="minorEastAsia"/>
                <w:color w:val="000000" w:themeColor="text1"/>
                <w:kern w:val="2"/>
                <w:sz w:val="24"/>
                <w:szCs w:val="22"/>
                <w:highlight w:val="none"/>
                <w14:textFill>
                  <w14:solidFill>
                    <w14:schemeClr w14:val="tx1"/>
                  </w14:solidFill>
                </w14:textFill>
              </w:rPr>
              <w:t>项目部管理人员上下班实行考勤，考</w:t>
            </w:r>
            <w:r>
              <w:rPr>
                <w:rFonts w:hint="eastAsia" w:cs="@仿宋_GB2312" w:asciiTheme="minorEastAsia" w:hAnsiTheme="minorEastAsia" w:eastAsiaTheme="minorEastAsia"/>
                <w:color w:val="000000" w:themeColor="text1"/>
                <w:kern w:val="2"/>
                <w:sz w:val="24"/>
                <w:szCs w:val="22"/>
                <w:highlight w:val="none"/>
                <w:lang w:eastAsia="zh-CN"/>
                <w14:textFill>
                  <w14:solidFill>
                    <w14:schemeClr w14:val="tx1"/>
                  </w14:solidFill>
                </w14:textFill>
              </w:rPr>
              <w:t>勤</w:t>
            </w:r>
            <w:r>
              <w:rPr>
                <w:rFonts w:hint="eastAsia" w:cs="@仿宋_GB2312" w:asciiTheme="minorEastAsia" w:hAnsiTheme="minorEastAsia" w:eastAsiaTheme="minorEastAsia"/>
                <w:color w:val="000000" w:themeColor="text1"/>
                <w:kern w:val="2"/>
                <w:sz w:val="24"/>
                <w:szCs w:val="22"/>
                <w:highlight w:val="none"/>
                <w14:textFill>
                  <w14:solidFill>
                    <w14:schemeClr w14:val="tx1"/>
                  </w14:solidFill>
                </w14:textFill>
              </w:rPr>
              <w:t>由发包人项目组负责，承包人须建立人脸识别系统，每</w:t>
            </w:r>
            <w:r>
              <w:rPr>
                <w:rFonts w:hint="eastAsia" w:cs="@仿宋_GB2312" w:asciiTheme="minorEastAsia" w:hAnsiTheme="minorEastAsia" w:eastAsiaTheme="minorEastAsia"/>
                <w:color w:val="000000" w:themeColor="text1"/>
                <w:kern w:val="2"/>
                <w:sz w:val="24"/>
                <w:szCs w:val="22"/>
                <w:highlight w:val="none"/>
                <w:lang w:val="en-US" w:eastAsia="zh-CN"/>
                <w14:textFill>
                  <w14:solidFill>
                    <w14:schemeClr w14:val="tx1"/>
                  </w14:solidFill>
                </w14:textFill>
              </w:rPr>
              <w:t>月</w:t>
            </w:r>
            <w:r>
              <w:rPr>
                <w:rFonts w:hint="eastAsia" w:cs="@仿宋_GB2312" w:asciiTheme="minorEastAsia" w:hAnsiTheme="minorEastAsia" w:eastAsiaTheme="minorEastAsia"/>
                <w:color w:val="000000" w:themeColor="text1"/>
                <w:kern w:val="2"/>
                <w:sz w:val="24"/>
                <w:szCs w:val="22"/>
                <w:highlight w:val="none"/>
                <w14:textFill>
                  <w14:solidFill>
                    <w14:schemeClr w14:val="tx1"/>
                  </w14:solidFill>
                </w14:textFill>
              </w:rPr>
              <w:t>在岗时间不得少于22天，施工期间必须保证在岗履责。</w:t>
            </w:r>
          </w:p>
        </w:tc>
      </w:tr>
      <w:tr w14:paraId="05726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 w:type="pct"/>
            <w:vAlign w:val="center"/>
          </w:tcPr>
          <w:p w14:paraId="3082A6E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2</w:t>
            </w:r>
          </w:p>
        </w:tc>
        <w:tc>
          <w:tcPr>
            <w:tcW w:w="875" w:type="pct"/>
            <w:vAlign w:val="center"/>
          </w:tcPr>
          <w:p w14:paraId="58906A8E">
            <w:pPr>
              <w:keepNext w:val="0"/>
              <w:keepLines w:val="0"/>
              <w:pageBreakBefore w:val="0"/>
              <w:widowControl w:val="0"/>
              <w:kinsoku/>
              <w:wordWrap/>
              <w:overflowPunct/>
              <w:topLinePunct w:val="0"/>
              <w:autoSpaceDE/>
              <w:autoSpaceDN/>
              <w:bidi w:val="0"/>
              <w:adjustRightInd/>
              <w:snapToGrid/>
              <w:spacing w:line="440" w:lineRule="exact"/>
              <w:textAlignment w:val="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材料要求</w:t>
            </w:r>
          </w:p>
        </w:tc>
        <w:tc>
          <w:tcPr>
            <w:tcW w:w="3629" w:type="pct"/>
            <w:vAlign w:val="center"/>
          </w:tcPr>
          <w:p w14:paraId="738F44CF">
            <w:pPr>
              <w:keepNext w:val="0"/>
              <w:keepLines w:val="0"/>
              <w:pageBreakBefore w:val="0"/>
              <w:widowControl w:val="0"/>
              <w:kinsoku/>
              <w:wordWrap/>
              <w:overflowPunct/>
              <w:topLinePunct w:val="0"/>
              <w:autoSpaceDE/>
              <w:autoSpaceDN/>
              <w:bidi w:val="0"/>
              <w:adjustRightInd/>
              <w:snapToGrid/>
              <w:spacing w:line="440" w:lineRule="exact"/>
              <w:textAlignment w:val="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所有主材和辅材、主件和配件应为市面可见的全新正规产品，不得使用二手产品；所购设备及材料必须符合招标要求和国家相关安全、环保标准。</w:t>
            </w:r>
          </w:p>
        </w:tc>
      </w:tr>
      <w:tr w14:paraId="535F2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 w:type="pct"/>
            <w:vAlign w:val="center"/>
          </w:tcPr>
          <w:p w14:paraId="79DA553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3</w:t>
            </w:r>
          </w:p>
        </w:tc>
        <w:tc>
          <w:tcPr>
            <w:tcW w:w="875" w:type="pct"/>
            <w:vAlign w:val="center"/>
          </w:tcPr>
          <w:p w14:paraId="48E1FE2C">
            <w:pPr>
              <w:keepNext w:val="0"/>
              <w:keepLines w:val="0"/>
              <w:pageBreakBefore w:val="0"/>
              <w:widowControl w:val="0"/>
              <w:kinsoku/>
              <w:wordWrap/>
              <w:overflowPunct/>
              <w:topLinePunct w:val="0"/>
              <w:autoSpaceDE/>
              <w:autoSpaceDN/>
              <w:bidi w:val="0"/>
              <w:adjustRightInd/>
              <w:snapToGrid/>
              <w:spacing w:line="440" w:lineRule="exact"/>
              <w:textAlignment w:val="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工程施工重点难点</w:t>
            </w:r>
          </w:p>
        </w:tc>
        <w:tc>
          <w:tcPr>
            <w:tcW w:w="3629" w:type="pct"/>
            <w:vAlign w:val="center"/>
          </w:tcPr>
          <w:p w14:paraId="46F8711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cs="@仿宋_GB2312" w:asciiTheme="minorEastAsia" w:hAnsiTheme="minorEastAsia" w:eastAsiaTheme="minorEastAsia"/>
                <w:color w:val="auto"/>
                <w:kern w:val="2"/>
                <w:sz w:val="24"/>
                <w:szCs w:val="22"/>
                <w:highlight w:val="none"/>
                <w:lang w:eastAsia="zh-CN"/>
              </w:rPr>
            </w:pPr>
            <w:r>
              <w:rPr>
                <w:rFonts w:hint="eastAsia" w:cs="@仿宋_GB2312" w:asciiTheme="minorEastAsia" w:hAnsiTheme="minorEastAsia" w:eastAsiaTheme="minorEastAsia"/>
                <w:color w:val="auto"/>
                <w:kern w:val="2"/>
                <w:sz w:val="24"/>
                <w:szCs w:val="22"/>
                <w:highlight w:val="none"/>
                <w:lang w:val="en-US" w:eastAsia="zh-CN"/>
              </w:rPr>
              <w:t>根据项目实际情况自行确定</w:t>
            </w:r>
          </w:p>
        </w:tc>
      </w:tr>
      <w:tr w14:paraId="2782D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trPr>
        <w:tc>
          <w:tcPr>
            <w:tcW w:w="495" w:type="pct"/>
            <w:vAlign w:val="center"/>
          </w:tcPr>
          <w:p w14:paraId="476F5D4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4</w:t>
            </w:r>
          </w:p>
        </w:tc>
        <w:tc>
          <w:tcPr>
            <w:tcW w:w="875" w:type="pct"/>
            <w:vAlign w:val="center"/>
          </w:tcPr>
          <w:p w14:paraId="44363FBC">
            <w:pPr>
              <w:keepNext w:val="0"/>
              <w:keepLines w:val="0"/>
              <w:pageBreakBefore w:val="0"/>
              <w:widowControl w:val="0"/>
              <w:kinsoku/>
              <w:wordWrap/>
              <w:overflowPunct/>
              <w:topLinePunct w:val="0"/>
              <w:autoSpaceDE/>
              <w:autoSpaceDN/>
              <w:bidi w:val="0"/>
              <w:adjustRightInd/>
              <w:snapToGrid/>
              <w:spacing w:line="440" w:lineRule="exact"/>
              <w:textAlignment w:val="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报价须知</w:t>
            </w:r>
          </w:p>
        </w:tc>
        <w:tc>
          <w:tcPr>
            <w:tcW w:w="3629" w:type="pct"/>
            <w:vAlign w:val="center"/>
          </w:tcPr>
          <w:p w14:paraId="0AB82067">
            <w:pPr>
              <w:keepNext w:val="0"/>
              <w:keepLines w:val="0"/>
              <w:pageBreakBefore w:val="0"/>
              <w:widowControl w:val="0"/>
              <w:kinsoku/>
              <w:wordWrap/>
              <w:overflowPunct/>
              <w:topLinePunct w:val="0"/>
              <w:autoSpaceDE/>
              <w:autoSpaceDN/>
              <w:bidi w:val="0"/>
              <w:adjustRightInd/>
              <w:snapToGrid/>
              <w:spacing w:line="440" w:lineRule="exact"/>
              <w:textAlignment w:val="auto"/>
              <w:rPr>
                <w:kern w:val="2"/>
                <w:sz w:val="21"/>
                <w:szCs w:val="22"/>
              </w:rPr>
            </w:pPr>
            <w:r>
              <w:rPr>
                <w:rFonts w:hint="eastAsia" w:cs="@仿宋_GB2312" w:asciiTheme="minorEastAsia" w:hAnsiTheme="minorEastAsia" w:eastAsiaTheme="minorEastAsia"/>
                <w:color w:val="auto"/>
                <w:kern w:val="2"/>
                <w:sz w:val="24"/>
                <w:szCs w:val="22"/>
                <w:highlight w:val="none"/>
              </w:rPr>
              <w:t>供应商报价均不得高于谈判文件（公告）列明的项目预算、最高投标限价，否则其响应文件将被认定为响应无效。</w:t>
            </w:r>
          </w:p>
        </w:tc>
      </w:tr>
      <w:tr w14:paraId="11192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 w:type="pct"/>
            <w:vAlign w:val="center"/>
          </w:tcPr>
          <w:p w14:paraId="626C414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5</w:t>
            </w:r>
          </w:p>
        </w:tc>
        <w:tc>
          <w:tcPr>
            <w:tcW w:w="875" w:type="pct"/>
            <w:vAlign w:val="center"/>
          </w:tcPr>
          <w:p w14:paraId="550E8595">
            <w:pPr>
              <w:keepNext w:val="0"/>
              <w:keepLines w:val="0"/>
              <w:pageBreakBefore w:val="0"/>
              <w:widowControl w:val="0"/>
              <w:kinsoku/>
              <w:wordWrap/>
              <w:overflowPunct/>
              <w:topLinePunct w:val="0"/>
              <w:autoSpaceDE/>
              <w:autoSpaceDN/>
              <w:bidi w:val="0"/>
              <w:adjustRightInd/>
              <w:snapToGrid/>
              <w:spacing w:line="440" w:lineRule="exact"/>
              <w:textAlignment w:val="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重要说明</w:t>
            </w:r>
          </w:p>
        </w:tc>
        <w:tc>
          <w:tcPr>
            <w:tcW w:w="3629" w:type="pct"/>
            <w:vAlign w:val="center"/>
          </w:tcPr>
          <w:p w14:paraId="1FFCA98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olor w:val="auto"/>
                <w:kern w:val="2"/>
                <w:sz w:val="24"/>
                <w:szCs w:val="18"/>
                <w:highlight w:val="none"/>
              </w:rPr>
            </w:pPr>
            <w:r>
              <w:rPr>
                <w:rFonts w:hint="eastAsia" w:cs="宋体"/>
                <w:kern w:val="2"/>
                <w:sz w:val="24"/>
                <w:szCs w:val="24"/>
                <w:highlight w:val="none"/>
                <w:lang w:val="en-US" w:eastAsia="zh-CN"/>
              </w:rPr>
              <w:t>1、</w:t>
            </w:r>
            <w:r>
              <w:rPr>
                <w:rFonts w:ascii="宋体" w:hAnsi="宋体" w:eastAsia="宋体" w:cs="宋体"/>
                <w:kern w:val="2"/>
                <w:sz w:val="24"/>
                <w:szCs w:val="24"/>
                <w:highlight w:val="none"/>
              </w:rPr>
              <w:t>政府采购政策（包括但不限于下列具体政策要求</w:t>
            </w:r>
            <w:r>
              <w:rPr>
                <w:rFonts w:hint="eastAsia" w:ascii="宋体" w:hAnsi="宋体" w:eastAsia="宋体" w:cs="宋体"/>
                <w:kern w:val="2"/>
                <w:sz w:val="24"/>
                <w:szCs w:val="24"/>
                <w:highlight w:val="none"/>
                <w:lang w:eastAsia="zh-CN"/>
              </w:rPr>
              <w:t>）</w:t>
            </w:r>
            <w:r>
              <w:rPr>
                <w:rFonts w:hint="eastAsia" w:ascii="宋体" w:hAnsi="宋体" w:eastAsia="宋体"/>
                <w:color w:val="auto"/>
                <w:kern w:val="2"/>
                <w:sz w:val="24"/>
                <w:szCs w:val="18"/>
                <w:highlight w:val="none"/>
              </w:rPr>
              <w:t>：</w:t>
            </w:r>
          </w:p>
          <w:p w14:paraId="6CBD3E1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（1）如属于《节能产品政府采购品目清单》中政府强制采购的节能产品，则</w:t>
            </w:r>
            <w:r>
              <w:rPr>
                <w:rFonts w:hint="eastAsia" w:cs="宋体"/>
                <w:color w:val="auto"/>
                <w:kern w:val="2"/>
                <w:sz w:val="24"/>
                <w:szCs w:val="24"/>
                <w:highlight w:val="none"/>
                <w:lang w:eastAsia="zh-CN"/>
              </w:rPr>
              <w:t>供应商</w:t>
            </w:r>
            <w:r>
              <w:rPr>
                <w:rFonts w:hint="eastAsia" w:ascii="宋体" w:hAnsi="宋体" w:eastAsia="宋体" w:cs="宋体"/>
                <w:color w:val="auto"/>
                <w:kern w:val="2"/>
                <w:sz w:val="24"/>
                <w:szCs w:val="24"/>
                <w:highlight w:val="none"/>
              </w:rPr>
              <w:t>所投产品须具有市场监管总局公布的《参与实施政府采购节能产品认证机构目录》中的认证机构出具的、处于有效期内的节能产品认证证书。</w:t>
            </w:r>
          </w:p>
          <w:p w14:paraId="54FF02ED">
            <w:pPr>
              <w:keepNext w:val="0"/>
              <w:keepLines w:val="0"/>
              <w:pageBreakBefore w:val="0"/>
              <w:widowControl w:val="0"/>
              <w:kinsoku/>
              <w:wordWrap/>
              <w:overflowPunct/>
              <w:topLinePunct w:val="0"/>
              <w:autoSpaceDE/>
              <w:autoSpaceDN/>
              <w:bidi w:val="0"/>
              <w:adjustRightInd/>
              <w:snapToGrid/>
              <w:spacing w:line="440" w:lineRule="exact"/>
              <w:textAlignment w:val="auto"/>
              <w:rPr>
                <w:rFonts w:cs="@仿宋_GB2312" w:asciiTheme="minorEastAsia" w:hAnsiTheme="minorEastAsia" w:eastAsiaTheme="minorEastAsia"/>
                <w:color w:val="auto"/>
                <w:kern w:val="2"/>
                <w:sz w:val="24"/>
                <w:szCs w:val="22"/>
                <w:highlight w:val="none"/>
              </w:rPr>
            </w:pPr>
            <w:r>
              <w:rPr>
                <w:rFonts w:hint="eastAsia" w:ascii="宋体" w:hAnsi="宋体" w:eastAsia="宋体" w:cs="宋体"/>
                <w:color w:val="auto"/>
                <w:kern w:val="2"/>
                <w:sz w:val="24"/>
                <w:szCs w:val="24"/>
                <w:highlight w:val="none"/>
              </w:rPr>
              <w:t>（2）如涉及商品包装和快递包装，</w:t>
            </w:r>
            <w:r>
              <w:rPr>
                <w:rFonts w:hint="eastAsia" w:cs="宋体"/>
                <w:color w:val="auto"/>
                <w:kern w:val="2"/>
                <w:sz w:val="24"/>
                <w:szCs w:val="24"/>
                <w:highlight w:val="none"/>
                <w:lang w:val="en-US" w:eastAsia="zh-CN"/>
              </w:rPr>
              <w:t>供应商</w:t>
            </w:r>
            <w:r>
              <w:rPr>
                <w:rFonts w:hint="eastAsia" w:ascii="宋体" w:hAnsi="宋体" w:eastAsia="宋体" w:cs="宋体"/>
                <w:color w:val="auto"/>
                <w:kern w:val="2"/>
                <w:sz w:val="24"/>
                <w:szCs w:val="24"/>
                <w:highlight w:val="none"/>
              </w:rPr>
              <w:t>应当执行《关于印发〈商品包装政府采购需求标准（试行）〉、〈快递包装政府采购需求标准（试行）〉的通知》（财办库〔2020〕123号）、《安徽省财政厅关于贯彻落实政府绿色采购有关政策的通知》（皖财购〔2023〕853号）的要求，提供符合需求标准的绿色包装、绿色运输，同时，采购人将对包装材料和运输环节作为履约验收条款进行验收。</w:t>
            </w:r>
          </w:p>
        </w:tc>
      </w:tr>
      <w:tr w14:paraId="62AEC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trPr>
        <w:tc>
          <w:tcPr>
            <w:tcW w:w="495" w:type="pct"/>
            <w:vAlign w:val="center"/>
          </w:tcPr>
          <w:p w14:paraId="1E14F21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cs="@仿宋_GB2312" w:asciiTheme="minorEastAsia" w:hAnsiTheme="minorEastAsia" w:eastAsiaTheme="minorEastAsia"/>
                <w:color w:val="auto"/>
                <w:kern w:val="2"/>
                <w:sz w:val="24"/>
                <w:szCs w:val="22"/>
                <w:highlight w:val="none"/>
              </w:rPr>
            </w:pPr>
            <w:r>
              <w:rPr>
                <w:rFonts w:cs="@仿宋_GB2312" w:asciiTheme="minorEastAsia" w:hAnsiTheme="minorEastAsia" w:eastAsiaTheme="minorEastAsia"/>
                <w:color w:val="auto"/>
                <w:kern w:val="2"/>
                <w:sz w:val="24"/>
                <w:szCs w:val="22"/>
                <w:highlight w:val="none"/>
              </w:rPr>
              <w:t>6</w:t>
            </w:r>
          </w:p>
        </w:tc>
        <w:tc>
          <w:tcPr>
            <w:tcW w:w="875" w:type="pct"/>
            <w:vAlign w:val="center"/>
          </w:tcPr>
          <w:p w14:paraId="31E424C6">
            <w:pPr>
              <w:keepNext w:val="0"/>
              <w:keepLines w:val="0"/>
              <w:pageBreakBefore w:val="0"/>
              <w:widowControl w:val="0"/>
              <w:kinsoku/>
              <w:wordWrap/>
              <w:overflowPunct/>
              <w:topLinePunct w:val="0"/>
              <w:autoSpaceDE/>
              <w:autoSpaceDN/>
              <w:bidi w:val="0"/>
              <w:adjustRightInd/>
              <w:snapToGrid/>
              <w:spacing w:line="440" w:lineRule="exact"/>
              <w:textAlignment w:val="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项目经理</w:t>
            </w:r>
          </w:p>
        </w:tc>
        <w:tc>
          <w:tcPr>
            <w:tcW w:w="3629" w:type="pct"/>
            <w:vAlign w:val="center"/>
          </w:tcPr>
          <w:p w14:paraId="46034AA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cs="@仿宋_GB2312" w:asciiTheme="minorEastAsia" w:hAnsiTheme="minorEastAsia" w:eastAsiaTheme="minorEastAsia"/>
                <w:color w:val="auto"/>
                <w:kern w:val="2"/>
                <w:sz w:val="24"/>
                <w:szCs w:val="22"/>
                <w:highlight w:val="none"/>
                <w:lang w:eastAsia="zh-CN"/>
              </w:rPr>
            </w:pPr>
            <w:r>
              <w:rPr>
                <w:rFonts w:hint="eastAsia" w:cs="@仿宋_GB2312" w:asciiTheme="minorEastAsia" w:hAnsiTheme="minorEastAsia" w:eastAsiaTheme="minorEastAsia"/>
                <w:color w:val="auto"/>
                <w:kern w:val="2"/>
                <w:sz w:val="24"/>
                <w:szCs w:val="22"/>
                <w:highlight w:val="none"/>
                <w:lang w:eastAsia="zh-CN"/>
              </w:rPr>
              <w:t>具备注册在供应商的建筑工程专业二级及以上注册建造师资格，具备有效的安全生产考核合格证书（B证）</w:t>
            </w:r>
          </w:p>
        </w:tc>
      </w:tr>
      <w:tr w14:paraId="3018E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 w:type="pct"/>
            <w:vAlign w:val="center"/>
          </w:tcPr>
          <w:p w14:paraId="03B87E7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cs="@仿宋_GB2312" w:asciiTheme="minorEastAsia" w:hAnsiTheme="minorEastAsia" w:eastAsiaTheme="minorEastAsia"/>
                <w:color w:val="auto"/>
                <w:kern w:val="2"/>
                <w:sz w:val="24"/>
                <w:szCs w:val="22"/>
                <w:highlight w:val="none"/>
                <w:lang w:val="en-US" w:eastAsia="zh-CN"/>
              </w:rPr>
            </w:pPr>
            <w:r>
              <w:rPr>
                <w:rFonts w:hint="eastAsia" w:cs="@仿宋_GB2312" w:asciiTheme="minorEastAsia" w:hAnsiTheme="minorEastAsia" w:eastAsiaTheme="minorEastAsia"/>
                <w:color w:val="auto"/>
                <w:kern w:val="2"/>
                <w:sz w:val="24"/>
                <w:szCs w:val="22"/>
                <w:highlight w:val="none"/>
                <w:lang w:val="en-US" w:eastAsia="zh-CN"/>
              </w:rPr>
              <w:t>7</w:t>
            </w:r>
          </w:p>
        </w:tc>
        <w:tc>
          <w:tcPr>
            <w:tcW w:w="875" w:type="pct"/>
            <w:vAlign w:val="center"/>
          </w:tcPr>
          <w:p w14:paraId="78AE7C6C">
            <w:pPr>
              <w:pStyle w:val="75"/>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textAlignment w:val="auto"/>
              <w:rPr>
                <w:rFonts w:cs="@仿宋_GB2312" w:asciiTheme="minorEastAsia" w:hAnsiTheme="minorEastAsia" w:eastAsiaTheme="minorEastAsia"/>
                <w:color w:val="auto"/>
                <w:kern w:val="2"/>
                <w:sz w:val="24"/>
                <w:highlight w:val="none"/>
              </w:rPr>
            </w:pPr>
            <w:r>
              <w:rPr>
                <w:rFonts w:hint="eastAsia" w:asciiTheme="minorHAnsi" w:hAnsiTheme="minorHAnsi" w:eastAsiaTheme="minorEastAsia"/>
                <w:b w:val="0"/>
                <w:color w:val="auto"/>
                <w:kern w:val="2"/>
                <w:sz w:val="24"/>
                <w:highlight w:val="none"/>
              </w:rPr>
              <w:t>本项目采购标的名称及所属行业</w:t>
            </w:r>
          </w:p>
        </w:tc>
        <w:tc>
          <w:tcPr>
            <w:tcW w:w="3629" w:type="pct"/>
            <w:vAlign w:val="center"/>
          </w:tcPr>
          <w:p w14:paraId="48928EA8">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Theme="minorEastAsia" w:hAnsiTheme="minorEastAsia" w:eastAsiaTheme="minorEastAsia"/>
                <w:color w:val="auto"/>
                <w:kern w:val="2"/>
                <w:sz w:val="24"/>
                <w:szCs w:val="22"/>
                <w:highlight w:val="none"/>
              </w:rPr>
            </w:pPr>
            <w:r>
              <w:rPr>
                <w:rFonts w:hint="eastAsia" w:asciiTheme="minorEastAsia" w:hAnsiTheme="minorEastAsia" w:eastAsiaTheme="minorEastAsia"/>
                <w:color w:val="auto"/>
                <w:kern w:val="2"/>
                <w:sz w:val="24"/>
                <w:szCs w:val="22"/>
                <w:highlight w:val="none"/>
              </w:rPr>
              <w:t>标的名称：</w:t>
            </w:r>
            <w:r>
              <w:rPr>
                <w:rFonts w:hint="eastAsia" w:asciiTheme="minorEastAsia" w:hAnsiTheme="minorEastAsia" w:eastAsiaTheme="minorEastAsia"/>
                <w:color w:val="auto"/>
                <w:kern w:val="2"/>
                <w:sz w:val="24"/>
                <w:szCs w:val="22"/>
                <w:highlight w:val="none"/>
                <w:lang w:val="en-US" w:eastAsia="zh-CN"/>
              </w:rPr>
              <w:t>定远县总医院120中心大楼室内改造项目</w:t>
            </w:r>
          </w:p>
          <w:p w14:paraId="351F532A">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Theme="minorHAnsi" w:hAnsiTheme="minorHAnsi" w:eastAsiaTheme="minorEastAsia"/>
                <w:color w:val="auto"/>
                <w:kern w:val="2"/>
                <w:sz w:val="24"/>
                <w:szCs w:val="22"/>
                <w:highlight w:val="none"/>
                <w:lang w:val="en-US" w:eastAsia="zh-CN"/>
              </w:rPr>
            </w:pPr>
            <w:r>
              <w:rPr>
                <w:rFonts w:hint="eastAsia" w:asciiTheme="minorEastAsia" w:hAnsiTheme="minorEastAsia" w:eastAsiaTheme="minorEastAsia"/>
                <w:color w:val="auto"/>
                <w:kern w:val="2"/>
                <w:sz w:val="24"/>
                <w:szCs w:val="22"/>
                <w:highlight w:val="none"/>
              </w:rPr>
              <w:t>所属行业：</w:t>
            </w:r>
            <w:r>
              <w:rPr>
                <w:rFonts w:hint="eastAsia" w:asciiTheme="minorEastAsia" w:hAnsiTheme="minorEastAsia" w:eastAsiaTheme="minorEastAsia"/>
                <w:color w:val="auto"/>
                <w:kern w:val="2"/>
                <w:sz w:val="24"/>
                <w:szCs w:val="22"/>
                <w:highlight w:val="none"/>
                <w:lang w:val="en-US" w:eastAsia="zh-CN"/>
              </w:rPr>
              <w:t>建筑业</w:t>
            </w:r>
          </w:p>
        </w:tc>
      </w:tr>
    </w:tbl>
    <w:p w14:paraId="4D683C93">
      <w:pPr>
        <w:spacing w:line="360" w:lineRule="auto"/>
        <w:ind w:firstLine="480" w:firstLineChars="200"/>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br w:type="page"/>
      </w:r>
    </w:p>
    <w:p w14:paraId="32437D58">
      <w:pPr>
        <w:spacing w:line="360" w:lineRule="auto"/>
        <w:jc w:val="center"/>
        <w:outlineLvl w:val="0"/>
        <w:rPr>
          <w:rFonts w:asciiTheme="minorEastAsia" w:hAnsiTheme="minorEastAsia" w:eastAsiaTheme="minorEastAsia"/>
          <w:b/>
          <w:color w:val="auto"/>
          <w:sz w:val="28"/>
          <w:highlight w:val="none"/>
        </w:rPr>
      </w:pPr>
      <w:bookmarkStart w:id="21" w:name="_Toc29728"/>
      <w:bookmarkStart w:id="22" w:name="_Toc11408"/>
      <w:r>
        <w:rPr>
          <w:rFonts w:hint="eastAsia" w:asciiTheme="minorEastAsia" w:hAnsiTheme="minorEastAsia" w:eastAsiaTheme="minorEastAsia"/>
          <w:b/>
          <w:color w:val="auto"/>
          <w:sz w:val="28"/>
          <w:highlight w:val="none"/>
        </w:rPr>
        <w:t>第四章  评审方法和标准</w:t>
      </w:r>
      <w:bookmarkEnd w:id="21"/>
      <w:bookmarkEnd w:id="22"/>
    </w:p>
    <w:p w14:paraId="5F472B46">
      <w:pPr>
        <w:spacing w:line="360" w:lineRule="auto"/>
        <w:ind w:firstLine="437"/>
        <w:outlineLvl w:val="1"/>
        <w:rPr>
          <w:rFonts w:asciiTheme="minorEastAsia" w:hAnsiTheme="minorEastAsia" w:eastAsiaTheme="minorEastAsia"/>
          <w:b/>
          <w:color w:val="auto"/>
          <w:sz w:val="24"/>
          <w:highlight w:val="none"/>
        </w:rPr>
      </w:pPr>
      <w:bookmarkStart w:id="23" w:name="_Toc794"/>
      <w:bookmarkStart w:id="24" w:name="_Toc7817"/>
      <w:bookmarkStart w:id="25" w:name="_Toc7278"/>
      <w:r>
        <w:rPr>
          <w:rFonts w:hint="eastAsia" w:asciiTheme="minorEastAsia" w:hAnsiTheme="minorEastAsia" w:eastAsiaTheme="minorEastAsia"/>
          <w:b/>
          <w:color w:val="auto"/>
          <w:sz w:val="24"/>
          <w:highlight w:val="none"/>
        </w:rPr>
        <w:t>一、总则</w:t>
      </w:r>
      <w:bookmarkEnd w:id="23"/>
      <w:bookmarkEnd w:id="24"/>
      <w:bookmarkEnd w:id="25"/>
    </w:p>
    <w:p w14:paraId="44B3915C">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本项目将按照谈判文件第二章供应商须知的相关要求</w:t>
      </w:r>
      <w:r>
        <w:rPr>
          <w:rFonts w:asciiTheme="minorEastAsia" w:hAnsiTheme="minorEastAsia" w:eastAsiaTheme="minorEastAsia"/>
          <w:color w:val="auto"/>
          <w:sz w:val="24"/>
          <w:highlight w:val="none"/>
        </w:rPr>
        <w:t>及本章的规定</w:t>
      </w:r>
      <w:r>
        <w:rPr>
          <w:rFonts w:hint="eastAsia" w:asciiTheme="minorEastAsia" w:hAnsiTheme="minorEastAsia" w:eastAsiaTheme="minorEastAsia"/>
          <w:color w:val="auto"/>
          <w:sz w:val="24"/>
          <w:highlight w:val="none"/>
        </w:rPr>
        <w:t>评审</w:t>
      </w:r>
      <w:r>
        <w:rPr>
          <w:rFonts w:asciiTheme="minorEastAsia" w:hAnsiTheme="minorEastAsia" w:eastAsiaTheme="minorEastAsia"/>
          <w:color w:val="auto"/>
          <w:sz w:val="24"/>
          <w:highlight w:val="none"/>
        </w:rPr>
        <w:t>。</w:t>
      </w:r>
    </w:p>
    <w:p w14:paraId="680FF8EE">
      <w:pPr>
        <w:numPr>
          <w:ilvl w:val="0"/>
          <w:numId w:val="2"/>
        </w:numPr>
        <w:spacing w:line="360" w:lineRule="auto"/>
        <w:ind w:firstLine="437"/>
        <w:outlineLvl w:val="1"/>
      </w:pPr>
      <w:bookmarkStart w:id="26" w:name="_Toc31007"/>
      <w:bookmarkStart w:id="27" w:name="_Toc31558"/>
      <w:bookmarkStart w:id="28" w:name="_Toc27669"/>
      <w:r>
        <w:rPr>
          <w:rFonts w:hint="eastAsia" w:asciiTheme="minorEastAsia" w:hAnsiTheme="minorEastAsia" w:eastAsiaTheme="minorEastAsia"/>
          <w:b/>
          <w:color w:val="auto"/>
          <w:sz w:val="24"/>
          <w:highlight w:val="none"/>
        </w:rPr>
        <w:t>评审方法</w:t>
      </w:r>
      <w:bookmarkEnd w:id="26"/>
      <w:bookmarkEnd w:id="27"/>
      <w:bookmarkEnd w:id="28"/>
    </w:p>
    <w:p w14:paraId="6F0ECC2D">
      <w:pPr>
        <w:spacing w:line="360" w:lineRule="auto"/>
        <w:ind w:firstLine="435"/>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2.1初审</w:t>
      </w:r>
    </w:p>
    <w:p w14:paraId="1CC62542">
      <w:pPr>
        <w:spacing w:line="360" w:lineRule="auto"/>
        <w:ind w:firstLine="435"/>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谈判小组对供应商的响应文件进行初审，以确定其是否满足谈判文件的实质性要求。初审表如下：</w:t>
      </w:r>
    </w:p>
    <w:p w14:paraId="331FAEE7">
      <w:pPr>
        <w:bidi w:val="0"/>
      </w:pPr>
    </w:p>
    <w:tbl>
      <w:tblPr>
        <w:tblStyle w:val="55"/>
        <w:tblW w:w="505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3"/>
        <w:gridCol w:w="1673"/>
        <w:gridCol w:w="4083"/>
        <w:gridCol w:w="2633"/>
      </w:tblGrid>
      <w:tr w14:paraId="6924E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5000" w:type="pct"/>
            <w:gridSpan w:val="4"/>
            <w:tcBorders>
              <w:bottom w:val="single" w:color="auto" w:sz="4" w:space="0"/>
            </w:tcBorders>
            <w:vAlign w:val="center"/>
          </w:tcPr>
          <w:p w14:paraId="638A903E">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hint="eastAsia" w:ascii="Calibri" w:hAnsi="Calibri" w:cs="Times New Roman"/>
                <w:b/>
                <w:color w:val="auto"/>
                <w:kern w:val="2"/>
                <w:sz w:val="24"/>
                <w:szCs w:val="22"/>
                <w:highlight w:val="none"/>
              </w:rPr>
            </w:pPr>
            <w:r>
              <w:rPr>
                <w:rFonts w:hint="eastAsia" w:ascii="Calibri" w:hAnsi="Calibri" w:cs="Times New Roman"/>
                <w:b/>
                <w:color w:val="auto"/>
                <w:kern w:val="2"/>
                <w:sz w:val="24"/>
                <w:szCs w:val="22"/>
                <w:highlight w:val="none"/>
              </w:rPr>
              <w:t>初审表</w:t>
            </w:r>
          </w:p>
        </w:tc>
      </w:tr>
      <w:tr w14:paraId="70E46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486" w:type="pct"/>
            <w:tcBorders>
              <w:bottom w:val="single" w:color="auto" w:sz="4" w:space="0"/>
            </w:tcBorders>
            <w:vAlign w:val="center"/>
          </w:tcPr>
          <w:p w14:paraId="27A0D2E5">
            <w:pPr>
              <w:keepNext w:val="0"/>
              <w:keepLines w:val="0"/>
              <w:pageBreakBefore w:val="0"/>
              <w:widowControl w:val="0"/>
              <w:kinsoku/>
              <w:wordWrap/>
              <w:overflowPunct/>
              <w:topLinePunct w:val="0"/>
              <w:autoSpaceDE/>
              <w:autoSpaceDN/>
              <w:bidi w:val="0"/>
              <w:adjustRightInd w:val="0"/>
              <w:snapToGrid w:val="0"/>
              <w:spacing w:line="440" w:lineRule="exact"/>
              <w:ind w:right="-10" w:rightChars="0"/>
              <w:jc w:val="center"/>
              <w:textAlignment w:val="auto"/>
              <w:rPr>
                <w:rFonts w:ascii="Calibri" w:hAnsi="Calibri" w:cs="Times New Roman"/>
                <w:b/>
                <w:bCs/>
                <w:color w:val="auto"/>
                <w:kern w:val="2"/>
                <w:sz w:val="24"/>
                <w:szCs w:val="22"/>
                <w:highlight w:val="none"/>
              </w:rPr>
            </w:pPr>
            <w:r>
              <w:rPr>
                <w:rFonts w:hint="eastAsia" w:ascii="宋体" w:hAnsi="宋体" w:eastAsia="宋体"/>
                <w:b/>
                <w:bCs/>
                <w:color w:val="auto"/>
                <w:sz w:val="24"/>
                <w:highlight w:val="none"/>
              </w:rPr>
              <w:t>序号</w:t>
            </w:r>
          </w:p>
        </w:tc>
        <w:tc>
          <w:tcPr>
            <w:tcW w:w="900" w:type="pct"/>
            <w:tcBorders>
              <w:bottom w:val="single" w:color="auto" w:sz="4" w:space="0"/>
            </w:tcBorders>
            <w:vAlign w:val="center"/>
          </w:tcPr>
          <w:p w14:paraId="4EBB17B8">
            <w:pPr>
              <w:pStyle w:val="76"/>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snapToGrid w:val="0"/>
              <w:spacing w:line="440" w:lineRule="exact"/>
              <w:ind w:right="-10" w:rightChars="0"/>
              <w:textAlignment w:val="auto"/>
              <w:rPr>
                <w:rFonts w:ascii="Calibri" w:hAnsi="Calibri" w:cs="Times New Roman"/>
                <w:b/>
                <w:bCs/>
                <w:color w:val="auto"/>
                <w:kern w:val="2"/>
                <w:sz w:val="24"/>
                <w:szCs w:val="24"/>
                <w:highlight w:val="none"/>
              </w:rPr>
            </w:pPr>
            <w:r>
              <w:rPr>
                <w:rFonts w:hint="eastAsia" w:ascii="宋体" w:hAnsi="宋体" w:eastAsia="宋体"/>
                <w:b/>
                <w:bCs/>
                <w:color w:val="auto"/>
                <w:kern w:val="2"/>
                <w:szCs w:val="24"/>
                <w:highlight w:val="none"/>
                <w:lang w:val="en-US" w:eastAsia="zh-CN"/>
              </w:rPr>
              <w:t>审查因素</w:t>
            </w:r>
          </w:p>
        </w:tc>
        <w:tc>
          <w:tcPr>
            <w:tcW w:w="2196" w:type="pct"/>
            <w:tcBorders>
              <w:bottom w:val="single" w:color="auto" w:sz="4" w:space="0"/>
            </w:tcBorders>
            <w:vAlign w:val="center"/>
          </w:tcPr>
          <w:p w14:paraId="5C6ABBCF">
            <w:pPr>
              <w:keepNext w:val="0"/>
              <w:keepLines w:val="0"/>
              <w:pageBreakBefore w:val="0"/>
              <w:widowControl w:val="0"/>
              <w:kinsoku/>
              <w:wordWrap/>
              <w:overflowPunct/>
              <w:topLinePunct w:val="0"/>
              <w:autoSpaceDE/>
              <w:autoSpaceDN/>
              <w:bidi w:val="0"/>
              <w:adjustRightInd w:val="0"/>
              <w:snapToGrid w:val="0"/>
              <w:spacing w:line="440" w:lineRule="exact"/>
              <w:ind w:right="-10" w:rightChars="0"/>
              <w:jc w:val="center"/>
              <w:textAlignment w:val="auto"/>
              <w:rPr>
                <w:rFonts w:ascii="Calibri" w:hAnsi="Calibri" w:cs="Times New Roman"/>
                <w:b/>
                <w:bCs/>
                <w:color w:val="auto"/>
                <w:kern w:val="2"/>
                <w:sz w:val="24"/>
                <w:szCs w:val="22"/>
                <w:highlight w:val="none"/>
              </w:rPr>
            </w:pPr>
            <w:r>
              <w:rPr>
                <w:rFonts w:hint="eastAsia" w:ascii="宋体" w:hAnsi="宋体" w:eastAsia="宋体"/>
                <w:b/>
                <w:bCs/>
                <w:color w:val="auto"/>
                <w:sz w:val="24"/>
                <w:highlight w:val="none"/>
                <w:lang w:val="en-US" w:eastAsia="zh-CN"/>
              </w:rPr>
              <w:t>审查内容</w:t>
            </w:r>
          </w:p>
        </w:tc>
        <w:tc>
          <w:tcPr>
            <w:tcW w:w="1416" w:type="pct"/>
            <w:tcBorders>
              <w:bottom w:val="single" w:color="auto" w:sz="4" w:space="0"/>
            </w:tcBorders>
            <w:vAlign w:val="center"/>
          </w:tcPr>
          <w:p w14:paraId="51276809">
            <w:pPr>
              <w:keepNext w:val="0"/>
              <w:keepLines w:val="0"/>
              <w:pageBreakBefore w:val="0"/>
              <w:widowControl w:val="0"/>
              <w:kinsoku/>
              <w:wordWrap/>
              <w:overflowPunct/>
              <w:topLinePunct w:val="0"/>
              <w:autoSpaceDE/>
              <w:autoSpaceDN/>
              <w:bidi w:val="0"/>
              <w:adjustRightInd w:val="0"/>
              <w:snapToGrid w:val="0"/>
              <w:spacing w:line="440" w:lineRule="exact"/>
              <w:ind w:right="-10" w:rightChars="0"/>
              <w:jc w:val="center"/>
              <w:textAlignment w:val="auto"/>
              <w:rPr>
                <w:rFonts w:hint="eastAsia" w:ascii="Calibri" w:hAnsi="Calibri" w:cs="Times New Roman"/>
                <w:b/>
                <w:bCs/>
                <w:color w:val="auto"/>
                <w:kern w:val="2"/>
                <w:sz w:val="24"/>
                <w:szCs w:val="22"/>
                <w:highlight w:val="none"/>
              </w:rPr>
            </w:pPr>
            <w:r>
              <w:rPr>
                <w:rFonts w:hint="eastAsia" w:ascii="宋体" w:hAnsi="宋体" w:eastAsia="宋体"/>
                <w:b/>
                <w:bCs/>
                <w:color w:val="auto"/>
                <w:sz w:val="24"/>
                <w:highlight w:val="none"/>
              </w:rPr>
              <w:t>格式要求</w:t>
            </w:r>
          </w:p>
        </w:tc>
      </w:tr>
      <w:tr w14:paraId="4D388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 w:type="pct"/>
            <w:tcBorders>
              <w:bottom w:val="single" w:color="auto" w:sz="4" w:space="0"/>
            </w:tcBorders>
            <w:vAlign w:val="center"/>
          </w:tcPr>
          <w:p w14:paraId="464B2B4F">
            <w:pPr>
              <w:keepNext w:val="0"/>
              <w:keepLines w:val="0"/>
              <w:pageBreakBefore w:val="0"/>
              <w:widowControl w:val="0"/>
              <w:kinsoku/>
              <w:wordWrap/>
              <w:overflowPunct/>
              <w:topLinePunct w:val="0"/>
              <w:autoSpaceDE/>
              <w:autoSpaceDN/>
              <w:bidi w:val="0"/>
              <w:adjustRightInd w:val="0"/>
              <w:snapToGrid w:val="0"/>
              <w:spacing w:line="440" w:lineRule="exact"/>
              <w:ind w:right="-10" w:rightChars="0"/>
              <w:jc w:val="center"/>
              <w:textAlignment w:val="auto"/>
              <w:rPr>
                <w:rFonts w:cs="Times New Roman" w:asciiTheme="minorEastAsia" w:hAnsiTheme="minorEastAsia" w:eastAsiaTheme="minorEastAsia"/>
                <w:color w:val="auto"/>
                <w:kern w:val="2"/>
                <w:sz w:val="24"/>
                <w:szCs w:val="22"/>
                <w:highlight w:val="none"/>
              </w:rPr>
            </w:pPr>
            <w:r>
              <w:rPr>
                <w:rFonts w:hint="eastAsia" w:ascii="宋体" w:hAnsi="宋体" w:eastAsia="宋体"/>
                <w:color w:val="auto"/>
                <w:sz w:val="24"/>
                <w:highlight w:val="none"/>
              </w:rPr>
              <w:t>1</w:t>
            </w:r>
          </w:p>
        </w:tc>
        <w:tc>
          <w:tcPr>
            <w:tcW w:w="900" w:type="pct"/>
            <w:tcBorders>
              <w:bottom w:val="single" w:color="auto" w:sz="4" w:space="0"/>
            </w:tcBorders>
            <w:vAlign w:val="center"/>
          </w:tcPr>
          <w:p w14:paraId="41C91641">
            <w:pPr>
              <w:keepNext w:val="0"/>
              <w:keepLines w:val="0"/>
              <w:pageBreakBefore w:val="0"/>
              <w:widowControl w:val="0"/>
              <w:kinsoku/>
              <w:wordWrap/>
              <w:overflowPunct/>
              <w:topLinePunct w:val="0"/>
              <w:autoSpaceDE/>
              <w:autoSpaceDN/>
              <w:bidi w:val="0"/>
              <w:spacing w:line="440" w:lineRule="exact"/>
              <w:ind w:right="-10" w:rightChars="0"/>
              <w:jc w:val="center"/>
              <w:textAlignment w:val="auto"/>
              <w:rPr>
                <w:rFonts w:ascii="Calibri" w:hAnsi="Calibri" w:cs="Times New Roman"/>
                <w:color w:val="auto"/>
                <w:kern w:val="2"/>
                <w:sz w:val="24"/>
                <w:szCs w:val="24"/>
                <w:highlight w:val="none"/>
              </w:rPr>
            </w:pPr>
            <w:r>
              <w:rPr>
                <w:rFonts w:ascii="宋体" w:hAnsi="宋体" w:eastAsia="宋体" w:cs="宋体"/>
                <w:spacing w:val="9"/>
                <w:sz w:val="24"/>
                <w:szCs w:val="24"/>
              </w:rPr>
              <w:t>营业执照等证明</w:t>
            </w:r>
            <w:r>
              <w:rPr>
                <w:rFonts w:ascii="宋体" w:hAnsi="宋体" w:eastAsia="宋体" w:cs="宋体"/>
                <w:spacing w:val="-3"/>
                <w:sz w:val="24"/>
                <w:szCs w:val="24"/>
              </w:rPr>
              <w:t>文件</w:t>
            </w:r>
          </w:p>
        </w:tc>
        <w:tc>
          <w:tcPr>
            <w:tcW w:w="2196" w:type="pct"/>
            <w:tcBorders>
              <w:bottom w:val="single" w:color="auto" w:sz="4" w:space="0"/>
            </w:tcBorders>
            <w:vAlign w:val="center"/>
          </w:tcPr>
          <w:p w14:paraId="445AFF29">
            <w:pPr>
              <w:keepNext w:val="0"/>
              <w:keepLines w:val="0"/>
              <w:pageBreakBefore w:val="0"/>
              <w:widowControl w:val="0"/>
              <w:kinsoku/>
              <w:wordWrap/>
              <w:overflowPunct/>
              <w:topLinePunct w:val="0"/>
              <w:autoSpaceDE/>
              <w:autoSpaceDN/>
              <w:bidi w:val="0"/>
              <w:spacing w:line="440" w:lineRule="exact"/>
              <w:ind w:right="-10" w:rightChars="0"/>
              <w:jc w:val="left"/>
              <w:textAlignment w:val="auto"/>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olor w:val="auto"/>
                <w:sz w:val="24"/>
                <w:szCs w:val="18"/>
                <w:highlight w:val="none"/>
                <w:lang w:val="en-US" w:eastAsia="zh-CN"/>
              </w:rPr>
              <w:t>供应商</w:t>
            </w:r>
            <w:r>
              <w:rPr>
                <w:rFonts w:ascii="宋体" w:hAnsi="宋体" w:eastAsia="宋体" w:cs="宋体"/>
                <w:sz w:val="24"/>
                <w:szCs w:val="24"/>
              </w:rPr>
              <w:t>为企业（包括合伙企业）的，应</w:t>
            </w:r>
            <w:r>
              <w:rPr>
                <w:rFonts w:hint="eastAsia" w:ascii="宋体" w:hAnsi="宋体" w:eastAsia="宋体" w:cs="宋体"/>
                <w:sz w:val="24"/>
                <w:szCs w:val="24"/>
                <w:lang w:val="en-US" w:eastAsia="zh-CN"/>
              </w:rPr>
              <w:t>提</w:t>
            </w:r>
            <w:r>
              <w:rPr>
                <w:rFonts w:ascii="宋体" w:hAnsi="宋体" w:eastAsia="宋体" w:cs="宋体"/>
                <w:sz w:val="24"/>
                <w:szCs w:val="24"/>
              </w:rPr>
              <w:t>供有效的营业执照；</w:t>
            </w:r>
          </w:p>
          <w:p w14:paraId="37B98B5B">
            <w:pPr>
              <w:keepNext w:val="0"/>
              <w:keepLines w:val="0"/>
              <w:pageBreakBefore w:val="0"/>
              <w:widowControl w:val="0"/>
              <w:kinsoku/>
              <w:wordWrap/>
              <w:overflowPunct/>
              <w:topLinePunct w:val="0"/>
              <w:autoSpaceDE/>
              <w:autoSpaceDN/>
              <w:bidi w:val="0"/>
              <w:spacing w:line="440" w:lineRule="exact"/>
              <w:ind w:right="-10" w:rightChars="0"/>
              <w:jc w:val="left"/>
              <w:textAlignment w:val="auto"/>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olor w:val="auto"/>
                <w:sz w:val="24"/>
                <w:szCs w:val="18"/>
                <w:highlight w:val="none"/>
                <w:lang w:val="en-US" w:eastAsia="zh-CN"/>
              </w:rPr>
              <w:t>供应商</w:t>
            </w:r>
            <w:r>
              <w:rPr>
                <w:rFonts w:ascii="宋体" w:hAnsi="宋体" w:eastAsia="宋体" w:cs="宋体"/>
                <w:sz w:val="24"/>
                <w:szCs w:val="24"/>
              </w:rPr>
              <w:t>为事业单位的，应</w:t>
            </w:r>
            <w:r>
              <w:rPr>
                <w:rFonts w:hint="eastAsia" w:ascii="宋体" w:hAnsi="宋体" w:eastAsia="宋体" w:cs="宋体"/>
                <w:sz w:val="24"/>
                <w:szCs w:val="24"/>
                <w:lang w:val="en-US" w:eastAsia="zh-CN"/>
              </w:rPr>
              <w:t>提</w:t>
            </w:r>
            <w:r>
              <w:rPr>
                <w:rFonts w:ascii="宋体" w:hAnsi="宋体" w:eastAsia="宋体" w:cs="宋体"/>
                <w:sz w:val="24"/>
                <w:szCs w:val="24"/>
              </w:rPr>
              <w:t>供有效的事业单位法人证书；</w:t>
            </w:r>
          </w:p>
          <w:p w14:paraId="3F481E35">
            <w:pPr>
              <w:keepNext w:val="0"/>
              <w:keepLines w:val="0"/>
              <w:pageBreakBefore w:val="0"/>
              <w:widowControl w:val="0"/>
              <w:kinsoku/>
              <w:wordWrap/>
              <w:overflowPunct/>
              <w:topLinePunct w:val="0"/>
              <w:autoSpaceDE/>
              <w:autoSpaceDN/>
              <w:bidi w:val="0"/>
              <w:spacing w:line="440" w:lineRule="exact"/>
              <w:ind w:right="-10" w:rightChars="0"/>
              <w:jc w:val="left"/>
              <w:textAlignment w:val="auto"/>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hint="eastAsia" w:ascii="宋体" w:hAnsi="宋体" w:eastAsia="宋体"/>
                <w:color w:val="auto"/>
                <w:sz w:val="24"/>
                <w:szCs w:val="18"/>
                <w:highlight w:val="none"/>
                <w:lang w:val="en-US" w:eastAsia="zh-CN"/>
              </w:rPr>
              <w:t>供应商</w:t>
            </w:r>
            <w:r>
              <w:rPr>
                <w:rFonts w:ascii="宋体" w:hAnsi="宋体" w:eastAsia="宋体" w:cs="宋体"/>
                <w:sz w:val="24"/>
                <w:szCs w:val="24"/>
              </w:rPr>
              <w:t>是非企业机构的，应</w:t>
            </w:r>
            <w:r>
              <w:rPr>
                <w:rFonts w:hint="eastAsia" w:ascii="宋体" w:hAnsi="宋体" w:eastAsia="宋体" w:cs="宋体"/>
                <w:sz w:val="24"/>
                <w:szCs w:val="24"/>
                <w:lang w:val="en-US" w:eastAsia="zh-CN"/>
              </w:rPr>
              <w:t>提</w:t>
            </w:r>
            <w:r>
              <w:rPr>
                <w:rFonts w:ascii="宋体" w:hAnsi="宋体" w:eastAsia="宋体" w:cs="宋体"/>
                <w:sz w:val="24"/>
                <w:szCs w:val="24"/>
              </w:rPr>
              <w:t>供有效的执业许可证</w:t>
            </w:r>
            <w:r>
              <w:rPr>
                <w:rFonts w:hint="eastAsia" w:ascii="宋体" w:hAnsi="宋体" w:eastAsia="宋体" w:cs="宋体"/>
                <w:sz w:val="24"/>
                <w:szCs w:val="24"/>
                <w:lang w:val="en-US" w:eastAsia="zh-CN"/>
              </w:rPr>
              <w:t>或</w:t>
            </w:r>
            <w:r>
              <w:rPr>
                <w:rFonts w:ascii="宋体" w:hAnsi="宋体" w:eastAsia="宋体" w:cs="宋体"/>
                <w:sz w:val="24"/>
                <w:szCs w:val="24"/>
              </w:rPr>
              <w:t>登记证书等证明文件；</w:t>
            </w:r>
          </w:p>
          <w:p w14:paraId="05947454">
            <w:pPr>
              <w:keepNext w:val="0"/>
              <w:keepLines w:val="0"/>
              <w:pageBreakBefore w:val="0"/>
              <w:widowControl w:val="0"/>
              <w:kinsoku/>
              <w:wordWrap/>
              <w:overflowPunct/>
              <w:topLinePunct w:val="0"/>
              <w:autoSpaceDE/>
              <w:autoSpaceDN/>
              <w:bidi w:val="0"/>
              <w:spacing w:line="440" w:lineRule="exact"/>
              <w:ind w:right="-10" w:rightChars="0"/>
              <w:jc w:val="left"/>
              <w:textAlignment w:val="auto"/>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w:t>
            </w:r>
            <w:r>
              <w:rPr>
                <w:rFonts w:hint="eastAsia" w:ascii="宋体" w:hAnsi="宋体" w:eastAsia="宋体"/>
                <w:color w:val="auto"/>
                <w:sz w:val="24"/>
                <w:szCs w:val="18"/>
                <w:highlight w:val="none"/>
                <w:lang w:val="en-US" w:eastAsia="zh-CN"/>
              </w:rPr>
              <w:t>供应商</w:t>
            </w:r>
            <w:r>
              <w:rPr>
                <w:rFonts w:ascii="宋体" w:hAnsi="宋体" w:eastAsia="宋体" w:cs="宋体"/>
                <w:sz w:val="24"/>
                <w:szCs w:val="24"/>
              </w:rPr>
              <w:t>是个体工商户的，应</w:t>
            </w:r>
            <w:r>
              <w:rPr>
                <w:rFonts w:hint="eastAsia" w:ascii="宋体" w:hAnsi="宋体" w:eastAsia="宋体" w:cs="宋体"/>
                <w:sz w:val="24"/>
                <w:szCs w:val="24"/>
                <w:lang w:val="en-US" w:eastAsia="zh-CN"/>
              </w:rPr>
              <w:t>提</w:t>
            </w:r>
            <w:r>
              <w:rPr>
                <w:rFonts w:ascii="宋体" w:hAnsi="宋体" w:eastAsia="宋体" w:cs="宋体"/>
                <w:sz w:val="24"/>
                <w:szCs w:val="24"/>
              </w:rPr>
              <w:t>供有效的个体工商户营业执照；</w:t>
            </w:r>
          </w:p>
          <w:p w14:paraId="6877763C">
            <w:pPr>
              <w:keepNext w:val="0"/>
              <w:keepLines w:val="0"/>
              <w:pageBreakBefore w:val="0"/>
              <w:widowControl w:val="0"/>
              <w:kinsoku/>
              <w:wordWrap/>
              <w:overflowPunct/>
              <w:topLinePunct w:val="0"/>
              <w:autoSpaceDE/>
              <w:autoSpaceDN/>
              <w:bidi w:val="0"/>
              <w:spacing w:line="440" w:lineRule="exact"/>
              <w:ind w:right="-10" w:rightChars="0"/>
              <w:jc w:val="left"/>
              <w:textAlignment w:val="auto"/>
              <w:rPr>
                <w:rFonts w:ascii="Calibri" w:hAnsi="Calibri" w:cs="Times New Roman"/>
                <w:color w:val="auto"/>
                <w:kern w:val="2"/>
                <w:sz w:val="24"/>
                <w:szCs w:val="22"/>
                <w:highlight w:val="none"/>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w:t>
            </w:r>
            <w:r>
              <w:rPr>
                <w:rFonts w:hint="eastAsia" w:ascii="宋体" w:hAnsi="宋体" w:eastAsia="宋体"/>
                <w:color w:val="auto"/>
                <w:sz w:val="24"/>
                <w:szCs w:val="18"/>
                <w:highlight w:val="none"/>
                <w:lang w:val="en-US" w:eastAsia="zh-CN"/>
              </w:rPr>
              <w:t>供应商</w:t>
            </w:r>
            <w:r>
              <w:rPr>
                <w:rFonts w:ascii="宋体" w:hAnsi="宋体" w:eastAsia="宋体" w:cs="宋体"/>
                <w:sz w:val="24"/>
                <w:szCs w:val="24"/>
              </w:rPr>
              <w:t>是自然人的，应</w:t>
            </w:r>
            <w:r>
              <w:rPr>
                <w:rFonts w:hint="eastAsia" w:ascii="宋体" w:hAnsi="宋体" w:eastAsia="宋体" w:cs="宋体"/>
                <w:sz w:val="24"/>
                <w:szCs w:val="24"/>
                <w:lang w:val="en-US" w:eastAsia="zh-CN"/>
              </w:rPr>
              <w:t>提</w:t>
            </w:r>
            <w:r>
              <w:rPr>
                <w:rFonts w:ascii="宋体" w:hAnsi="宋体" w:eastAsia="宋体" w:cs="宋体"/>
                <w:sz w:val="24"/>
                <w:szCs w:val="24"/>
              </w:rPr>
              <w:t>供有效的自然人身份证明。</w:t>
            </w:r>
          </w:p>
        </w:tc>
        <w:tc>
          <w:tcPr>
            <w:tcW w:w="1416" w:type="pct"/>
            <w:tcBorders>
              <w:bottom w:val="single" w:color="auto" w:sz="4" w:space="0"/>
            </w:tcBorders>
            <w:vAlign w:val="center"/>
          </w:tcPr>
          <w:p w14:paraId="3B782600">
            <w:pPr>
              <w:keepNext w:val="0"/>
              <w:keepLines w:val="0"/>
              <w:pageBreakBefore w:val="0"/>
              <w:widowControl w:val="0"/>
              <w:kinsoku/>
              <w:wordWrap/>
              <w:overflowPunct/>
              <w:topLinePunct w:val="0"/>
              <w:autoSpaceDE/>
              <w:autoSpaceDN/>
              <w:bidi w:val="0"/>
              <w:spacing w:line="440" w:lineRule="exact"/>
              <w:jc w:val="left"/>
              <w:textAlignment w:val="auto"/>
              <w:rPr>
                <w:rFonts w:hint="eastAsia" w:cs="Times New Roman"/>
                <w:color w:val="auto"/>
                <w:kern w:val="2"/>
                <w:sz w:val="24"/>
                <w:szCs w:val="22"/>
                <w:highlight w:val="none"/>
              </w:rPr>
            </w:pPr>
            <w:r>
              <w:rPr>
                <w:rFonts w:hint="eastAsia" w:ascii="宋体" w:hAnsi="宋体" w:eastAsia="宋体" w:cs="宋体"/>
                <w:b w:val="0"/>
                <w:bCs w:val="0"/>
                <w:color w:val="auto"/>
                <w:sz w:val="24"/>
                <w:szCs w:val="24"/>
                <w:highlight w:val="none"/>
              </w:rPr>
              <w:t>提供</w:t>
            </w:r>
            <w:r>
              <w:rPr>
                <w:rFonts w:hint="eastAsia" w:ascii="宋体" w:hAnsi="宋体" w:eastAsia="宋体" w:cs="宋体"/>
                <w:b w:val="0"/>
                <w:bCs w:val="0"/>
                <w:color w:val="auto"/>
                <w:sz w:val="24"/>
                <w:szCs w:val="24"/>
                <w:highlight w:val="none"/>
                <w:lang w:val="en-US" w:eastAsia="zh-CN"/>
              </w:rPr>
              <w:t>材料</w:t>
            </w:r>
            <w:r>
              <w:rPr>
                <w:rFonts w:hint="eastAsia" w:ascii="宋体" w:hAnsi="宋体" w:eastAsia="宋体" w:cs="宋体"/>
                <w:b/>
                <w:bCs/>
                <w:color w:val="000000"/>
                <w:kern w:val="0"/>
                <w:sz w:val="24"/>
                <w:szCs w:val="24"/>
                <w:highlight w:val="none"/>
                <w:lang w:val="en-US" w:eastAsia="zh-CN" w:bidi="ar"/>
              </w:rPr>
              <w:t>复印件并加盖供应商公章</w:t>
            </w:r>
            <w:r>
              <w:rPr>
                <w:rFonts w:hint="eastAsia" w:ascii="宋体" w:hAnsi="宋体" w:eastAsia="宋体" w:cs="宋体"/>
                <w:b w:val="0"/>
                <w:bCs w:val="0"/>
                <w:color w:val="auto"/>
                <w:sz w:val="24"/>
                <w:szCs w:val="24"/>
                <w:highlight w:val="none"/>
              </w:rPr>
              <w:t>，应完整的体现出</w:t>
            </w:r>
            <w:r>
              <w:rPr>
                <w:rFonts w:hint="eastAsia" w:ascii="宋体" w:hAnsi="宋体" w:eastAsia="宋体" w:cs="宋体"/>
                <w:b w:val="0"/>
                <w:bCs w:val="0"/>
                <w:color w:val="auto"/>
                <w:sz w:val="24"/>
                <w:szCs w:val="24"/>
                <w:highlight w:val="none"/>
                <w:lang w:val="en-US" w:eastAsia="zh-CN"/>
              </w:rPr>
              <w:t>材料</w:t>
            </w:r>
            <w:r>
              <w:rPr>
                <w:rFonts w:hint="eastAsia" w:ascii="宋体" w:hAnsi="宋体" w:eastAsia="宋体" w:cs="宋体"/>
                <w:b w:val="0"/>
                <w:bCs w:val="0"/>
                <w:color w:val="auto"/>
                <w:sz w:val="24"/>
                <w:szCs w:val="24"/>
                <w:highlight w:val="none"/>
              </w:rPr>
              <w:t>全部内容。联合体</w:t>
            </w:r>
            <w:r>
              <w:rPr>
                <w:rFonts w:hint="eastAsia" w:cs="宋体"/>
                <w:b w:val="0"/>
                <w:bCs w:val="0"/>
                <w:color w:val="auto"/>
                <w:sz w:val="24"/>
                <w:szCs w:val="24"/>
                <w:highlight w:val="none"/>
                <w:lang w:val="en-US" w:eastAsia="zh-CN"/>
              </w:rPr>
              <w:t>谈判</w:t>
            </w:r>
            <w:r>
              <w:rPr>
                <w:rFonts w:hint="eastAsia" w:ascii="宋体" w:hAnsi="宋体" w:eastAsia="宋体" w:cs="宋体"/>
                <w:b w:val="0"/>
                <w:bCs w:val="0"/>
                <w:color w:val="auto"/>
                <w:sz w:val="24"/>
                <w:szCs w:val="24"/>
                <w:highlight w:val="none"/>
              </w:rPr>
              <w:t>的联合体各方均须提供。</w:t>
            </w:r>
          </w:p>
        </w:tc>
      </w:tr>
      <w:tr w14:paraId="7AB5C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 w:type="pct"/>
            <w:vAlign w:val="center"/>
          </w:tcPr>
          <w:p w14:paraId="1F7FAE1C">
            <w:pPr>
              <w:keepNext w:val="0"/>
              <w:keepLines w:val="0"/>
              <w:pageBreakBefore w:val="0"/>
              <w:widowControl w:val="0"/>
              <w:kinsoku/>
              <w:wordWrap/>
              <w:overflowPunct/>
              <w:topLinePunct w:val="0"/>
              <w:autoSpaceDE/>
              <w:autoSpaceDN/>
              <w:bidi w:val="0"/>
              <w:adjustRightInd w:val="0"/>
              <w:snapToGrid w:val="0"/>
              <w:spacing w:line="440" w:lineRule="exact"/>
              <w:ind w:right="-10" w:rightChars="0"/>
              <w:jc w:val="center"/>
              <w:textAlignment w:val="auto"/>
              <w:rPr>
                <w:rFonts w:cs="Times New Roman" w:asciiTheme="minorEastAsia" w:hAnsiTheme="minorEastAsia" w:eastAsiaTheme="minorEastAsia"/>
                <w:color w:val="auto"/>
                <w:kern w:val="2"/>
                <w:sz w:val="24"/>
                <w:szCs w:val="22"/>
                <w:highlight w:val="none"/>
              </w:rPr>
            </w:pPr>
            <w:r>
              <w:rPr>
                <w:rFonts w:hint="eastAsia" w:ascii="宋体" w:hAnsi="宋体" w:eastAsia="宋体"/>
                <w:color w:val="auto"/>
                <w:sz w:val="24"/>
                <w:highlight w:val="none"/>
                <w:lang w:val="en-US" w:eastAsia="zh-CN"/>
              </w:rPr>
              <w:t>2</w:t>
            </w:r>
          </w:p>
        </w:tc>
        <w:tc>
          <w:tcPr>
            <w:tcW w:w="900" w:type="pct"/>
            <w:vAlign w:val="center"/>
          </w:tcPr>
          <w:p w14:paraId="1CD41451">
            <w:pPr>
              <w:keepNext w:val="0"/>
              <w:keepLines w:val="0"/>
              <w:pageBreakBefore w:val="0"/>
              <w:widowControl w:val="0"/>
              <w:kinsoku/>
              <w:wordWrap/>
              <w:overflowPunct/>
              <w:topLinePunct w:val="0"/>
              <w:autoSpaceDE/>
              <w:autoSpaceDN/>
              <w:bidi w:val="0"/>
              <w:spacing w:line="440" w:lineRule="exact"/>
              <w:ind w:right="-10" w:rightChars="0"/>
              <w:jc w:val="center"/>
              <w:textAlignment w:val="auto"/>
              <w:rPr>
                <w:rFonts w:ascii="Calibri" w:hAnsi="Calibri" w:cs="Times New Roman"/>
                <w:color w:val="auto"/>
                <w:kern w:val="2"/>
                <w:sz w:val="24"/>
                <w:szCs w:val="24"/>
                <w:highlight w:val="none"/>
              </w:rPr>
            </w:pPr>
            <w:r>
              <w:rPr>
                <w:rFonts w:hint="eastAsia" w:ascii="宋体" w:hAnsi="宋体" w:eastAsia="宋体"/>
                <w:color w:val="auto"/>
                <w:sz w:val="24"/>
                <w:szCs w:val="18"/>
                <w:highlight w:val="none"/>
                <w:lang w:val="en-US" w:eastAsia="zh-CN"/>
              </w:rPr>
              <w:t>供应商资格声明书</w:t>
            </w:r>
          </w:p>
        </w:tc>
        <w:tc>
          <w:tcPr>
            <w:tcW w:w="2196" w:type="pct"/>
            <w:vAlign w:val="center"/>
          </w:tcPr>
          <w:p w14:paraId="560602B4">
            <w:pPr>
              <w:keepNext w:val="0"/>
              <w:keepLines w:val="0"/>
              <w:pageBreakBefore w:val="0"/>
              <w:widowControl w:val="0"/>
              <w:kinsoku/>
              <w:wordWrap/>
              <w:overflowPunct/>
              <w:topLinePunct w:val="0"/>
              <w:autoSpaceDE/>
              <w:autoSpaceDN/>
              <w:bidi w:val="0"/>
              <w:spacing w:line="440" w:lineRule="exact"/>
              <w:ind w:right="-10" w:rightChars="0"/>
              <w:jc w:val="left"/>
              <w:textAlignment w:val="auto"/>
              <w:rPr>
                <w:rFonts w:ascii="Calibri" w:hAnsi="Calibri" w:cs="Times New Roman"/>
                <w:color w:val="auto"/>
                <w:kern w:val="2"/>
                <w:sz w:val="24"/>
                <w:szCs w:val="22"/>
                <w:highlight w:val="none"/>
              </w:rPr>
            </w:pPr>
            <w:r>
              <w:rPr>
                <w:rFonts w:hint="eastAsia" w:ascii="宋体" w:hAnsi="宋体" w:eastAsia="宋体" w:cs="宋体"/>
                <w:sz w:val="24"/>
                <w:szCs w:val="24"/>
                <w:lang w:val="en-US" w:eastAsia="zh-CN"/>
              </w:rPr>
              <w:t>提</w:t>
            </w:r>
            <w:r>
              <w:rPr>
                <w:rFonts w:ascii="宋体" w:hAnsi="宋体" w:eastAsia="宋体" w:cs="宋体"/>
                <w:sz w:val="24"/>
                <w:szCs w:val="24"/>
              </w:rPr>
              <w:t>供符合</w:t>
            </w:r>
            <w:r>
              <w:rPr>
                <w:rFonts w:hint="eastAsia" w:cs="宋体"/>
                <w:sz w:val="24"/>
                <w:szCs w:val="24"/>
                <w:lang w:val="en-US" w:eastAsia="zh-CN"/>
              </w:rPr>
              <w:t>谈判</w:t>
            </w:r>
            <w:r>
              <w:rPr>
                <w:rFonts w:ascii="宋体" w:hAnsi="宋体" w:eastAsia="宋体" w:cs="宋体"/>
                <w:sz w:val="24"/>
                <w:szCs w:val="24"/>
              </w:rPr>
              <w:t>文件要求的《</w:t>
            </w:r>
            <w:r>
              <w:rPr>
                <w:rFonts w:hint="eastAsia" w:ascii="宋体" w:hAnsi="宋体" w:eastAsia="宋体" w:cs="宋体"/>
                <w:sz w:val="24"/>
                <w:szCs w:val="24"/>
                <w:lang w:val="en-US" w:eastAsia="zh-CN"/>
              </w:rPr>
              <w:t>供应商</w:t>
            </w:r>
            <w:r>
              <w:rPr>
                <w:rFonts w:ascii="宋体" w:hAnsi="宋体" w:eastAsia="宋体" w:cs="宋体"/>
                <w:sz w:val="24"/>
                <w:szCs w:val="24"/>
              </w:rPr>
              <w:t>资格声明书》</w:t>
            </w:r>
            <w:r>
              <w:rPr>
                <w:rFonts w:hint="eastAsia" w:ascii="宋体" w:hAnsi="宋体" w:eastAsia="宋体" w:cs="宋体"/>
                <w:sz w:val="24"/>
                <w:szCs w:val="24"/>
                <w:lang w:eastAsia="zh-CN"/>
              </w:rPr>
              <w:t>。</w:t>
            </w:r>
          </w:p>
        </w:tc>
        <w:tc>
          <w:tcPr>
            <w:tcW w:w="1416" w:type="pct"/>
            <w:vAlign w:val="center"/>
          </w:tcPr>
          <w:p w14:paraId="2EF58BAF">
            <w:pPr>
              <w:keepNext w:val="0"/>
              <w:keepLines w:val="0"/>
              <w:pageBreakBefore w:val="0"/>
              <w:widowControl w:val="0"/>
              <w:kinsoku/>
              <w:wordWrap/>
              <w:overflowPunct/>
              <w:topLinePunct w:val="0"/>
              <w:autoSpaceDE/>
              <w:autoSpaceDN/>
              <w:bidi w:val="0"/>
              <w:spacing w:line="440" w:lineRule="exact"/>
              <w:jc w:val="left"/>
              <w:textAlignment w:val="auto"/>
              <w:rPr>
                <w:rFonts w:hint="eastAsia" w:cs="Times New Roman"/>
                <w:color w:val="auto"/>
                <w:kern w:val="2"/>
                <w:sz w:val="24"/>
                <w:szCs w:val="22"/>
                <w:highlight w:val="none"/>
              </w:rPr>
            </w:pPr>
            <w:r>
              <w:rPr>
                <w:rFonts w:hint="eastAsia" w:ascii="宋体" w:hAnsi="宋体" w:eastAsia="宋体"/>
                <w:color w:val="auto"/>
                <w:sz w:val="24"/>
                <w:highlight w:val="none"/>
              </w:rPr>
              <w:t>详见第六章</w:t>
            </w:r>
            <w:r>
              <w:rPr>
                <w:rFonts w:hint="eastAsia" w:ascii="宋体" w:hAnsi="宋体" w:eastAsia="宋体"/>
                <w:color w:val="auto"/>
                <w:sz w:val="24"/>
                <w:highlight w:val="none"/>
                <w:lang w:val="en-US" w:eastAsia="zh-CN"/>
              </w:rPr>
              <w:t>响应</w:t>
            </w:r>
            <w:r>
              <w:rPr>
                <w:rFonts w:hint="eastAsia" w:ascii="宋体" w:hAnsi="宋体" w:eastAsia="宋体"/>
                <w:color w:val="auto"/>
                <w:sz w:val="24"/>
                <w:highlight w:val="none"/>
              </w:rPr>
              <w:t>文件格式</w:t>
            </w:r>
            <w:r>
              <w:rPr>
                <w:rFonts w:hint="eastAsia" w:ascii="宋体" w:hAnsi="宋体" w:eastAsia="宋体"/>
                <w:color w:val="auto"/>
                <w:sz w:val="24"/>
                <w:highlight w:val="none"/>
                <w:lang w:eastAsia="zh-CN"/>
              </w:rPr>
              <w:t>。</w:t>
            </w:r>
          </w:p>
        </w:tc>
      </w:tr>
      <w:tr w14:paraId="6FCDB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 w:type="pct"/>
            <w:vAlign w:val="center"/>
          </w:tcPr>
          <w:p w14:paraId="62CA828D">
            <w:pPr>
              <w:keepNext w:val="0"/>
              <w:keepLines w:val="0"/>
              <w:pageBreakBefore w:val="0"/>
              <w:widowControl w:val="0"/>
              <w:kinsoku/>
              <w:wordWrap/>
              <w:overflowPunct/>
              <w:topLinePunct w:val="0"/>
              <w:autoSpaceDE/>
              <w:autoSpaceDN/>
              <w:bidi w:val="0"/>
              <w:adjustRightInd w:val="0"/>
              <w:snapToGrid w:val="0"/>
              <w:spacing w:line="440" w:lineRule="exact"/>
              <w:ind w:right="-10" w:rightChars="0"/>
              <w:jc w:val="center"/>
              <w:textAlignment w:val="auto"/>
              <w:rPr>
                <w:rFonts w:cs="Times New Roman" w:asciiTheme="minorEastAsia" w:hAnsiTheme="minorEastAsia" w:eastAsiaTheme="minorEastAsia"/>
                <w:color w:val="auto"/>
                <w:kern w:val="2"/>
                <w:sz w:val="24"/>
                <w:szCs w:val="22"/>
                <w:highlight w:val="none"/>
              </w:rPr>
            </w:pPr>
            <w:r>
              <w:rPr>
                <w:rFonts w:hint="eastAsia" w:ascii="宋体" w:hAnsi="宋体" w:eastAsia="宋体"/>
                <w:color w:val="auto"/>
                <w:sz w:val="24"/>
                <w:highlight w:val="none"/>
              </w:rPr>
              <w:t>3</w:t>
            </w:r>
          </w:p>
        </w:tc>
        <w:tc>
          <w:tcPr>
            <w:tcW w:w="900" w:type="pct"/>
            <w:vAlign w:val="center"/>
          </w:tcPr>
          <w:p w14:paraId="56CFA972">
            <w:pPr>
              <w:keepNext w:val="0"/>
              <w:keepLines w:val="0"/>
              <w:pageBreakBefore w:val="0"/>
              <w:widowControl w:val="0"/>
              <w:kinsoku/>
              <w:wordWrap/>
              <w:overflowPunct/>
              <w:topLinePunct w:val="0"/>
              <w:autoSpaceDE/>
              <w:autoSpaceDN/>
              <w:bidi w:val="0"/>
              <w:spacing w:line="440" w:lineRule="exact"/>
              <w:ind w:right="-10" w:rightChars="0"/>
              <w:jc w:val="center"/>
              <w:textAlignment w:val="auto"/>
              <w:rPr>
                <w:rFonts w:ascii="Calibri" w:hAnsi="Calibri" w:cs="Times New Roman"/>
                <w:color w:val="auto"/>
                <w:kern w:val="2"/>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信用记录</w:t>
            </w:r>
          </w:p>
        </w:tc>
        <w:tc>
          <w:tcPr>
            <w:tcW w:w="2196" w:type="pct"/>
            <w:vAlign w:val="center"/>
          </w:tcPr>
          <w:p w14:paraId="69A8AA51">
            <w:pPr>
              <w:keepNext w:val="0"/>
              <w:keepLines w:val="0"/>
              <w:pageBreakBefore w:val="0"/>
              <w:widowControl w:val="0"/>
              <w:kinsoku/>
              <w:wordWrap/>
              <w:overflowPunct/>
              <w:topLinePunct w:val="0"/>
              <w:autoSpaceDE/>
              <w:autoSpaceDN/>
              <w:bidi w:val="0"/>
              <w:spacing w:line="440" w:lineRule="exact"/>
              <w:ind w:right="-10" w:rightChars="0"/>
              <w:jc w:val="left"/>
              <w:textAlignment w:val="auto"/>
              <w:rPr>
                <w:rFonts w:ascii="Calibri" w:hAnsi="Calibri" w:cs="Times New Roman"/>
                <w:color w:val="auto"/>
                <w:kern w:val="2"/>
                <w:sz w:val="24"/>
                <w:szCs w:val="22"/>
                <w:highlight w:val="none"/>
              </w:rPr>
            </w:pPr>
            <w:r>
              <w:rPr>
                <w:rFonts w:hint="eastAsia" w:ascii="宋体" w:hAnsi="宋体" w:eastAsia="宋体" w:cs="宋体"/>
                <w:sz w:val="24"/>
                <w:szCs w:val="24"/>
                <w:lang w:val="en-US" w:eastAsia="zh-CN"/>
              </w:rPr>
              <w:t>供应商</w:t>
            </w:r>
            <w:r>
              <w:rPr>
                <w:rFonts w:hint="eastAsia" w:ascii="宋体" w:hAnsi="宋体" w:eastAsia="宋体" w:cs="宋体"/>
                <w:sz w:val="24"/>
                <w:szCs w:val="24"/>
                <w:lang w:val="zh-CN" w:eastAsia="zh-CN"/>
              </w:rPr>
              <w:t>不得存在</w:t>
            </w:r>
            <w:r>
              <w:rPr>
                <w:rFonts w:hint="eastAsia" w:ascii="宋体" w:hAnsi="宋体" w:eastAsia="宋体" w:cs="宋体"/>
                <w:sz w:val="24"/>
                <w:szCs w:val="24"/>
                <w:lang w:val="en-US" w:eastAsia="zh-CN"/>
              </w:rPr>
              <w:t>供应商</w:t>
            </w:r>
            <w:r>
              <w:rPr>
                <w:rFonts w:hint="eastAsia" w:ascii="宋体" w:hAnsi="宋体" w:eastAsia="宋体" w:cs="宋体"/>
                <w:sz w:val="24"/>
                <w:szCs w:val="24"/>
                <w:lang w:val="zh-CN" w:eastAsia="zh-CN"/>
              </w:rPr>
              <w:t>须知正文第</w:t>
            </w:r>
            <w:r>
              <w:rPr>
                <w:rFonts w:hint="eastAsia" w:ascii="宋体" w:hAnsi="宋体" w:eastAsia="宋体" w:cs="宋体"/>
                <w:sz w:val="24"/>
                <w:szCs w:val="24"/>
                <w:lang w:val="en-US" w:eastAsia="zh-CN"/>
              </w:rPr>
              <w:t>14.3.1条中</w:t>
            </w:r>
            <w:r>
              <w:rPr>
                <w:rFonts w:hint="eastAsia" w:ascii="宋体" w:hAnsi="宋体" w:eastAsia="宋体"/>
                <w:color w:val="auto"/>
                <w:sz w:val="24"/>
                <w:szCs w:val="28"/>
                <w:highlight w:val="none"/>
              </w:rPr>
              <w:t>的</w:t>
            </w:r>
            <w:r>
              <w:rPr>
                <w:rFonts w:hint="eastAsia" w:ascii="宋体" w:hAnsi="宋体" w:eastAsia="宋体"/>
                <w:color w:val="auto"/>
                <w:sz w:val="24"/>
                <w:szCs w:val="18"/>
                <w:highlight w:val="none"/>
              </w:rPr>
              <w:t>不良信用记录情形</w:t>
            </w:r>
          </w:p>
        </w:tc>
        <w:tc>
          <w:tcPr>
            <w:tcW w:w="1416" w:type="pct"/>
            <w:vAlign w:val="center"/>
          </w:tcPr>
          <w:p w14:paraId="1E8C934A">
            <w:pPr>
              <w:keepNext w:val="0"/>
              <w:keepLines w:val="0"/>
              <w:pageBreakBefore w:val="0"/>
              <w:widowControl w:val="0"/>
              <w:kinsoku/>
              <w:wordWrap/>
              <w:overflowPunct/>
              <w:topLinePunct w:val="0"/>
              <w:autoSpaceDE/>
              <w:autoSpaceDN/>
              <w:bidi w:val="0"/>
              <w:spacing w:line="440" w:lineRule="exact"/>
              <w:jc w:val="left"/>
              <w:textAlignment w:val="auto"/>
              <w:rPr>
                <w:rFonts w:hint="eastAsia" w:cs="Times New Roman"/>
                <w:color w:val="auto"/>
                <w:kern w:val="2"/>
                <w:sz w:val="24"/>
                <w:szCs w:val="22"/>
                <w:highlight w:val="none"/>
              </w:rPr>
            </w:pPr>
            <w:r>
              <w:rPr>
                <w:rFonts w:hint="eastAsia" w:ascii="宋体" w:hAnsi="宋体" w:eastAsia="宋体" w:cs="宋体"/>
                <w:sz w:val="24"/>
                <w:szCs w:val="24"/>
              </w:rPr>
              <w:t>无须</w:t>
            </w:r>
            <w:r>
              <w:rPr>
                <w:rFonts w:hint="eastAsia" w:ascii="宋体" w:hAnsi="宋体" w:eastAsia="宋体" w:cs="宋体"/>
                <w:sz w:val="24"/>
                <w:szCs w:val="24"/>
                <w:lang w:val="en-US" w:eastAsia="zh-CN"/>
              </w:rPr>
              <w:t>供应商提</w:t>
            </w:r>
            <w:r>
              <w:rPr>
                <w:rFonts w:hint="eastAsia" w:ascii="宋体" w:hAnsi="宋体" w:eastAsia="宋体" w:cs="宋体"/>
                <w:sz w:val="24"/>
                <w:szCs w:val="24"/>
              </w:rPr>
              <w:t>供，由采购人或采购代理机构查询。</w:t>
            </w:r>
          </w:p>
        </w:tc>
      </w:tr>
      <w:tr w14:paraId="2CFF1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 w:type="pct"/>
            <w:vAlign w:val="center"/>
          </w:tcPr>
          <w:p w14:paraId="5A817388">
            <w:pPr>
              <w:keepNext w:val="0"/>
              <w:keepLines w:val="0"/>
              <w:pageBreakBefore w:val="0"/>
              <w:widowControl w:val="0"/>
              <w:kinsoku/>
              <w:wordWrap/>
              <w:overflowPunct/>
              <w:topLinePunct w:val="0"/>
              <w:autoSpaceDE/>
              <w:autoSpaceDN/>
              <w:bidi w:val="0"/>
              <w:adjustRightInd w:val="0"/>
              <w:snapToGrid w:val="0"/>
              <w:spacing w:line="440" w:lineRule="exact"/>
              <w:ind w:right="-10" w:rightChars="0"/>
              <w:jc w:val="center"/>
              <w:textAlignment w:val="auto"/>
              <w:rPr>
                <w:rFonts w:cs="Times New Roman" w:asciiTheme="minorEastAsia" w:hAnsiTheme="minorEastAsia" w:eastAsiaTheme="minorEastAsia"/>
                <w:color w:val="auto"/>
                <w:kern w:val="2"/>
                <w:sz w:val="24"/>
                <w:szCs w:val="22"/>
                <w:highlight w:val="none"/>
              </w:rPr>
            </w:pPr>
            <w:r>
              <w:rPr>
                <w:rFonts w:hint="eastAsia" w:ascii="宋体" w:hAnsi="宋体" w:eastAsia="宋体"/>
                <w:color w:val="auto"/>
                <w:sz w:val="24"/>
                <w:highlight w:val="none"/>
              </w:rPr>
              <w:t>4</w:t>
            </w:r>
          </w:p>
        </w:tc>
        <w:tc>
          <w:tcPr>
            <w:tcW w:w="900" w:type="pct"/>
            <w:vAlign w:val="center"/>
          </w:tcPr>
          <w:p w14:paraId="478B750E">
            <w:pPr>
              <w:keepNext w:val="0"/>
              <w:keepLines w:val="0"/>
              <w:pageBreakBefore w:val="0"/>
              <w:widowControl w:val="0"/>
              <w:kinsoku/>
              <w:wordWrap/>
              <w:overflowPunct/>
              <w:topLinePunct w:val="0"/>
              <w:autoSpaceDE/>
              <w:autoSpaceDN/>
              <w:bidi w:val="0"/>
              <w:spacing w:line="440" w:lineRule="exact"/>
              <w:ind w:right="-10" w:rightChars="0"/>
              <w:jc w:val="center"/>
              <w:textAlignment w:val="auto"/>
              <w:rPr>
                <w:rFonts w:ascii="Calibri" w:hAnsi="Calibri" w:cs="Times New Roman"/>
                <w:color w:val="auto"/>
                <w:kern w:val="2"/>
                <w:sz w:val="24"/>
                <w:szCs w:val="24"/>
                <w:highlight w:val="none"/>
              </w:rPr>
            </w:pPr>
            <w:r>
              <w:rPr>
                <w:rFonts w:hint="eastAsia" w:ascii="宋体" w:hAnsi="宋体" w:eastAsia="宋体" w:cs="宋体"/>
                <w:color w:val="auto"/>
                <w:sz w:val="24"/>
                <w:szCs w:val="24"/>
                <w:highlight w:val="none"/>
              </w:rPr>
              <w:t>中小企业证明文件（</w:t>
            </w:r>
            <w:r>
              <w:rPr>
                <w:rFonts w:hint="eastAsia" w:ascii="宋体" w:hAnsi="宋体" w:eastAsia="宋体" w:cs="宋体"/>
                <w:i/>
                <w:iCs/>
                <w:color w:val="auto"/>
                <w:sz w:val="24"/>
                <w:szCs w:val="24"/>
                <w:highlight w:val="none"/>
                <w:lang w:val="en-US" w:eastAsia="zh-CN"/>
              </w:rPr>
              <w:t>适用于</w:t>
            </w:r>
            <w:r>
              <w:rPr>
                <w:rFonts w:hint="eastAsia" w:ascii="宋体" w:hAnsi="宋体" w:eastAsia="宋体" w:cs="宋体"/>
                <w:i/>
                <w:iCs/>
                <w:color w:val="auto"/>
                <w:sz w:val="24"/>
                <w:szCs w:val="24"/>
                <w:highlight w:val="none"/>
              </w:rPr>
              <w:t>专门面向中小企业采购项目</w:t>
            </w:r>
            <w:r>
              <w:rPr>
                <w:rFonts w:hint="eastAsia" w:ascii="宋体" w:hAnsi="宋体" w:eastAsia="宋体" w:cs="宋体"/>
                <w:i/>
                <w:iCs/>
                <w:color w:val="auto"/>
                <w:sz w:val="24"/>
                <w:szCs w:val="24"/>
                <w:highlight w:val="none"/>
                <w:lang w:val="en-US" w:eastAsia="zh-CN"/>
              </w:rPr>
              <w:t>或预留中小企业采购份额项目</w:t>
            </w:r>
            <w:r>
              <w:rPr>
                <w:rFonts w:hint="eastAsia" w:ascii="宋体" w:hAnsi="宋体" w:eastAsia="宋体" w:cs="宋体"/>
                <w:color w:val="auto"/>
                <w:sz w:val="24"/>
                <w:szCs w:val="24"/>
                <w:highlight w:val="none"/>
              </w:rPr>
              <w:t>）</w:t>
            </w:r>
          </w:p>
        </w:tc>
        <w:tc>
          <w:tcPr>
            <w:tcW w:w="2196" w:type="pct"/>
            <w:vAlign w:val="top"/>
          </w:tcPr>
          <w:p w14:paraId="09672C15">
            <w:pPr>
              <w:keepNext w:val="0"/>
              <w:keepLines w:val="0"/>
              <w:pageBreakBefore w:val="0"/>
              <w:widowControl w:val="0"/>
              <w:kinsoku/>
              <w:wordWrap/>
              <w:overflowPunct/>
              <w:topLinePunct w:val="0"/>
              <w:autoSpaceDE/>
              <w:autoSpaceDN/>
              <w:bidi w:val="0"/>
              <w:spacing w:line="440" w:lineRule="exact"/>
              <w:ind w:right="-1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olor w:val="auto"/>
                <w:sz w:val="24"/>
                <w:szCs w:val="28"/>
                <w:highlight w:val="none"/>
              </w:rPr>
              <w:t>符合</w:t>
            </w:r>
            <w:r>
              <w:rPr>
                <w:rFonts w:hint="eastAsia" w:ascii="宋体" w:hAnsi="宋体" w:eastAsia="宋体"/>
                <w:color w:val="auto"/>
                <w:sz w:val="24"/>
                <w:szCs w:val="28"/>
                <w:highlight w:val="none"/>
                <w:lang w:val="en-US" w:eastAsia="zh-CN"/>
              </w:rPr>
              <w:t>申请人的</w:t>
            </w:r>
            <w:r>
              <w:rPr>
                <w:rFonts w:hint="eastAsia" w:ascii="宋体" w:hAnsi="宋体" w:eastAsia="宋体"/>
                <w:color w:val="auto"/>
                <w:sz w:val="24"/>
                <w:szCs w:val="28"/>
                <w:highlight w:val="none"/>
              </w:rPr>
              <w:t>资格</w:t>
            </w:r>
            <w:r>
              <w:rPr>
                <w:rFonts w:hint="eastAsia" w:ascii="宋体" w:hAnsi="宋体" w:eastAsia="宋体"/>
                <w:color w:val="auto"/>
                <w:sz w:val="24"/>
                <w:szCs w:val="28"/>
                <w:highlight w:val="none"/>
                <w:lang w:val="en-US" w:eastAsia="zh-CN"/>
              </w:rPr>
              <w:t>要求</w:t>
            </w:r>
            <w:r>
              <w:rPr>
                <w:rFonts w:hint="eastAsia" w:ascii="宋体" w:hAnsi="宋体" w:eastAsia="宋体"/>
                <w:color w:val="auto"/>
                <w:sz w:val="24"/>
                <w:szCs w:val="28"/>
                <w:highlight w:val="none"/>
              </w:rPr>
              <w:t>中落实政府采购政策需满足的资格要求</w:t>
            </w:r>
            <w:r>
              <w:rPr>
                <w:rFonts w:hint="eastAsia" w:ascii="宋体" w:hAnsi="宋体" w:eastAsia="宋体"/>
                <w:color w:val="auto"/>
                <w:sz w:val="24"/>
                <w:szCs w:val="28"/>
                <w:highlight w:val="none"/>
                <w:lang w:eastAsia="zh-CN"/>
              </w:rPr>
              <w:t>：</w:t>
            </w:r>
          </w:p>
          <w:p w14:paraId="61556E4B">
            <w:pPr>
              <w:keepNext w:val="0"/>
              <w:keepLines w:val="0"/>
              <w:pageBreakBefore w:val="0"/>
              <w:widowControl w:val="0"/>
              <w:kinsoku/>
              <w:wordWrap/>
              <w:overflowPunct/>
              <w:topLinePunct w:val="0"/>
              <w:autoSpaceDE/>
              <w:autoSpaceDN/>
              <w:bidi w:val="0"/>
              <w:spacing w:line="440" w:lineRule="exact"/>
              <w:ind w:right="-1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专门面向中小企业采购</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应</w:t>
            </w:r>
            <w:r>
              <w:rPr>
                <w:rFonts w:hint="eastAsia" w:ascii="宋体" w:hAnsi="宋体" w:eastAsia="宋体" w:cs="宋体"/>
                <w:color w:val="auto"/>
                <w:sz w:val="24"/>
                <w:szCs w:val="24"/>
                <w:highlight w:val="none"/>
                <w:lang w:val="en-US" w:eastAsia="zh-CN"/>
              </w:rPr>
              <w:t>提</w:t>
            </w:r>
            <w:r>
              <w:rPr>
                <w:rFonts w:hint="eastAsia" w:ascii="宋体" w:hAnsi="宋体" w:eastAsia="宋体" w:cs="宋体"/>
                <w:color w:val="auto"/>
                <w:sz w:val="24"/>
                <w:szCs w:val="24"/>
                <w:highlight w:val="none"/>
              </w:rPr>
              <w:t>供《中小企业声明函》或《残疾人福利性单位声明函》或由省级以上监狱管理局、戒毒管理局（含新疆生产建设兵团）出具的属于监狱企业的证明文件。</w:t>
            </w:r>
          </w:p>
          <w:p w14:paraId="4AE2E670">
            <w:pPr>
              <w:keepNext w:val="0"/>
              <w:keepLines w:val="0"/>
              <w:pageBreakBefore w:val="0"/>
              <w:widowControl w:val="0"/>
              <w:kinsoku/>
              <w:wordWrap/>
              <w:overflowPunct/>
              <w:topLinePunct w:val="0"/>
              <w:autoSpaceDE/>
              <w:autoSpaceDN/>
              <w:bidi w:val="0"/>
              <w:spacing w:line="440" w:lineRule="exact"/>
              <w:ind w:right="-10" w:rightChars="0"/>
              <w:jc w:val="left"/>
              <w:textAlignment w:val="auto"/>
              <w:rPr>
                <w:rFonts w:ascii="Calibri" w:hAnsi="Calibri" w:cs="Times New Roman"/>
                <w:color w:val="auto"/>
                <w:kern w:val="2"/>
                <w:sz w:val="24"/>
                <w:szCs w:val="22"/>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如</w:t>
            </w:r>
            <w:r>
              <w:rPr>
                <w:rFonts w:hint="eastAsia" w:ascii="宋体" w:hAnsi="宋体" w:eastAsia="宋体" w:cs="宋体"/>
                <w:color w:val="auto"/>
                <w:sz w:val="24"/>
                <w:szCs w:val="24"/>
                <w:highlight w:val="none"/>
                <w:lang w:val="en-US" w:eastAsia="zh-CN"/>
              </w:rPr>
              <w:t>谈判</w:t>
            </w:r>
            <w:r>
              <w:rPr>
                <w:rFonts w:hint="eastAsia" w:ascii="宋体" w:hAnsi="宋体" w:eastAsia="宋体" w:cs="宋体"/>
                <w:color w:val="auto"/>
                <w:sz w:val="24"/>
                <w:szCs w:val="24"/>
                <w:highlight w:val="none"/>
              </w:rPr>
              <w:t>文件要求以联合体形式参加或者要求合同分包的，且</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w:t>
            </w:r>
            <w:r>
              <w:rPr>
                <w:rFonts w:hint="eastAsia" w:ascii="宋体" w:hAnsi="宋体" w:eastAsia="宋体" w:cs="宋体"/>
                <w:color w:val="auto"/>
                <w:sz w:val="24"/>
                <w:szCs w:val="24"/>
                <w:highlight w:val="none"/>
                <w:lang w:val="en-US" w:eastAsia="zh-CN"/>
              </w:rPr>
              <w:t>谈判</w:t>
            </w:r>
            <w:r>
              <w:rPr>
                <w:rFonts w:hint="eastAsia" w:ascii="宋体" w:hAnsi="宋体" w:eastAsia="宋体" w:cs="宋体"/>
                <w:color w:val="auto"/>
                <w:sz w:val="24"/>
                <w:szCs w:val="24"/>
                <w:highlight w:val="none"/>
              </w:rPr>
              <w:t>文件关于预留份额的要求。</w:t>
            </w:r>
          </w:p>
        </w:tc>
        <w:tc>
          <w:tcPr>
            <w:tcW w:w="1416" w:type="pct"/>
            <w:vAlign w:val="center"/>
          </w:tcPr>
          <w:p w14:paraId="66E2C9E0">
            <w:pPr>
              <w:keepNext w:val="0"/>
              <w:keepLines w:val="0"/>
              <w:pageBreakBefore w:val="0"/>
              <w:widowControl w:val="0"/>
              <w:kinsoku/>
              <w:wordWrap/>
              <w:overflowPunct/>
              <w:topLinePunct w:val="0"/>
              <w:autoSpaceDE/>
              <w:autoSpaceDN/>
              <w:bidi w:val="0"/>
              <w:spacing w:line="440" w:lineRule="exact"/>
              <w:ind w:right="-10" w:rightChars="0"/>
              <w:jc w:val="center"/>
              <w:textAlignment w:val="auto"/>
              <w:rPr>
                <w:rFonts w:hint="eastAsia" w:cs="Times New Roman"/>
                <w:color w:val="auto"/>
                <w:kern w:val="2"/>
                <w:sz w:val="24"/>
                <w:szCs w:val="22"/>
                <w:highlight w:val="none"/>
              </w:rPr>
            </w:pPr>
            <w:r>
              <w:rPr>
                <w:rFonts w:hint="eastAsia" w:ascii="宋体" w:hAnsi="宋体" w:eastAsia="宋体"/>
                <w:color w:val="auto"/>
                <w:sz w:val="24"/>
                <w:highlight w:val="none"/>
              </w:rPr>
              <w:t>详见第六章</w:t>
            </w:r>
            <w:r>
              <w:rPr>
                <w:rFonts w:hint="eastAsia" w:ascii="宋体" w:hAnsi="宋体" w:eastAsia="宋体"/>
                <w:color w:val="auto"/>
                <w:sz w:val="24"/>
                <w:highlight w:val="none"/>
                <w:lang w:val="en-US" w:eastAsia="zh-CN"/>
              </w:rPr>
              <w:t>响应</w:t>
            </w:r>
            <w:r>
              <w:rPr>
                <w:rFonts w:hint="eastAsia" w:ascii="宋体" w:hAnsi="宋体" w:eastAsia="宋体"/>
                <w:color w:val="auto"/>
                <w:sz w:val="24"/>
                <w:highlight w:val="none"/>
              </w:rPr>
              <w:t>文件格式</w:t>
            </w:r>
            <w:r>
              <w:rPr>
                <w:rFonts w:hint="eastAsia" w:ascii="宋体" w:hAnsi="宋体" w:eastAsia="宋体"/>
                <w:color w:val="auto"/>
                <w:sz w:val="24"/>
                <w:highlight w:val="none"/>
                <w:lang w:eastAsia="zh-CN"/>
              </w:rPr>
              <w:t>。</w:t>
            </w:r>
          </w:p>
        </w:tc>
      </w:tr>
      <w:tr w14:paraId="436EF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 w:type="pct"/>
            <w:vAlign w:val="center"/>
          </w:tcPr>
          <w:p w14:paraId="7C9B0C2D">
            <w:pPr>
              <w:keepNext w:val="0"/>
              <w:keepLines w:val="0"/>
              <w:pageBreakBefore w:val="0"/>
              <w:widowControl w:val="0"/>
              <w:kinsoku/>
              <w:wordWrap/>
              <w:overflowPunct/>
              <w:topLinePunct w:val="0"/>
              <w:autoSpaceDE/>
              <w:autoSpaceDN/>
              <w:bidi w:val="0"/>
              <w:adjustRightInd w:val="0"/>
              <w:snapToGrid w:val="0"/>
              <w:spacing w:line="440" w:lineRule="exact"/>
              <w:ind w:right="-10" w:rightChars="0"/>
              <w:jc w:val="center"/>
              <w:textAlignment w:val="auto"/>
              <w:rPr>
                <w:rFonts w:hint="eastAsia" w:ascii="宋体" w:hAnsi="宋体" w:eastAsia="宋体"/>
                <w:color w:val="auto"/>
                <w:sz w:val="24"/>
                <w:highlight w:val="none"/>
                <w:lang w:val="en-US" w:eastAsia="zh-CN"/>
              </w:rPr>
            </w:pPr>
            <w:r>
              <w:rPr>
                <w:rFonts w:hint="eastAsia"/>
                <w:color w:val="auto"/>
                <w:sz w:val="24"/>
                <w:highlight w:val="none"/>
                <w:lang w:val="en-US" w:eastAsia="zh-CN"/>
              </w:rPr>
              <w:t>5</w:t>
            </w:r>
          </w:p>
        </w:tc>
        <w:tc>
          <w:tcPr>
            <w:tcW w:w="900" w:type="pct"/>
            <w:vAlign w:val="center"/>
          </w:tcPr>
          <w:p w14:paraId="78E5530B">
            <w:pPr>
              <w:keepNext w:val="0"/>
              <w:keepLines w:val="0"/>
              <w:pageBreakBefore w:val="0"/>
              <w:widowControl w:val="0"/>
              <w:kinsoku/>
              <w:wordWrap/>
              <w:overflowPunct/>
              <w:topLinePunct w:val="0"/>
              <w:autoSpaceDE/>
              <w:autoSpaceDN/>
              <w:bidi w:val="0"/>
              <w:spacing w:line="440" w:lineRule="exact"/>
              <w:ind w:right="-10" w:rightChars="0"/>
              <w:jc w:val="both"/>
              <w:textAlignment w:val="auto"/>
              <w:rPr>
                <w:rFonts w:hint="eastAsia" w:ascii="宋体" w:hAnsi="宋体" w:eastAsia="宋体" w:cs="宋体"/>
                <w:color w:val="auto"/>
                <w:sz w:val="24"/>
                <w:szCs w:val="24"/>
                <w:highlight w:val="none"/>
              </w:rPr>
            </w:pPr>
            <w:r>
              <w:rPr>
                <w:rFonts w:ascii="宋体" w:hAnsi="宋体" w:eastAsia="宋体" w:cs="宋体"/>
                <w:spacing w:val="10"/>
                <w:sz w:val="24"/>
                <w:szCs w:val="24"/>
              </w:rPr>
              <w:t>其他特定资格要求</w:t>
            </w:r>
          </w:p>
        </w:tc>
        <w:tc>
          <w:tcPr>
            <w:tcW w:w="2196" w:type="pct"/>
            <w:vAlign w:val="center"/>
          </w:tcPr>
          <w:p w14:paraId="013F6C16">
            <w:pPr>
              <w:keepNext w:val="0"/>
              <w:keepLines w:val="0"/>
              <w:pageBreakBefore w:val="0"/>
              <w:widowControl w:val="0"/>
              <w:kinsoku/>
              <w:wordWrap/>
              <w:overflowPunct/>
              <w:topLinePunct w:val="0"/>
              <w:autoSpaceDE/>
              <w:autoSpaceDN/>
              <w:bidi w:val="0"/>
              <w:spacing w:line="440" w:lineRule="exact"/>
              <w:ind w:right="-10" w:rightChars="0"/>
              <w:jc w:val="both"/>
              <w:textAlignment w:val="auto"/>
              <w:rPr>
                <w:rFonts w:hint="eastAsia" w:ascii="宋体" w:hAnsi="宋体" w:eastAsia="宋体" w:cs="宋体"/>
                <w:color w:val="auto"/>
                <w:sz w:val="24"/>
                <w:szCs w:val="24"/>
                <w:highlight w:val="none"/>
                <w:lang w:eastAsia="zh-CN"/>
              </w:rPr>
            </w:pPr>
            <w:r>
              <w:rPr>
                <w:rFonts w:ascii="宋体" w:hAnsi="宋体" w:eastAsia="宋体" w:cs="宋体"/>
                <w:spacing w:val="10"/>
                <w:sz w:val="24"/>
                <w:szCs w:val="24"/>
              </w:rPr>
              <w:t>见第一章《</w:t>
            </w:r>
            <w:r>
              <w:rPr>
                <w:rFonts w:hint="eastAsia" w:cs="宋体"/>
                <w:spacing w:val="10"/>
                <w:sz w:val="24"/>
                <w:szCs w:val="24"/>
                <w:lang w:val="en-US" w:eastAsia="zh-CN"/>
              </w:rPr>
              <w:t>谈判</w:t>
            </w:r>
            <w:r>
              <w:rPr>
                <w:rFonts w:ascii="宋体" w:hAnsi="宋体" w:eastAsia="宋体" w:cs="宋体"/>
                <w:spacing w:val="10"/>
                <w:sz w:val="24"/>
                <w:szCs w:val="24"/>
              </w:rPr>
              <w:t>邀请》</w:t>
            </w:r>
          </w:p>
        </w:tc>
        <w:tc>
          <w:tcPr>
            <w:tcW w:w="1416" w:type="pct"/>
            <w:vAlign w:val="center"/>
          </w:tcPr>
          <w:p w14:paraId="067EF457">
            <w:pPr>
              <w:keepNext w:val="0"/>
              <w:keepLines w:val="0"/>
              <w:pageBreakBefore w:val="0"/>
              <w:widowControl w:val="0"/>
              <w:kinsoku/>
              <w:wordWrap/>
              <w:overflowPunct/>
              <w:topLinePunct w:val="0"/>
              <w:autoSpaceDE/>
              <w:autoSpaceDN/>
              <w:bidi w:val="0"/>
              <w:spacing w:line="440" w:lineRule="exact"/>
              <w:ind w:right="-10" w:rightChars="0"/>
              <w:jc w:val="both"/>
              <w:textAlignment w:val="auto"/>
              <w:rPr>
                <w:rFonts w:hint="eastAsia" w:ascii="宋体" w:hAnsi="宋体" w:eastAsia="宋体"/>
                <w:color w:val="auto"/>
                <w:sz w:val="24"/>
                <w:highlight w:val="none"/>
              </w:rPr>
            </w:pPr>
            <w:r>
              <w:rPr>
                <w:rFonts w:hint="eastAsia" w:ascii="宋体" w:hAnsi="宋体" w:eastAsia="宋体" w:cs="宋体"/>
                <w:b w:val="0"/>
                <w:bCs w:val="0"/>
                <w:color w:val="auto"/>
                <w:sz w:val="24"/>
                <w:szCs w:val="24"/>
                <w:highlight w:val="none"/>
              </w:rPr>
              <w:t>提供</w:t>
            </w:r>
            <w:r>
              <w:rPr>
                <w:rFonts w:hint="eastAsia" w:ascii="宋体" w:hAnsi="宋体" w:eastAsia="宋体" w:cs="宋体"/>
                <w:b w:val="0"/>
                <w:bCs w:val="0"/>
                <w:color w:val="auto"/>
                <w:sz w:val="24"/>
                <w:szCs w:val="24"/>
                <w:highlight w:val="none"/>
                <w:lang w:val="en-US" w:eastAsia="zh-CN"/>
              </w:rPr>
              <w:t>材料</w:t>
            </w:r>
            <w:r>
              <w:rPr>
                <w:rFonts w:hint="eastAsia" w:ascii="宋体" w:hAnsi="宋体" w:eastAsia="宋体" w:cs="宋体"/>
                <w:b/>
                <w:bCs/>
                <w:color w:val="000000"/>
                <w:kern w:val="0"/>
                <w:sz w:val="24"/>
                <w:szCs w:val="24"/>
                <w:highlight w:val="none"/>
                <w:lang w:val="en-US" w:eastAsia="zh-CN" w:bidi="ar"/>
              </w:rPr>
              <w:t>复印件并加盖供应商公章</w:t>
            </w:r>
            <w:r>
              <w:rPr>
                <w:rFonts w:hint="eastAsia" w:ascii="宋体" w:hAnsi="宋体" w:eastAsia="宋体" w:cs="宋体"/>
                <w:b w:val="0"/>
                <w:bCs w:val="0"/>
                <w:color w:val="auto"/>
                <w:sz w:val="24"/>
                <w:szCs w:val="24"/>
                <w:highlight w:val="none"/>
              </w:rPr>
              <w:t>，应完整的体现出</w:t>
            </w:r>
            <w:r>
              <w:rPr>
                <w:rFonts w:hint="eastAsia" w:ascii="宋体" w:hAnsi="宋体" w:eastAsia="宋体" w:cs="宋体"/>
                <w:b w:val="0"/>
                <w:bCs w:val="0"/>
                <w:color w:val="auto"/>
                <w:sz w:val="24"/>
                <w:szCs w:val="24"/>
                <w:highlight w:val="none"/>
                <w:lang w:val="en-US" w:eastAsia="zh-CN"/>
              </w:rPr>
              <w:t>材料</w:t>
            </w:r>
            <w:r>
              <w:rPr>
                <w:rFonts w:hint="eastAsia" w:ascii="宋体" w:hAnsi="宋体" w:eastAsia="宋体" w:cs="宋体"/>
                <w:b w:val="0"/>
                <w:bCs w:val="0"/>
                <w:color w:val="auto"/>
                <w:sz w:val="24"/>
                <w:szCs w:val="24"/>
                <w:highlight w:val="none"/>
              </w:rPr>
              <w:t>全部内容。</w:t>
            </w:r>
          </w:p>
        </w:tc>
      </w:tr>
      <w:tr w14:paraId="6DFC3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 w:type="pct"/>
            <w:vAlign w:val="center"/>
          </w:tcPr>
          <w:p w14:paraId="573A5A2A">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hint="eastAsia" w:cs="Times New Roman" w:asciiTheme="minorEastAsia" w:hAnsiTheme="minorEastAsia" w:eastAsiaTheme="minorEastAsia"/>
                <w:color w:val="auto"/>
                <w:kern w:val="2"/>
                <w:sz w:val="24"/>
                <w:szCs w:val="22"/>
                <w:highlight w:val="none"/>
                <w:lang w:eastAsia="zh-CN"/>
              </w:rPr>
            </w:pPr>
            <w:r>
              <w:rPr>
                <w:rFonts w:hint="eastAsia" w:cs="Times New Roman" w:asciiTheme="minorEastAsia" w:hAnsiTheme="minorEastAsia" w:eastAsiaTheme="minorEastAsia"/>
                <w:color w:val="auto"/>
                <w:kern w:val="2"/>
                <w:sz w:val="24"/>
                <w:szCs w:val="22"/>
                <w:highlight w:val="none"/>
                <w:lang w:val="en-US" w:eastAsia="zh-CN"/>
              </w:rPr>
              <w:t>6</w:t>
            </w:r>
          </w:p>
        </w:tc>
        <w:tc>
          <w:tcPr>
            <w:tcW w:w="900" w:type="pct"/>
            <w:vAlign w:val="center"/>
          </w:tcPr>
          <w:p w14:paraId="73A77AF4">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Calibri" w:hAnsi="Calibri" w:cs="Times New Roman"/>
                <w:color w:val="auto"/>
                <w:kern w:val="2"/>
                <w:sz w:val="24"/>
                <w:szCs w:val="24"/>
                <w:highlight w:val="none"/>
              </w:rPr>
            </w:pPr>
            <w:r>
              <w:rPr>
                <w:rFonts w:hint="eastAsia" w:cs="Times New Roman"/>
                <w:color w:val="auto"/>
                <w:kern w:val="2"/>
                <w:sz w:val="24"/>
                <w:highlight w:val="none"/>
              </w:rPr>
              <w:t>授权书</w:t>
            </w:r>
          </w:p>
        </w:tc>
        <w:tc>
          <w:tcPr>
            <w:tcW w:w="2196" w:type="pct"/>
            <w:vAlign w:val="center"/>
          </w:tcPr>
          <w:p w14:paraId="07FD7D0A">
            <w:pPr>
              <w:keepNext w:val="0"/>
              <w:keepLines w:val="0"/>
              <w:pageBreakBefore w:val="0"/>
              <w:widowControl w:val="0"/>
              <w:kinsoku/>
              <w:wordWrap/>
              <w:overflowPunct/>
              <w:topLinePunct w:val="0"/>
              <w:autoSpaceDE/>
              <w:autoSpaceDN/>
              <w:bidi w:val="0"/>
              <w:adjustRightInd w:val="0"/>
              <w:snapToGrid w:val="0"/>
              <w:spacing w:line="440" w:lineRule="exact"/>
              <w:ind w:right="-10"/>
              <w:jc w:val="left"/>
              <w:textAlignment w:val="auto"/>
              <w:rPr>
                <w:rFonts w:ascii="Calibri" w:hAnsi="Calibri" w:cs="Times New Roman"/>
                <w:color w:val="auto"/>
                <w:kern w:val="2"/>
                <w:sz w:val="24"/>
                <w:szCs w:val="22"/>
                <w:highlight w:val="none"/>
              </w:rPr>
            </w:pPr>
            <w:r>
              <w:rPr>
                <w:rFonts w:hint="eastAsia" w:cs="Times New Roman"/>
                <w:color w:val="auto"/>
                <w:kern w:val="2"/>
                <w:sz w:val="24"/>
                <w:szCs w:val="22"/>
                <w:highlight w:val="none"/>
              </w:rPr>
              <w:t>符合谈判文件要求。</w:t>
            </w:r>
          </w:p>
        </w:tc>
        <w:tc>
          <w:tcPr>
            <w:tcW w:w="1416" w:type="pct"/>
            <w:vAlign w:val="center"/>
          </w:tcPr>
          <w:p w14:paraId="4E562B5D">
            <w:pPr>
              <w:keepNext w:val="0"/>
              <w:keepLines w:val="0"/>
              <w:pageBreakBefore w:val="0"/>
              <w:widowControl w:val="0"/>
              <w:kinsoku/>
              <w:wordWrap/>
              <w:overflowPunct/>
              <w:topLinePunct w:val="0"/>
              <w:autoSpaceDE/>
              <w:autoSpaceDN/>
              <w:bidi w:val="0"/>
              <w:adjustRightInd w:val="0"/>
              <w:snapToGrid w:val="0"/>
              <w:spacing w:line="440" w:lineRule="exact"/>
              <w:ind w:right="-10"/>
              <w:jc w:val="both"/>
              <w:textAlignment w:val="auto"/>
              <w:rPr>
                <w:rFonts w:hint="eastAsia" w:cs="Times New Roman"/>
                <w:color w:val="auto"/>
                <w:kern w:val="2"/>
                <w:sz w:val="24"/>
                <w:szCs w:val="22"/>
                <w:highlight w:val="none"/>
              </w:rPr>
            </w:pPr>
            <w:r>
              <w:rPr>
                <w:rFonts w:hint="eastAsia" w:ascii="宋体" w:hAnsi="宋体" w:eastAsia="宋体"/>
                <w:color w:val="auto"/>
                <w:sz w:val="24"/>
                <w:highlight w:val="none"/>
              </w:rPr>
              <w:t>详见第六章</w:t>
            </w:r>
            <w:r>
              <w:rPr>
                <w:rFonts w:hint="eastAsia" w:ascii="宋体" w:hAnsi="宋体" w:eastAsia="宋体"/>
                <w:color w:val="auto"/>
                <w:sz w:val="24"/>
                <w:highlight w:val="none"/>
                <w:lang w:val="en-US" w:eastAsia="zh-CN"/>
              </w:rPr>
              <w:t>响应</w:t>
            </w:r>
            <w:r>
              <w:rPr>
                <w:rFonts w:hint="eastAsia" w:ascii="宋体" w:hAnsi="宋体" w:eastAsia="宋体"/>
                <w:color w:val="auto"/>
                <w:sz w:val="24"/>
                <w:highlight w:val="none"/>
              </w:rPr>
              <w:t>文件格式</w:t>
            </w:r>
            <w:r>
              <w:rPr>
                <w:rFonts w:hint="eastAsia" w:ascii="宋体" w:hAnsi="宋体" w:eastAsia="宋体"/>
                <w:color w:val="auto"/>
                <w:sz w:val="24"/>
                <w:highlight w:val="none"/>
                <w:lang w:eastAsia="zh-CN"/>
              </w:rPr>
              <w:t>。</w:t>
            </w:r>
          </w:p>
        </w:tc>
      </w:tr>
      <w:tr w14:paraId="71976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 w:type="pct"/>
            <w:vAlign w:val="center"/>
          </w:tcPr>
          <w:p w14:paraId="790967E3">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hint="default" w:cs="Times New Roman" w:asciiTheme="minorEastAsia" w:hAnsiTheme="minorEastAsia" w:eastAsiaTheme="minorEastAsia"/>
                <w:color w:val="auto"/>
                <w:kern w:val="2"/>
                <w:sz w:val="24"/>
                <w:szCs w:val="22"/>
                <w:highlight w:val="none"/>
                <w:lang w:val="en-US" w:eastAsia="zh-CN"/>
              </w:rPr>
            </w:pPr>
            <w:r>
              <w:rPr>
                <w:rFonts w:hint="eastAsia" w:cs="Times New Roman" w:asciiTheme="minorEastAsia" w:hAnsiTheme="minorEastAsia" w:eastAsiaTheme="minorEastAsia"/>
                <w:color w:val="auto"/>
                <w:kern w:val="2"/>
                <w:sz w:val="24"/>
                <w:szCs w:val="22"/>
                <w:highlight w:val="none"/>
                <w:lang w:val="en-US" w:eastAsia="zh-CN"/>
              </w:rPr>
              <w:t>7</w:t>
            </w:r>
          </w:p>
        </w:tc>
        <w:tc>
          <w:tcPr>
            <w:tcW w:w="900" w:type="pct"/>
            <w:vAlign w:val="center"/>
          </w:tcPr>
          <w:p w14:paraId="066213CB">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Calibri" w:hAnsi="Calibri" w:cs="Times New Roman"/>
                <w:color w:val="auto"/>
                <w:kern w:val="2"/>
                <w:sz w:val="24"/>
                <w:szCs w:val="24"/>
                <w:highlight w:val="none"/>
              </w:rPr>
            </w:pPr>
            <w:r>
              <w:rPr>
                <w:rFonts w:hint="eastAsia" w:cs="Times New Roman"/>
                <w:color w:val="auto"/>
                <w:kern w:val="2"/>
                <w:sz w:val="24"/>
                <w:highlight w:val="none"/>
              </w:rPr>
              <w:t>谈判响应函</w:t>
            </w:r>
          </w:p>
        </w:tc>
        <w:tc>
          <w:tcPr>
            <w:tcW w:w="2196" w:type="pct"/>
            <w:vAlign w:val="center"/>
          </w:tcPr>
          <w:p w14:paraId="388117B7">
            <w:pPr>
              <w:keepNext w:val="0"/>
              <w:keepLines w:val="0"/>
              <w:pageBreakBefore w:val="0"/>
              <w:widowControl w:val="0"/>
              <w:kinsoku/>
              <w:wordWrap/>
              <w:overflowPunct/>
              <w:topLinePunct w:val="0"/>
              <w:autoSpaceDE/>
              <w:autoSpaceDN/>
              <w:bidi w:val="0"/>
              <w:adjustRightInd w:val="0"/>
              <w:snapToGrid w:val="0"/>
              <w:spacing w:line="440" w:lineRule="exact"/>
              <w:ind w:right="-10"/>
              <w:jc w:val="left"/>
              <w:textAlignment w:val="auto"/>
              <w:rPr>
                <w:rFonts w:ascii="Calibri" w:hAnsi="Calibri" w:cs="Times New Roman"/>
                <w:color w:val="auto"/>
                <w:kern w:val="2"/>
                <w:sz w:val="24"/>
                <w:szCs w:val="22"/>
                <w:highlight w:val="none"/>
              </w:rPr>
            </w:pPr>
            <w:r>
              <w:rPr>
                <w:rFonts w:hint="eastAsia" w:cs="Times New Roman"/>
                <w:color w:val="auto"/>
                <w:kern w:val="2"/>
                <w:sz w:val="24"/>
                <w:szCs w:val="22"/>
                <w:highlight w:val="none"/>
              </w:rPr>
              <w:t>符合谈判文件要求。</w:t>
            </w:r>
          </w:p>
        </w:tc>
        <w:tc>
          <w:tcPr>
            <w:tcW w:w="1416" w:type="pct"/>
            <w:vAlign w:val="center"/>
          </w:tcPr>
          <w:p w14:paraId="4E57DEAD">
            <w:pPr>
              <w:keepNext w:val="0"/>
              <w:keepLines w:val="0"/>
              <w:pageBreakBefore w:val="0"/>
              <w:widowControl w:val="0"/>
              <w:kinsoku/>
              <w:wordWrap/>
              <w:overflowPunct/>
              <w:topLinePunct w:val="0"/>
              <w:autoSpaceDE/>
              <w:autoSpaceDN/>
              <w:bidi w:val="0"/>
              <w:adjustRightInd w:val="0"/>
              <w:snapToGrid w:val="0"/>
              <w:spacing w:line="440" w:lineRule="exact"/>
              <w:ind w:right="-10"/>
              <w:jc w:val="both"/>
              <w:textAlignment w:val="auto"/>
              <w:rPr>
                <w:rFonts w:hint="eastAsia" w:cs="Times New Roman"/>
                <w:color w:val="auto"/>
                <w:kern w:val="2"/>
                <w:sz w:val="24"/>
                <w:szCs w:val="22"/>
                <w:highlight w:val="none"/>
              </w:rPr>
            </w:pPr>
            <w:r>
              <w:rPr>
                <w:rFonts w:hint="eastAsia" w:ascii="宋体" w:hAnsi="宋体" w:eastAsia="宋体"/>
                <w:color w:val="auto"/>
                <w:sz w:val="24"/>
                <w:highlight w:val="none"/>
              </w:rPr>
              <w:t>详见第六章</w:t>
            </w:r>
            <w:r>
              <w:rPr>
                <w:rFonts w:hint="eastAsia" w:ascii="宋体" w:hAnsi="宋体" w:eastAsia="宋体"/>
                <w:color w:val="auto"/>
                <w:sz w:val="24"/>
                <w:highlight w:val="none"/>
                <w:lang w:val="en-US" w:eastAsia="zh-CN"/>
              </w:rPr>
              <w:t>响应</w:t>
            </w:r>
            <w:r>
              <w:rPr>
                <w:rFonts w:hint="eastAsia" w:ascii="宋体" w:hAnsi="宋体" w:eastAsia="宋体"/>
                <w:color w:val="auto"/>
                <w:sz w:val="24"/>
                <w:highlight w:val="none"/>
              </w:rPr>
              <w:t>文件格式</w:t>
            </w:r>
            <w:r>
              <w:rPr>
                <w:rFonts w:hint="eastAsia" w:ascii="宋体" w:hAnsi="宋体" w:eastAsia="宋体"/>
                <w:color w:val="auto"/>
                <w:sz w:val="24"/>
                <w:highlight w:val="none"/>
                <w:lang w:eastAsia="zh-CN"/>
              </w:rPr>
              <w:t>。</w:t>
            </w:r>
          </w:p>
        </w:tc>
      </w:tr>
      <w:tr w14:paraId="1D914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 w:type="pct"/>
            <w:vAlign w:val="center"/>
          </w:tcPr>
          <w:p w14:paraId="492F84AF">
            <w:pPr>
              <w:keepNext w:val="0"/>
              <w:keepLines w:val="0"/>
              <w:pageBreakBefore w:val="0"/>
              <w:widowControl w:val="0"/>
              <w:kinsoku/>
              <w:wordWrap/>
              <w:overflowPunct/>
              <w:topLinePunct w:val="0"/>
              <w:autoSpaceDE/>
              <w:autoSpaceDN/>
              <w:bidi w:val="0"/>
              <w:adjustRightInd w:val="0"/>
              <w:snapToGrid w:val="0"/>
              <w:spacing w:line="440" w:lineRule="exact"/>
              <w:ind w:right="-10" w:rightChars="0"/>
              <w:jc w:val="center"/>
              <w:textAlignment w:val="auto"/>
              <w:rPr>
                <w:rFonts w:hint="eastAsia" w:cs="Times New Roman" w:asciiTheme="minorEastAsia" w:hAnsiTheme="minorEastAsia" w:eastAsiaTheme="minorEastAsia"/>
                <w:color w:val="auto"/>
                <w:kern w:val="2"/>
                <w:sz w:val="24"/>
                <w:szCs w:val="22"/>
                <w:highlight w:val="none"/>
                <w:lang w:eastAsia="zh-CN"/>
              </w:rPr>
            </w:pPr>
            <w:r>
              <w:rPr>
                <w:rFonts w:hint="eastAsia"/>
                <w:color w:val="auto"/>
                <w:sz w:val="24"/>
                <w:highlight w:val="none"/>
                <w:lang w:val="en-US" w:eastAsia="zh-CN"/>
              </w:rPr>
              <w:t>8</w:t>
            </w:r>
          </w:p>
        </w:tc>
        <w:tc>
          <w:tcPr>
            <w:tcW w:w="900" w:type="pct"/>
            <w:vAlign w:val="center"/>
          </w:tcPr>
          <w:p w14:paraId="706E382E">
            <w:pPr>
              <w:keepNext w:val="0"/>
              <w:keepLines w:val="0"/>
              <w:pageBreakBefore w:val="0"/>
              <w:widowControl w:val="0"/>
              <w:kinsoku/>
              <w:wordWrap/>
              <w:overflowPunct/>
              <w:topLinePunct w:val="0"/>
              <w:autoSpaceDE/>
              <w:autoSpaceDN/>
              <w:bidi w:val="0"/>
              <w:spacing w:line="440" w:lineRule="exact"/>
              <w:ind w:right="-10" w:rightChars="0"/>
              <w:jc w:val="center"/>
              <w:textAlignment w:val="auto"/>
              <w:rPr>
                <w:rFonts w:ascii="Calibri" w:hAnsi="Calibri" w:cs="Times New Roman"/>
                <w:color w:val="auto"/>
                <w:kern w:val="2"/>
                <w:sz w:val="24"/>
                <w:szCs w:val="24"/>
                <w:highlight w:val="none"/>
              </w:rPr>
            </w:pPr>
            <w:r>
              <w:rPr>
                <w:rFonts w:hint="eastAsia" w:asciiTheme="minorEastAsia" w:hAnsiTheme="minorEastAsia" w:eastAsiaTheme="minorEastAsia"/>
                <w:color w:val="auto"/>
                <w:sz w:val="24"/>
                <w:szCs w:val="28"/>
                <w:highlight w:val="none"/>
                <w:lang w:val="en-US" w:eastAsia="zh-CN"/>
              </w:rPr>
              <w:t>谈判</w:t>
            </w:r>
            <w:r>
              <w:rPr>
                <w:rFonts w:hint="eastAsia" w:asciiTheme="minorEastAsia" w:hAnsiTheme="minorEastAsia" w:eastAsiaTheme="minorEastAsia"/>
                <w:color w:val="auto"/>
                <w:sz w:val="24"/>
                <w:szCs w:val="28"/>
                <w:highlight w:val="none"/>
              </w:rPr>
              <w:t>报价</w:t>
            </w:r>
          </w:p>
        </w:tc>
        <w:tc>
          <w:tcPr>
            <w:tcW w:w="2196" w:type="pct"/>
            <w:vAlign w:val="center"/>
          </w:tcPr>
          <w:p w14:paraId="00CEA22F">
            <w:pPr>
              <w:keepNext w:val="0"/>
              <w:keepLines w:val="0"/>
              <w:pageBreakBefore w:val="0"/>
              <w:widowControl w:val="0"/>
              <w:kinsoku/>
              <w:wordWrap/>
              <w:overflowPunct/>
              <w:topLinePunct w:val="0"/>
              <w:autoSpaceDE/>
              <w:autoSpaceDN/>
              <w:bidi w:val="0"/>
              <w:spacing w:line="440" w:lineRule="exact"/>
              <w:ind w:right="-10" w:rightChars="0"/>
              <w:jc w:val="both"/>
              <w:textAlignment w:val="auto"/>
              <w:rPr>
                <w:rFonts w:hint="eastAsia" w:ascii="Calibri" w:hAnsi="Calibri" w:cs="Times New Roman" w:eastAsiaTheme="minorEastAsia"/>
                <w:color w:val="auto"/>
                <w:kern w:val="2"/>
                <w:sz w:val="24"/>
                <w:szCs w:val="22"/>
                <w:highlight w:val="none"/>
                <w:lang w:val="en-US" w:eastAsia="zh-CN"/>
              </w:rPr>
            </w:pPr>
            <w:r>
              <w:rPr>
                <w:rFonts w:hint="eastAsia" w:asciiTheme="minorEastAsia" w:hAnsiTheme="minorEastAsia" w:eastAsiaTheme="minorEastAsia"/>
                <w:color w:val="auto"/>
                <w:sz w:val="24"/>
                <w:szCs w:val="28"/>
                <w:highlight w:val="none"/>
              </w:rPr>
              <w:t>符合</w:t>
            </w:r>
            <w:r>
              <w:rPr>
                <w:rFonts w:hint="eastAsia" w:asciiTheme="minorEastAsia" w:hAnsiTheme="minorEastAsia" w:eastAsiaTheme="minorEastAsia"/>
                <w:color w:val="auto"/>
                <w:sz w:val="24"/>
                <w:highlight w:val="none"/>
                <w:lang w:val="en-US" w:eastAsia="zh-CN"/>
              </w:rPr>
              <w:t>谈判</w:t>
            </w:r>
            <w:r>
              <w:rPr>
                <w:rFonts w:hint="eastAsia" w:asciiTheme="minorEastAsia" w:hAnsiTheme="minorEastAsia" w:eastAsiaTheme="minorEastAsia"/>
                <w:color w:val="auto"/>
                <w:sz w:val="24"/>
                <w:highlight w:val="none"/>
              </w:rPr>
              <w:t>文件</w:t>
            </w:r>
            <w:r>
              <w:rPr>
                <w:rFonts w:hint="eastAsia" w:asciiTheme="minorEastAsia" w:hAnsiTheme="minorEastAsia" w:eastAsiaTheme="minorEastAsia"/>
                <w:color w:val="auto"/>
                <w:sz w:val="24"/>
                <w:highlight w:val="none"/>
                <w:lang w:val="en-US" w:eastAsia="zh-CN"/>
              </w:rPr>
              <w:t>要求。</w:t>
            </w:r>
          </w:p>
        </w:tc>
        <w:tc>
          <w:tcPr>
            <w:tcW w:w="1416" w:type="pct"/>
            <w:vAlign w:val="center"/>
          </w:tcPr>
          <w:p w14:paraId="655E2D09">
            <w:pPr>
              <w:keepNext w:val="0"/>
              <w:keepLines w:val="0"/>
              <w:pageBreakBefore w:val="0"/>
              <w:widowControl w:val="0"/>
              <w:kinsoku/>
              <w:wordWrap/>
              <w:overflowPunct/>
              <w:topLinePunct w:val="0"/>
              <w:autoSpaceDE/>
              <w:autoSpaceDN/>
              <w:bidi w:val="0"/>
              <w:adjustRightInd w:val="0"/>
              <w:snapToGrid w:val="0"/>
              <w:spacing w:line="440" w:lineRule="exact"/>
              <w:ind w:right="-10" w:rightChars="0"/>
              <w:jc w:val="both"/>
              <w:textAlignment w:val="auto"/>
              <w:rPr>
                <w:rFonts w:hint="eastAsia" w:asciiTheme="majorEastAsia" w:hAnsiTheme="majorEastAsia" w:eastAsiaTheme="majorEastAsia"/>
                <w:color w:val="auto"/>
                <w:sz w:val="24"/>
                <w:highlight w:val="none"/>
              </w:rPr>
            </w:pPr>
            <w:r>
              <w:rPr>
                <w:rFonts w:hint="eastAsia" w:ascii="宋体" w:hAnsi="宋体" w:eastAsia="宋体"/>
                <w:color w:val="auto"/>
                <w:sz w:val="24"/>
                <w:highlight w:val="none"/>
              </w:rPr>
              <w:t>详见第六章</w:t>
            </w:r>
            <w:r>
              <w:rPr>
                <w:rFonts w:hint="eastAsia" w:ascii="宋体" w:hAnsi="宋体" w:eastAsia="宋体"/>
                <w:color w:val="auto"/>
                <w:sz w:val="24"/>
                <w:highlight w:val="none"/>
                <w:lang w:val="en-US" w:eastAsia="zh-CN"/>
              </w:rPr>
              <w:t>响应</w:t>
            </w:r>
            <w:r>
              <w:rPr>
                <w:rFonts w:hint="eastAsia" w:ascii="宋体" w:hAnsi="宋体" w:eastAsia="宋体"/>
                <w:color w:val="auto"/>
                <w:sz w:val="24"/>
                <w:highlight w:val="none"/>
              </w:rPr>
              <w:t>文件格式</w:t>
            </w:r>
            <w:r>
              <w:rPr>
                <w:rFonts w:hint="eastAsia" w:ascii="宋体" w:hAnsi="宋体" w:eastAsia="宋体"/>
                <w:color w:val="auto"/>
                <w:sz w:val="24"/>
                <w:highlight w:val="none"/>
                <w:lang w:eastAsia="zh-CN"/>
              </w:rPr>
              <w:t>。</w:t>
            </w:r>
          </w:p>
        </w:tc>
      </w:tr>
      <w:tr w14:paraId="25D1A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 w:type="pct"/>
            <w:vAlign w:val="center"/>
          </w:tcPr>
          <w:p w14:paraId="1CA36927">
            <w:pPr>
              <w:keepNext w:val="0"/>
              <w:keepLines w:val="0"/>
              <w:pageBreakBefore w:val="0"/>
              <w:widowControl w:val="0"/>
              <w:kinsoku/>
              <w:wordWrap/>
              <w:overflowPunct/>
              <w:topLinePunct w:val="0"/>
              <w:autoSpaceDE/>
              <w:autoSpaceDN/>
              <w:bidi w:val="0"/>
              <w:adjustRightInd w:val="0"/>
              <w:snapToGrid w:val="0"/>
              <w:spacing w:line="440" w:lineRule="exact"/>
              <w:ind w:right="-10" w:rightChars="0"/>
              <w:jc w:val="center"/>
              <w:textAlignment w:val="auto"/>
              <w:rPr>
                <w:rFonts w:hint="eastAsia" w:cs="Times New Roman" w:asciiTheme="minorEastAsia" w:hAnsiTheme="minorEastAsia" w:eastAsiaTheme="minorEastAsia"/>
                <w:color w:val="auto"/>
                <w:kern w:val="2"/>
                <w:sz w:val="24"/>
                <w:szCs w:val="22"/>
                <w:highlight w:val="none"/>
                <w:lang w:eastAsia="zh-CN"/>
              </w:rPr>
            </w:pPr>
            <w:r>
              <w:rPr>
                <w:rFonts w:hint="eastAsia"/>
                <w:color w:val="auto"/>
                <w:sz w:val="24"/>
                <w:highlight w:val="none"/>
                <w:lang w:val="en-US" w:eastAsia="zh-CN"/>
              </w:rPr>
              <w:t>9</w:t>
            </w:r>
          </w:p>
        </w:tc>
        <w:tc>
          <w:tcPr>
            <w:tcW w:w="900" w:type="pct"/>
            <w:vAlign w:val="center"/>
          </w:tcPr>
          <w:p w14:paraId="706947DE">
            <w:pPr>
              <w:keepNext w:val="0"/>
              <w:keepLines w:val="0"/>
              <w:pageBreakBefore w:val="0"/>
              <w:widowControl w:val="0"/>
              <w:kinsoku/>
              <w:wordWrap/>
              <w:overflowPunct/>
              <w:topLinePunct w:val="0"/>
              <w:autoSpaceDE/>
              <w:autoSpaceDN/>
              <w:bidi w:val="0"/>
              <w:spacing w:line="440" w:lineRule="exact"/>
              <w:ind w:right="-10" w:rightChars="0"/>
              <w:jc w:val="center"/>
              <w:textAlignment w:val="auto"/>
              <w:rPr>
                <w:rFonts w:hint="default" w:ascii="Calibri" w:hAnsi="Calibri" w:eastAsia="宋体" w:cs="Times New Roman"/>
                <w:color w:val="auto"/>
                <w:kern w:val="2"/>
                <w:sz w:val="24"/>
                <w:szCs w:val="24"/>
                <w:highlight w:val="none"/>
                <w:lang w:val="en-US" w:eastAsia="zh-CN"/>
              </w:rPr>
            </w:pPr>
            <w:r>
              <w:rPr>
                <w:rFonts w:hint="default" w:ascii="Calibri" w:hAnsi="Calibri" w:eastAsia="宋体" w:cs="Times New Roman"/>
                <w:color w:val="auto"/>
                <w:kern w:val="2"/>
                <w:sz w:val="24"/>
                <w:szCs w:val="24"/>
                <w:highlight w:val="none"/>
                <w:lang w:val="en-US" w:eastAsia="zh-CN"/>
              </w:rPr>
              <w:t xml:space="preserve"> 诚信承诺书</w:t>
            </w:r>
          </w:p>
        </w:tc>
        <w:tc>
          <w:tcPr>
            <w:tcW w:w="2196" w:type="pct"/>
            <w:vAlign w:val="center"/>
          </w:tcPr>
          <w:p w14:paraId="7747E49D">
            <w:pPr>
              <w:keepNext w:val="0"/>
              <w:keepLines w:val="0"/>
              <w:pageBreakBefore w:val="0"/>
              <w:widowControl w:val="0"/>
              <w:kinsoku/>
              <w:wordWrap/>
              <w:overflowPunct/>
              <w:topLinePunct w:val="0"/>
              <w:autoSpaceDE/>
              <w:autoSpaceDN/>
              <w:bidi w:val="0"/>
              <w:spacing w:line="440" w:lineRule="exact"/>
              <w:ind w:right="-10" w:rightChars="0"/>
              <w:jc w:val="both"/>
              <w:textAlignment w:val="auto"/>
              <w:rPr>
                <w:rFonts w:hint="eastAsia" w:ascii="Calibri" w:hAnsi="Calibri" w:cs="Times New Roman" w:eastAsiaTheme="minorEastAsia"/>
                <w:color w:val="auto"/>
                <w:kern w:val="2"/>
                <w:sz w:val="24"/>
                <w:szCs w:val="22"/>
                <w:highlight w:val="none"/>
                <w:lang w:val="en-US" w:eastAsia="zh-CN"/>
              </w:rPr>
            </w:pPr>
            <w:r>
              <w:rPr>
                <w:rFonts w:hint="eastAsia" w:asciiTheme="minorEastAsia" w:hAnsiTheme="minorEastAsia" w:eastAsiaTheme="minorEastAsia"/>
                <w:color w:val="auto"/>
                <w:sz w:val="24"/>
                <w:szCs w:val="28"/>
                <w:highlight w:val="none"/>
              </w:rPr>
              <w:t>符合</w:t>
            </w:r>
            <w:r>
              <w:rPr>
                <w:rFonts w:hint="eastAsia" w:asciiTheme="minorEastAsia" w:hAnsiTheme="minorEastAsia" w:eastAsiaTheme="minorEastAsia"/>
                <w:color w:val="auto"/>
                <w:sz w:val="24"/>
                <w:highlight w:val="none"/>
                <w:lang w:val="en-US" w:eastAsia="zh-CN"/>
              </w:rPr>
              <w:t>谈判</w:t>
            </w:r>
            <w:r>
              <w:rPr>
                <w:rFonts w:hint="eastAsia" w:asciiTheme="minorEastAsia" w:hAnsiTheme="minorEastAsia" w:eastAsiaTheme="minorEastAsia"/>
                <w:color w:val="auto"/>
                <w:sz w:val="24"/>
                <w:highlight w:val="none"/>
              </w:rPr>
              <w:t>文件</w:t>
            </w:r>
            <w:r>
              <w:rPr>
                <w:rFonts w:hint="eastAsia" w:asciiTheme="minorEastAsia" w:hAnsiTheme="minorEastAsia" w:eastAsiaTheme="minorEastAsia"/>
                <w:color w:val="auto"/>
                <w:sz w:val="24"/>
                <w:highlight w:val="none"/>
                <w:lang w:val="en-US" w:eastAsia="zh-CN"/>
              </w:rPr>
              <w:t>要求。</w:t>
            </w:r>
          </w:p>
        </w:tc>
        <w:tc>
          <w:tcPr>
            <w:tcW w:w="1416" w:type="pct"/>
            <w:vAlign w:val="center"/>
          </w:tcPr>
          <w:p w14:paraId="561F3D0C">
            <w:pPr>
              <w:keepNext w:val="0"/>
              <w:keepLines w:val="0"/>
              <w:pageBreakBefore w:val="0"/>
              <w:widowControl w:val="0"/>
              <w:kinsoku/>
              <w:wordWrap/>
              <w:overflowPunct/>
              <w:topLinePunct w:val="0"/>
              <w:autoSpaceDE/>
              <w:autoSpaceDN/>
              <w:bidi w:val="0"/>
              <w:adjustRightInd w:val="0"/>
              <w:snapToGrid w:val="0"/>
              <w:spacing w:line="440" w:lineRule="exact"/>
              <w:ind w:right="-10" w:rightChars="0"/>
              <w:jc w:val="both"/>
              <w:textAlignment w:val="auto"/>
              <w:rPr>
                <w:rFonts w:hint="eastAsia" w:asciiTheme="majorEastAsia" w:hAnsiTheme="majorEastAsia" w:eastAsiaTheme="majorEastAsia"/>
                <w:color w:val="auto"/>
                <w:sz w:val="24"/>
                <w:highlight w:val="none"/>
              </w:rPr>
            </w:pPr>
            <w:r>
              <w:rPr>
                <w:rFonts w:hint="eastAsia" w:ascii="宋体" w:hAnsi="宋体" w:eastAsia="宋体"/>
                <w:color w:val="auto"/>
                <w:sz w:val="24"/>
                <w:highlight w:val="none"/>
              </w:rPr>
              <w:t>详见第六章</w:t>
            </w:r>
            <w:r>
              <w:rPr>
                <w:rFonts w:hint="eastAsia" w:ascii="宋体" w:hAnsi="宋体" w:eastAsia="宋体"/>
                <w:color w:val="auto"/>
                <w:sz w:val="24"/>
                <w:highlight w:val="none"/>
                <w:lang w:val="en-US" w:eastAsia="zh-CN"/>
              </w:rPr>
              <w:t>响应</w:t>
            </w:r>
            <w:r>
              <w:rPr>
                <w:rFonts w:hint="eastAsia" w:ascii="宋体" w:hAnsi="宋体" w:eastAsia="宋体"/>
                <w:color w:val="auto"/>
                <w:sz w:val="24"/>
                <w:highlight w:val="none"/>
              </w:rPr>
              <w:t>文件格式</w:t>
            </w:r>
            <w:r>
              <w:rPr>
                <w:rFonts w:hint="eastAsia" w:ascii="宋体" w:hAnsi="宋体" w:eastAsia="宋体"/>
                <w:color w:val="auto"/>
                <w:sz w:val="24"/>
                <w:highlight w:val="none"/>
                <w:lang w:eastAsia="zh-CN"/>
              </w:rPr>
              <w:t>。</w:t>
            </w:r>
          </w:p>
        </w:tc>
      </w:tr>
      <w:tr w14:paraId="1419B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3583" w:type="pct"/>
            <w:gridSpan w:val="3"/>
            <w:tcBorders>
              <w:bottom w:val="single" w:color="auto" w:sz="4" w:space="0"/>
            </w:tcBorders>
            <w:vAlign w:val="center"/>
          </w:tcPr>
          <w:p w14:paraId="3BFD6F63">
            <w:pPr>
              <w:keepNext w:val="0"/>
              <w:keepLines w:val="0"/>
              <w:pageBreakBefore w:val="0"/>
              <w:widowControl w:val="0"/>
              <w:kinsoku/>
              <w:wordWrap/>
              <w:overflowPunct/>
              <w:topLinePunct w:val="0"/>
              <w:autoSpaceDE/>
              <w:autoSpaceDN/>
              <w:bidi w:val="0"/>
              <w:adjustRightInd w:val="0"/>
              <w:snapToGrid w:val="0"/>
              <w:spacing w:line="440" w:lineRule="exact"/>
              <w:ind w:right="-10"/>
              <w:jc w:val="left"/>
              <w:textAlignment w:val="auto"/>
              <w:rPr>
                <w:rFonts w:ascii="Calibri" w:hAnsi="Calibri" w:cs="Times New Roman"/>
                <w:color w:val="auto"/>
                <w:kern w:val="2"/>
                <w:sz w:val="24"/>
                <w:szCs w:val="22"/>
                <w:highlight w:val="none"/>
              </w:rPr>
            </w:pPr>
            <w:r>
              <w:rPr>
                <w:rFonts w:hint="eastAsia" w:ascii="Calibri" w:hAnsi="Calibri" w:cs="Times New Roman"/>
                <w:color w:val="auto"/>
                <w:kern w:val="2"/>
                <w:sz w:val="24"/>
                <w:szCs w:val="22"/>
                <w:highlight w:val="none"/>
              </w:rPr>
              <w:t>评审指标通过标准：供应商必须通过上述全部指标。</w:t>
            </w:r>
          </w:p>
        </w:tc>
        <w:tc>
          <w:tcPr>
            <w:tcW w:w="1416" w:type="pct"/>
            <w:tcBorders>
              <w:bottom w:val="single" w:color="auto" w:sz="4" w:space="0"/>
            </w:tcBorders>
            <w:vAlign w:val="center"/>
          </w:tcPr>
          <w:p w14:paraId="3D9BECBE">
            <w:pPr>
              <w:keepNext w:val="0"/>
              <w:keepLines w:val="0"/>
              <w:pageBreakBefore w:val="0"/>
              <w:widowControl w:val="0"/>
              <w:kinsoku/>
              <w:wordWrap/>
              <w:overflowPunct/>
              <w:topLinePunct w:val="0"/>
              <w:autoSpaceDE/>
              <w:autoSpaceDN/>
              <w:bidi w:val="0"/>
              <w:adjustRightInd w:val="0"/>
              <w:snapToGrid w:val="0"/>
              <w:spacing w:line="440" w:lineRule="exact"/>
              <w:ind w:right="-10"/>
              <w:jc w:val="left"/>
              <w:textAlignment w:val="auto"/>
              <w:rPr>
                <w:rFonts w:hint="eastAsia" w:ascii="Calibri" w:hAnsi="Calibri" w:cs="Times New Roman"/>
                <w:color w:val="auto"/>
                <w:kern w:val="2"/>
                <w:sz w:val="24"/>
                <w:szCs w:val="22"/>
                <w:highlight w:val="none"/>
              </w:rPr>
            </w:pPr>
          </w:p>
        </w:tc>
      </w:tr>
    </w:tbl>
    <w:p w14:paraId="32A459D7">
      <w:pPr>
        <w:spacing w:line="360" w:lineRule="auto"/>
        <w:ind w:firstLine="435"/>
        <w:outlineLvl w:val="2"/>
        <w:rPr>
          <w:rFonts w:hint="eastAsia" w:asciiTheme="minorEastAsia" w:hAnsiTheme="minorEastAsia" w:eastAsiaTheme="minorEastAsia"/>
          <w:sz w:val="24"/>
          <w:highlight w:val="none"/>
        </w:rPr>
      </w:pPr>
      <w:r>
        <w:rPr>
          <w:rFonts w:asciiTheme="minorEastAsia" w:hAnsiTheme="minorEastAsia" w:eastAsiaTheme="minorEastAsia"/>
          <w:color w:val="auto"/>
          <w:sz w:val="24"/>
          <w:highlight w:val="none"/>
        </w:rPr>
        <w:br w:type="page"/>
      </w:r>
      <w:r>
        <w:rPr>
          <w:rFonts w:hint="eastAsia" w:asciiTheme="minorEastAsia" w:hAnsiTheme="minorEastAsia" w:eastAsiaTheme="minorEastAsia"/>
          <w:sz w:val="24"/>
          <w:highlight w:val="none"/>
          <w:lang w:val="en-US" w:eastAsia="zh-CN"/>
        </w:rPr>
        <w:t>2.2</w:t>
      </w:r>
      <w:r>
        <w:rPr>
          <w:rFonts w:hint="eastAsia" w:asciiTheme="minorEastAsia" w:hAnsiTheme="minorEastAsia" w:eastAsiaTheme="minorEastAsia"/>
          <w:sz w:val="24"/>
          <w:highlight w:val="none"/>
        </w:rPr>
        <w:t>异常低价</w:t>
      </w:r>
      <w:r>
        <w:rPr>
          <w:rFonts w:hint="eastAsia" w:asciiTheme="minorEastAsia" w:hAnsiTheme="minorEastAsia" w:eastAsiaTheme="minorEastAsia"/>
          <w:sz w:val="24"/>
          <w:highlight w:val="none"/>
          <w:lang w:val="en-US" w:eastAsia="zh-CN"/>
        </w:rPr>
        <w:t>响应</w:t>
      </w:r>
      <w:r>
        <w:rPr>
          <w:rFonts w:hint="eastAsia" w:asciiTheme="minorEastAsia" w:hAnsiTheme="minorEastAsia" w:eastAsiaTheme="minorEastAsia"/>
          <w:sz w:val="24"/>
          <w:highlight w:val="none"/>
        </w:rPr>
        <w:t>审查</w:t>
      </w:r>
    </w:p>
    <w:tbl>
      <w:tblPr>
        <w:tblStyle w:val="55"/>
        <w:tblW w:w="52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9"/>
        <w:gridCol w:w="1564"/>
        <w:gridCol w:w="4789"/>
        <w:gridCol w:w="2439"/>
      </w:tblGrid>
      <w:tr w14:paraId="64ED7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8954" w:type="dxa"/>
            <w:gridSpan w:val="4"/>
            <w:tcBorders>
              <w:bottom w:val="single" w:color="auto" w:sz="4" w:space="0"/>
            </w:tcBorders>
            <w:vAlign w:val="center"/>
          </w:tcPr>
          <w:p w14:paraId="0A55AF2A">
            <w:pPr>
              <w:adjustRightInd w:val="0"/>
              <w:snapToGrid w:val="0"/>
              <w:spacing w:line="360" w:lineRule="auto"/>
              <w:ind w:right="-10" w:rightChars="0"/>
              <w:jc w:val="center"/>
              <w:rPr>
                <w:rFonts w:ascii="宋体" w:hAnsi="宋体" w:eastAsia="宋体"/>
                <w:sz w:val="24"/>
                <w:highlight w:val="none"/>
              </w:rPr>
            </w:pPr>
            <w:r>
              <w:rPr>
                <w:rFonts w:hint="eastAsia" w:ascii="宋体" w:hAnsi="宋体" w:eastAsia="宋体" w:cs="Times New Roman"/>
                <w:b/>
                <w:bCs/>
                <w:sz w:val="24"/>
                <w:highlight w:val="none"/>
                <w:lang w:val="en-US" w:eastAsia="zh-CN"/>
              </w:rPr>
              <w:t>异常低价响应审查表</w:t>
            </w:r>
          </w:p>
        </w:tc>
      </w:tr>
      <w:tr w14:paraId="57258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805" w:type="dxa"/>
            <w:tcBorders>
              <w:bottom w:val="single" w:color="auto" w:sz="4" w:space="0"/>
            </w:tcBorders>
            <w:vAlign w:val="center"/>
          </w:tcPr>
          <w:p w14:paraId="24C66339">
            <w:pPr>
              <w:spacing w:line="360" w:lineRule="auto"/>
              <w:jc w:val="center"/>
              <w:rPr>
                <w:rFonts w:ascii="宋体" w:hAnsi="宋体" w:eastAsia="宋体"/>
                <w:sz w:val="24"/>
                <w:highlight w:val="none"/>
              </w:rPr>
            </w:pPr>
            <w:r>
              <w:rPr>
                <w:rFonts w:hint="eastAsia" w:ascii="宋体" w:hAnsi="宋体" w:eastAsia="宋体" w:cs="Times New Roman"/>
                <w:sz w:val="24"/>
                <w:highlight w:val="none"/>
                <w:lang w:val="en-US" w:eastAsia="zh-CN"/>
              </w:rPr>
              <w:t>序号</w:t>
            </w:r>
          </w:p>
        </w:tc>
        <w:tc>
          <w:tcPr>
            <w:tcW w:w="1450" w:type="dxa"/>
            <w:tcBorders>
              <w:bottom w:val="single" w:color="auto" w:sz="4" w:space="0"/>
            </w:tcBorders>
            <w:vAlign w:val="center"/>
          </w:tcPr>
          <w:p w14:paraId="242D7536">
            <w:pPr>
              <w:spacing w:line="360" w:lineRule="auto"/>
              <w:ind w:firstLine="240" w:firstLineChars="100"/>
              <w:jc w:val="center"/>
              <w:rPr>
                <w:rFonts w:ascii="宋体" w:hAnsi="宋体" w:eastAsia="宋体"/>
                <w:kern w:val="2"/>
                <w:szCs w:val="24"/>
                <w:highlight w:val="none"/>
              </w:rPr>
            </w:pPr>
            <w:r>
              <w:rPr>
                <w:rFonts w:hint="eastAsia" w:ascii="宋体" w:hAnsi="宋体" w:eastAsia="宋体" w:cs="Times New Roman"/>
                <w:sz w:val="24"/>
                <w:highlight w:val="none"/>
                <w:lang w:val="en-US" w:eastAsia="zh-CN"/>
              </w:rPr>
              <w:t>评审指标</w:t>
            </w:r>
          </w:p>
        </w:tc>
        <w:tc>
          <w:tcPr>
            <w:tcW w:w="4439" w:type="dxa"/>
            <w:tcBorders>
              <w:bottom w:val="single" w:color="auto" w:sz="4" w:space="0"/>
            </w:tcBorders>
            <w:vAlign w:val="center"/>
          </w:tcPr>
          <w:p w14:paraId="63EC8315">
            <w:pPr>
              <w:spacing w:line="360" w:lineRule="auto"/>
              <w:ind w:firstLine="240" w:firstLineChars="100"/>
              <w:jc w:val="center"/>
              <w:rPr>
                <w:rFonts w:ascii="宋体" w:hAnsi="宋体" w:eastAsia="宋体"/>
                <w:sz w:val="24"/>
                <w:highlight w:val="none"/>
              </w:rPr>
            </w:pPr>
            <w:r>
              <w:rPr>
                <w:rFonts w:hint="eastAsia" w:ascii="宋体" w:hAnsi="宋体" w:eastAsia="宋体" w:cs="Times New Roman"/>
                <w:sz w:val="24"/>
                <w:highlight w:val="none"/>
                <w:lang w:val="en-US" w:eastAsia="zh-CN"/>
              </w:rPr>
              <w:t>评审标准</w:t>
            </w:r>
          </w:p>
        </w:tc>
        <w:tc>
          <w:tcPr>
            <w:tcW w:w="2260" w:type="dxa"/>
            <w:tcBorders>
              <w:bottom w:val="single" w:color="auto" w:sz="4" w:space="0"/>
            </w:tcBorders>
            <w:vAlign w:val="center"/>
          </w:tcPr>
          <w:p w14:paraId="39E809DA">
            <w:pPr>
              <w:spacing w:line="360" w:lineRule="auto"/>
              <w:jc w:val="center"/>
              <w:rPr>
                <w:rFonts w:ascii="宋体" w:hAnsi="宋体" w:eastAsia="宋体"/>
                <w:sz w:val="24"/>
                <w:highlight w:val="none"/>
              </w:rPr>
            </w:pPr>
            <w:r>
              <w:rPr>
                <w:rFonts w:hint="eastAsia" w:ascii="宋体" w:hAnsi="宋体" w:eastAsia="宋体" w:cs="Times New Roman"/>
                <w:sz w:val="24"/>
                <w:highlight w:val="none"/>
                <w:lang w:val="en-US" w:eastAsia="zh-CN"/>
              </w:rPr>
              <w:t>格式及材料要求</w:t>
            </w:r>
          </w:p>
        </w:tc>
      </w:tr>
      <w:tr w14:paraId="63D04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5" w:hRule="atLeast"/>
          <w:jc w:val="center"/>
        </w:trPr>
        <w:tc>
          <w:tcPr>
            <w:tcW w:w="805" w:type="dxa"/>
            <w:tcBorders>
              <w:bottom w:val="single" w:color="auto" w:sz="4" w:space="0"/>
            </w:tcBorders>
            <w:vAlign w:val="center"/>
          </w:tcPr>
          <w:p w14:paraId="53262601">
            <w:pPr>
              <w:keepNext w:val="0"/>
              <w:keepLines w:val="0"/>
              <w:pageBreakBefore w:val="0"/>
              <w:widowControl w:val="0"/>
              <w:kinsoku/>
              <w:wordWrap w:val="0"/>
              <w:overflowPunct/>
              <w:topLinePunct/>
              <w:autoSpaceDE/>
              <w:autoSpaceDN/>
              <w:bidi w:val="0"/>
              <w:adjustRightInd/>
              <w:snapToGrid/>
              <w:spacing w:line="360" w:lineRule="auto"/>
              <w:ind w:firstLine="240" w:firstLineChars="100"/>
              <w:textAlignment w:val="auto"/>
              <w:rPr>
                <w:rFonts w:hint="eastAsia" w:ascii="宋体" w:hAnsi="宋体" w:eastAsia="宋体" w:cs="宋体"/>
                <w:sz w:val="24"/>
                <w:highlight w:val="none"/>
              </w:rPr>
            </w:pPr>
            <w:r>
              <w:rPr>
                <w:rFonts w:hint="eastAsia" w:ascii="宋体" w:hAnsi="宋体" w:eastAsia="宋体" w:cs="宋体"/>
                <w:sz w:val="24"/>
                <w:highlight w:val="none"/>
                <w:lang w:val="en-US" w:eastAsia="zh-CN"/>
              </w:rPr>
              <w:t>1</w:t>
            </w:r>
          </w:p>
        </w:tc>
        <w:tc>
          <w:tcPr>
            <w:tcW w:w="1450" w:type="dxa"/>
            <w:tcBorders>
              <w:bottom w:val="single" w:color="auto" w:sz="4" w:space="0"/>
            </w:tcBorders>
            <w:vAlign w:val="center"/>
          </w:tcPr>
          <w:p w14:paraId="0E424F26">
            <w:pPr>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异常低价</w:t>
            </w:r>
          </w:p>
          <w:p w14:paraId="4828CEF5">
            <w:pPr>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宋体" w:hAnsi="宋体" w:eastAsia="宋体" w:cs="宋体"/>
                <w:sz w:val="24"/>
                <w:szCs w:val="28"/>
                <w:highlight w:val="none"/>
              </w:rPr>
            </w:pPr>
            <w:r>
              <w:rPr>
                <w:rFonts w:hint="eastAsia" w:ascii="宋体" w:hAnsi="宋体" w:eastAsia="宋体" w:cs="宋体"/>
                <w:sz w:val="24"/>
                <w:highlight w:val="none"/>
                <w:lang w:val="en-US" w:eastAsia="zh-CN"/>
              </w:rPr>
              <w:t>响应审查</w:t>
            </w:r>
          </w:p>
        </w:tc>
        <w:tc>
          <w:tcPr>
            <w:tcW w:w="4439" w:type="dxa"/>
            <w:tcBorders>
              <w:bottom w:val="single" w:color="auto" w:sz="4" w:space="0"/>
            </w:tcBorders>
            <w:vAlign w:val="center"/>
          </w:tcPr>
          <w:p w14:paraId="14855D12">
            <w:pPr>
              <w:pStyle w:val="17"/>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宋体" w:hAnsi="宋体" w:eastAsia="宋体" w:cs="宋体"/>
                <w:b w:val="0"/>
                <w:bCs w:val="0"/>
                <w:i w:val="0"/>
                <w:iCs w:val="0"/>
                <w:sz w:val="24"/>
                <w:szCs w:val="24"/>
                <w:highlight w:val="none"/>
                <w:u w:val="none"/>
                <w:lang w:val="en-US" w:eastAsia="zh-CN"/>
              </w:rPr>
            </w:pPr>
            <w:r>
              <w:rPr>
                <w:rFonts w:hint="eastAsia" w:ascii="宋体" w:hAnsi="宋体" w:eastAsia="宋体" w:cs="宋体"/>
                <w:b w:val="0"/>
                <w:bCs w:val="0"/>
                <w:i w:val="0"/>
                <w:iCs w:val="0"/>
                <w:sz w:val="24"/>
                <w:szCs w:val="24"/>
                <w:highlight w:val="none"/>
                <w:u w:val="none"/>
                <w:lang w:val="en-US" w:eastAsia="zh-CN"/>
              </w:rPr>
              <w:t>（1）投标（响应）报价＜全部通过初审供应商响应报价平均值×</w:t>
            </w:r>
            <w:r>
              <w:rPr>
                <w:rFonts w:hint="eastAsia" w:ascii="宋体" w:hAnsi="宋体" w:eastAsia="宋体" w:cs="宋体"/>
                <w:b w:val="0"/>
                <w:bCs w:val="0"/>
                <w:i w:val="0"/>
                <w:iCs w:val="0"/>
                <w:color w:val="FF0000"/>
                <w:sz w:val="24"/>
                <w:szCs w:val="24"/>
                <w:highlight w:val="none"/>
                <w:u w:val="single"/>
                <w:lang w:val="en-US" w:eastAsia="zh-CN"/>
              </w:rPr>
              <w:t>60%</w:t>
            </w:r>
            <w:r>
              <w:rPr>
                <w:rFonts w:hint="eastAsia" w:ascii="宋体" w:hAnsi="宋体" w:eastAsia="宋体" w:cs="宋体"/>
                <w:b w:val="0"/>
                <w:bCs w:val="0"/>
                <w:i w:val="0"/>
                <w:iCs w:val="0"/>
                <w:sz w:val="24"/>
                <w:szCs w:val="24"/>
                <w:highlight w:val="none"/>
                <w:u w:val="none"/>
                <w:lang w:val="en-US" w:eastAsia="zh-CN"/>
              </w:rPr>
              <w:t>；</w:t>
            </w:r>
          </w:p>
          <w:p w14:paraId="12D6E1A2">
            <w:pPr>
              <w:pStyle w:val="17"/>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宋体" w:hAnsi="宋体" w:eastAsia="宋体" w:cs="宋体"/>
                <w:b w:val="0"/>
                <w:bCs w:val="0"/>
                <w:i w:val="0"/>
                <w:iCs w:val="0"/>
                <w:sz w:val="24"/>
                <w:szCs w:val="24"/>
                <w:highlight w:val="none"/>
                <w:u w:val="none"/>
                <w:lang w:val="en-US" w:eastAsia="zh-CN"/>
              </w:rPr>
            </w:pPr>
            <w:r>
              <w:rPr>
                <w:rFonts w:hint="eastAsia" w:ascii="宋体" w:hAnsi="宋体" w:eastAsia="宋体" w:cs="宋体"/>
                <w:b w:val="0"/>
                <w:bCs w:val="0"/>
                <w:i w:val="0"/>
                <w:iCs w:val="0"/>
                <w:sz w:val="24"/>
                <w:szCs w:val="24"/>
                <w:highlight w:val="none"/>
                <w:u w:val="none"/>
                <w:lang w:val="en-US" w:eastAsia="zh-CN"/>
              </w:rPr>
              <w:t>（2）投标（响应）报价＜通过初审的次低报价供应商响应报价×</w:t>
            </w:r>
            <w:r>
              <w:rPr>
                <w:rFonts w:hint="eastAsia" w:ascii="宋体" w:hAnsi="宋体" w:eastAsia="宋体" w:cs="宋体"/>
                <w:b w:val="0"/>
                <w:bCs w:val="0"/>
                <w:i w:val="0"/>
                <w:iCs w:val="0"/>
                <w:color w:val="FF0000"/>
                <w:sz w:val="24"/>
                <w:szCs w:val="24"/>
                <w:highlight w:val="none"/>
                <w:u w:val="single"/>
                <w:lang w:val="en-US" w:eastAsia="zh-CN"/>
              </w:rPr>
              <w:t>60%</w:t>
            </w:r>
            <w:r>
              <w:rPr>
                <w:rFonts w:hint="eastAsia" w:ascii="宋体" w:hAnsi="宋体" w:eastAsia="宋体" w:cs="宋体"/>
                <w:b w:val="0"/>
                <w:bCs w:val="0"/>
                <w:i w:val="0"/>
                <w:iCs w:val="0"/>
                <w:sz w:val="24"/>
                <w:szCs w:val="24"/>
                <w:highlight w:val="none"/>
                <w:u w:val="none"/>
                <w:lang w:val="en-US" w:eastAsia="zh-CN"/>
              </w:rPr>
              <w:t>；</w:t>
            </w:r>
          </w:p>
          <w:p w14:paraId="595C90C5">
            <w:pPr>
              <w:pStyle w:val="17"/>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宋体" w:hAnsi="宋体" w:eastAsia="宋体" w:cs="宋体"/>
                <w:b w:val="0"/>
                <w:bCs w:val="0"/>
                <w:i w:val="0"/>
                <w:iCs w:val="0"/>
                <w:sz w:val="24"/>
                <w:szCs w:val="24"/>
                <w:highlight w:val="none"/>
                <w:u w:val="none"/>
                <w:lang w:val="en-US" w:eastAsia="zh-CN"/>
              </w:rPr>
            </w:pPr>
            <w:r>
              <w:rPr>
                <w:rFonts w:hint="eastAsia" w:ascii="宋体" w:hAnsi="宋体" w:eastAsia="宋体" w:cs="宋体"/>
                <w:b w:val="0"/>
                <w:bCs w:val="0"/>
                <w:i w:val="0"/>
                <w:iCs w:val="0"/>
                <w:sz w:val="24"/>
                <w:szCs w:val="24"/>
                <w:highlight w:val="none"/>
                <w:u w:val="none"/>
                <w:lang w:val="en-US" w:eastAsia="zh-CN"/>
              </w:rPr>
              <w:t>（3）投标（响应）报价＜采购项目最高限价（如采购项目未设定最高限价的，以采购项目预算金额作为最高限价）×</w:t>
            </w:r>
            <w:r>
              <w:rPr>
                <w:rFonts w:hint="eastAsia" w:ascii="宋体" w:hAnsi="宋体" w:eastAsia="宋体" w:cs="宋体"/>
                <w:b w:val="0"/>
                <w:bCs w:val="0"/>
                <w:i w:val="0"/>
                <w:iCs w:val="0"/>
                <w:color w:val="FF0000"/>
                <w:sz w:val="24"/>
                <w:szCs w:val="24"/>
                <w:highlight w:val="none"/>
                <w:u w:val="single"/>
                <w:lang w:val="en-US" w:eastAsia="zh-CN"/>
              </w:rPr>
              <w:t>55%</w:t>
            </w:r>
            <w:r>
              <w:rPr>
                <w:rFonts w:hint="eastAsia" w:ascii="宋体" w:hAnsi="宋体" w:eastAsia="宋体" w:cs="宋体"/>
                <w:b w:val="0"/>
                <w:bCs w:val="0"/>
                <w:i w:val="0"/>
                <w:iCs w:val="0"/>
                <w:sz w:val="24"/>
                <w:szCs w:val="24"/>
                <w:highlight w:val="none"/>
                <w:u w:val="none"/>
                <w:lang w:val="en-US" w:eastAsia="zh-CN"/>
              </w:rPr>
              <w:t>；</w:t>
            </w:r>
          </w:p>
          <w:p w14:paraId="6545F9B4">
            <w:pPr>
              <w:pStyle w:val="17"/>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宋体" w:hAnsi="宋体" w:eastAsia="宋体" w:cs="宋体"/>
                <w:b w:val="0"/>
                <w:bCs w:val="0"/>
                <w:i w:val="0"/>
                <w:iCs w:val="0"/>
                <w:sz w:val="24"/>
                <w:szCs w:val="24"/>
                <w:highlight w:val="none"/>
                <w:u w:val="none"/>
                <w:lang w:val="en-US" w:eastAsia="zh-CN"/>
              </w:rPr>
            </w:pPr>
            <w:r>
              <w:rPr>
                <w:rFonts w:hint="eastAsia" w:ascii="宋体" w:hAnsi="宋体" w:eastAsia="宋体" w:cs="宋体"/>
                <w:b w:val="0"/>
                <w:bCs w:val="0"/>
                <w:i w:val="0"/>
                <w:iCs w:val="0"/>
                <w:sz w:val="24"/>
                <w:szCs w:val="24"/>
                <w:highlight w:val="none"/>
                <w:u w:val="none"/>
                <w:lang w:val="en-US" w:eastAsia="zh-CN"/>
              </w:rPr>
              <w:t>（4）谈判小组基于专业判断，认为供应商报价过低，有可能影响产品质量或者不能诚信履约的其他情形。</w:t>
            </w:r>
          </w:p>
          <w:p w14:paraId="14FCFEF9">
            <w:pPr>
              <w:pStyle w:val="17"/>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宋体" w:hAnsi="宋体" w:eastAsia="宋体" w:cs="宋体"/>
                <w:b w:val="0"/>
                <w:bCs w:val="0"/>
                <w:i w:val="0"/>
                <w:iCs w:val="0"/>
                <w:sz w:val="24"/>
                <w:szCs w:val="24"/>
                <w:highlight w:val="none"/>
                <w:u w:val="none"/>
                <w:lang w:val="en-US" w:eastAsia="zh-CN"/>
              </w:rPr>
            </w:pPr>
            <w:r>
              <w:rPr>
                <w:rFonts w:hint="eastAsia" w:ascii="宋体" w:hAnsi="宋体" w:eastAsia="宋体" w:cs="宋体"/>
                <w:b w:val="0"/>
                <w:bCs w:val="0"/>
                <w:i w:val="0"/>
                <w:iCs w:val="0"/>
                <w:sz w:val="24"/>
                <w:szCs w:val="24"/>
                <w:highlight w:val="none"/>
                <w:u w:val="none"/>
                <w:lang w:val="en-US" w:eastAsia="zh-CN"/>
              </w:rPr>
              <w:t>提醒：</w:t>
            </w:r>
          </w:p>
          <w:p w14:paraId="0BE4D07D">
            <w:pPr>
              <w:pStyle w:val="17"/>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宋体" w:hAnsi="宋体" w:eastAsia="宋体" w:cs="宋体"/>
                <w:b w:val="0"/>
                <w:bCs w:val="0"/>
                <w:i w:val="0"/>
                <w:iCs w:val="0"/>
                <w:sz w:val="24"/>
                <w:szCs w:val="24"/>
                <w:highlight w:val="none"/>
                <w:u w:val="none"/>
                <w:lang w:val="en-US" w:eastAsia="zh-CN"/>
              </w:rPr>
            </w:pPr>
            <w:r>
              <w:rPr>
                <w:rFonts w:hint="eastAsia" w:ascii="宋体" w:hAnsi="宋体" w:eastAsia="宋体" w:cs="宋体"/>
                <w:b w:val="0"/>
                <w:bCs w:val="0"/>
                <w:i w:val="0"/>
                <w:iCs w:val="0"/>
                <w:sz w:val="24"/>
                <w:szCs w:val="24"/>
                <w:highlight w:val="none"/>
                <w:u w:val="none"/>
                <w:lang w:val="en-US" w:eastAsia="zh-CN"/>
              </w:rPr>
              <w:t>（1）上述第（1）项数值计算：涉及总价、单价的精确到“分”并四舍五入，涉及费率的精确到小数点后两位，第三位四舍五入（例：如平均值为123.456元，即为123.46元；如平均值为80.126%，即为80.13%）。</w:t>
            </w:r>
          </w:p>
          <w:p w14:paraId="4095AB60">
            <w:pPr>
              <w:pStyle w:val="17"/>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宋体" w:hAnsi="宋体" w:eastAsia="宋体" w:cs="宋体"/>
                <w:b w:val="0"/>
                <w:bCs w:val="0"/>
                <w:i w:val="0"/>
                <w:iCs w:val="0"/>
                <w:sz w:val="24"/>
                <w:szCs w:val="24"/>
                <w:highlight w:val="none"/>
                <w:u w:val="none"/>
                <w:lang w:val="en-US" w:eastAsia="zh-CN"/>
              </w:rPr>
            </w:pPr>
            <w:r>
              <w:rPr>
                <w:rFonts w:hint="eastAsia" w:ascii="宋体" w:hAnsi="宋体" w:eastAsia="宋体" w:cs="宋体"/>
                <w:b w:val="0"/>
                <w:bCs w:val="0"/>
                <w:i w:val="0"/>
                <w:iCs w:val="0"/>
                <w:sz w:val="24"/>
                <w:szCs w:val="24"/>
                <w:highlight w:val="none"/>
                <w:u w:val="none"/>
                <w:lang w:val="en-US" w:eastAsia="zh-CN"/>
              </w:rPr>
              <w:t>（2）上述第（1）项至第（2）项中的供应商响应报价为最后承诺报价。</w:t>
            </w:r>
          </w:p>
        </w:tc>
        <w:tc>
          <w:tcPr>
            <w:tcW w:w="2260" w:type="dxa"/>
            <w:vAlign w:val="center"/>
          </w:tcPr>
          <w:p w14:paraId="4F4E35CC">
            <w:pPr>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宋体" w:hAnsi="宋体" w:eastAsia="宋体" w:cs="宋体"/>
                <w:sz w:val="24"/>
                <w:highlight w:val="none"/>
              </w:rPr>
            </w:pPr>
            <w:r>
              <w:rPr>
                <w:rFonts w:hint="eastAsia" w:ascii="宋体" w:hAnsi="宋体" w:eastAsia="宋体" w:cs="宋体"/>
                <w:sz w:val="24"/>
                <w:highlight w:val="none"/>
                <w:lang w:val="en-US" w:eastAsia="zh-CN"/>
              </w:rPr>
              <w:t>供应商在评审现场合理的时间内对价格作出解释，提供项目具体成本测算等与报价合理性相关的书面说明及必要的证明材料，包括但不限于原材料成本、人工成本、制造费用等。</w:t>
            </w:r>
          </w:p>
        </w:tc>
      </w:tr>
    </w:tbl>
    <w:p w14:paraId="45C50771">
      <w:pPr>
        <w:spacing w:line="360" w:lineRule="auto"/>
        <w:rPr>
          <w:rFonts w:hint="eastAsia" w:ascii="宋体" w:hAnsi="宋体" w:eastAsia="宋体" w:cs="Arial"/>
          <w:sz w:val="24"/>
          <w:highlight w:val="none"/>
          <w:lang w:val="en-US" w:eastAsia="zh-CN"/>
        </w:rPr>
      </w:pPr>
      <w:r>
        <w:rPr>
          <w:rFonts w:hint="eastAsia" w:ascii="宋体" w:hAnsi="宋体" w:eastAsia="宋体" w:cs="Times New Roman"/>
          <w:sz w:val="24"/>
          <w:highlight w:val="none"/>
          <w:lang w:val="en-US" w:eastAsia="zh-CN"/>
        </w:rPr>
        <w:t>注：</w:t>
      </w:r>
    </w:p>
    <w:p w14:paraId="57170614">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lang w:val="en-US" w:eastAsia="zh-CN"/>
        </w:rPr>
      </w:pPr>
      <w:r>
        <w:rPr>
          <w:rFonts w:hint="eastAsia" w:ascii="宋体" w:hAnsi="宋体" w:eastAsia="宋体"/>
          <w:sz w:val="24"/>
          <w:highlight w:val="none"/>
        </w:rPr>
        <w:t>根据《关于推进解决政府采购异常低价问题的通知》（财库〔2026〕2号），</w:t>
      </w:r>
      <w:r>
        <w:rPr>
          <w:rFonts w:hint="eastAsia" w:ascii="宋体" w:hAnsi="宋体" w:eastAsia="宋体"/>
          <w:sz w:val="24"/>
          <w:highlight w:val="none"/>
          <w:lang w:val="en-US" w:eastAsia="zh-CN"/>
        </w:rPr>
        <w:t>采购人可以结合具体项目实际情况，提高上述</w:t>
      </w:r>
      <w:r>
        <w:rPr>
          <w:rFonts w:hint="eastAsia" w:ascii="宋体" w:hAnsi="宋体" w:eastAsia="宋体" w:cs="Times New Roman"/>
          <w:sz w:val="24"/>
          <w:highlight w:val="none"/>
          <w:lang w:val="en-US" w:eastAsia="zh-CN"/>
        </w:rPr>
        <w:t>评审标准</w:t>
      </w:r>
      <w:r>
        <w:rPr>
          <w:rFonts w:hint="eastAsia" w:ascii="宋体" w:hAnsi="宋体" w:eastAsia="宋体"/>
          <w:sz w:val="24"/>
          <w:highlight w:val="none"/>
          <w:lang w:val="en-US" w:eastAsia="zh-CN"/>
        </w:rPr>
        <w:t>第（1）项至第（3）项中的数值标准，但是最高不得超过65%。</w:t>
      </w:r>
    </w:p>
    <w:p w14:paraId="153DDD6B">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r>
        <w:rPr>
          <w:rFonts w:hint="eastAsia" w:ascii="宋体" w:hAnsi="宋体" w:eastAsia="宋体"/>
          <w:sz w:val="24"/>
          <w:highlight w:val="none"/>
          <w:lang w:val="en-US" w:eastAsia="zh-CN"/>
        </w:rPr>
        <w:t>谈判</w:t>
      </w:r>
      <w:r>
        <w:rPr>
          <w:rFonts w:hint="eastAsia" w:ascii="宋体" w:hAnsi="宋体" w:eastAsia="宋体"/>
          <w:sz w:val="24"/>
          <w:highlight w:val="none"/>
        </w:rPr>
        <w:t>小组启动异常低价响应审查后，属于评审标准中第（1）项至第（4）项情形的，应当要求相关供应商在评审现场合理的时间内（不少于30分钟）对响应价格作出解释，提供项目具体成本测算等与报价合理性相关的书面说明及必要的证明材料，包括但不限于原材料成本、人工成本、制造费用等。其中，属于第</w:t>
      </w:r>
      <w:r>
        <w:rPr>
          <w:rFonts w:hint="eastAsia" w:ascii="宋体" w:hAnsi="宋体" w:eastAsia="宋体"/>
          <w:sz w:val="24"/>
          <w:highlight w:val="none"/>
          <w:lang w:eastAsia="zh-CN"/>
        </w:rPr>
        <w:t>（</w:t>
      </w:r>
      <w:r>
        <w:rPr>
          <w:rFonts w:hint="eastAsia" w:ascii="宋体" w:hAnsi="宋体" w:eastAsia="宋体"/>
          <w:sz w:val="24"/>
          <w:highlight w:val="none"/>
          <w:lang w:val="en-US" w:eastAsia="zh-CN"/>
        </w:rPr>
        <w:t>3</w:t>
      </w:r>
      <w:r>
        <w:rPr>
          <w:rFonts w:hint="eastAsia" w:ascii="宋体" w:hAnsi="宋体" w:eastAsia="宋体"/>
          <w:sz w:val="24"/>
          <w:highlight w:val="none"/>
          <w:lang w:eastAsia="zh-CN"/>
        </w:rPr>
        <w:t>）</w:t>
      </w:r>
      <w:r>
        <w:rPr>
          <w:rFonts w:hint="eastAsia" w:ascii="宋体" w:hAnsi="宋体" w:eastAsia="宋体"/>
          <w:sz w:val="24"/>
          <w:highlight w:val="none"/>
        </w:rPr>
        <w:t>项情形，供应商已随响应文件一并提交相关书面说明及必要的证明材料的，在评审现场可不再重复提交。</w:t>
      </w:r>
    </w:p>
    <w:p w14:paraId="0B411230">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r>
        <w:rPr>
          <w:rFonts w:hint="eastAsia" w:ascii="宋体" w:hAnsi="宋体" w:eastAsia="宋体"/>
          <w:sz w:val="24"/>
          <w:highlight w:val="none"/>
          <w:lang w:val="en-US" w:eastAsia="zh-CN"/>
        </w:rPr>
        <w:t>谈判</w:t>
      </w:r>
      <w:r>
        <w:rPr>
          <w:rFonts w:hint="eastAsia" w:ascii="宋体" w:hAnsi="宋体" w:eastAsia="宋体"/>
          <w:sz w:val="24"/>
          <w:highlight w:val="none"/>
        </w:rPr>
        <w:t>小组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w:t>
      </w:r>
      <w:r>
        <w:rPr>
          <w:rFonts w:hint="eastAsia" w:ascii="宋体" w:hAnsi="宋体" w:eastAsia="宋体"/>
          <w:sz w:val="24"/>
          <w:highlight w:val="none"/>
          <w:lang w:val="en-US" w:eastAsia="zh-CN"/>
        </w:rPr>
        <w:t>谈判</w:t>
      </w:r>
      <w:r>
        <w:rPr>
          <w:rFonts w:hint="eastAsia" w:ascii="宋体" w:hAnsi="宋体" w:eastAsia="宋体"/>
          <w:sz w:val="24"/>
          <w:highlight w:val="none"/>
        </w:rPr>
        <w:t xml:space="preserve">小组应当将其作为无效响应处理。 </w:t>
      </w:r>
    </w:p>
    <w:p w14:paraId="45FE12AF">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r>
        <w:rPr>
          <w:rFonts w:hint="eastAsia" w:ascii="宋体" w:hAnsi="宋体" w:eastAsia="宋体"/>
          <w:sz w:val="24"/>
          <w:highlight w:val="none"/>
          <w:lang w:val="en-US" w:eastAsia="zh-CN"/>
        </w:rPr>
        <w:t>谈判小组借助互联网等渠道查询相关信息的，应当严格遵守评审工作纪律，不得实施影响评审公正的行为。异常低价响应审查的启动原因、审查意见和审查结果应当在评审报告中记录，并随供应商提供的相关书面说明及证明材料，以及谈判小组有关互联网浏览、查询历史一并归档</w:t>
      </w:r>
      <w:r>
        <w:rPr>
          <w:rFonts w:hint="eastAsia" w:ascii="宋体" w:hAnsi="宋体" w:eastAsia="宋体"/>
          <w:sz w:val="24"/>
          <w:highlight w:val="none"/>
        </w:rPr>
        <w:t>。</w:t>
      </w:r>
    </w:p>
    <w:p w14:paraId="20DA6FEE">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7F1DCC6C">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4D7D1B43">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462D0654">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1F949263">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7B1F360B">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7ECDBF1C">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71A45C0B">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730CC4B2">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583598B6">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3BBABC9E">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42C5694C">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26519A01">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09FA42D1">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57CE9718">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4EF0C819">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25E86017">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74C84C42">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4A9C643C">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lang w:eastAsia="zh-CN"/>
        </w:rPr>
      </w:pPr>
    </w:p>
    <w:p w14:paraId="7114D1A0">
      <w:pPr>
        <w:spacing w:line="360" w:lineRule="auto"/>
        <w:jc w:val="center"/>
        <w:outlineLvl w:val="0"/>
        <w:rPr>
          <w:rFonts w:asciiTheme="minorEastAsia" w:hAnsiTheme="minorEastAsia" w:eastAsiaTheme="minorEastAsia"/>
          <w:b/>
          <w:color w:val="auto"/>
          <w:sz w:val="28"/>
          <w:highlight w:val="none"/>
        </w:rPr>
      </w:pPr>
      <w:bookmarkStart w:id="29" w:name="_Toc18010"/>
      <w:bookmarkStart w:id="30" w:name="_Toc19250"/>
      <w:r>
        <w:rPr>
          <w:rFonts w:hint="eastAsia" w:asciiTheme="minorEastAsia" w:hAnsiTheme="minorEastAsia" w:eastAsiaTheme="minorEastAsia"/>
          <w:b/>
          <w:color w:val="auto"/>
          <w:sz w:val="28"/>
          <w:highlight w:val="none"/>
        </w:rPr>
        <w:t xml:space="preserve">第五章  </w:t>
      </w:r>
      <w:r>
        <w:rPr>
          <w:rFonts w:asciiTheme="minorEastAsia" w:hAnsiTheme="minorEastAsia" w:eastAsiaTheme="minorEastAsia"/>
          <w:b/>
          <w:color w:val="auto"/>
          <w:sz w:val="28"/>
          <w:highlight w:val="none"/>
        </w:rPr>
        <w:t>政府采购合同</w:t>
      </w:r>
      <w:bookmarkEnd w:id="29"/>
      <w:bookmarkEnd w:id="30"/>
    </w:p>
    <w:p w14:paraId="688A89CC">
      <w:pPr>
        <w:keepNext/>
        <w:keepLines/>
        <w:snapToGrid w:val="0"/>
        <w:spacing w:before="312" w:beforeLines="100" w:after="312" w:afterLines="100" w:line="360" w:lineRule="auto"/>
        <w:jc w:val="center"/>
        <w:outlineLvl w:val="1"/>
        <w:rPr>
          <w:rFonts w:cs="宋体"/>
          <w:b/>
          <w:bCs/>
          <w:color w:val="auto"/>
          <w:sz w:val="21"/>
          <w:szCs w:val="21"/>
        </w:rPr>
      </w:pPr>
      <w:bookmarkStart w:id="31" w:name="_Toc28799376"/>
      <w:bookmarkStart w:id="32" w:name="_Toc9907"/>
      <w:bookmarkStart w:id="33" w:name="_Toc13085"/>
      <w:bookmarkStart w:id="34" w:name="_Toc130919120"/>
      <w:r>
        <w:rPr>
          <w:rFonts w:hint="eastAsia" w:cs="宋体"/>
          <w:b/>
          <w:bCs/>
          <w:color w:val="auto"/>
          <w:sz w:val="21"/>
          <w:szCs w:val="21"/>
        </w:rPr>
        <w:t>第一节  合同协议书</w:t>
      </w:r>
      <w:bookmarkEnd w:id="31"/>
      <w:bookmarkEnd w:id="32"/>
      <w:bookmarkEnd w:id="33"/>
      <w:bookmarkEnd w:id="34"/>
    </w:p>
    <w:p w14:paraId="1F586B4F">
      <w:pPr>
        <w:spacing w:line="360" w:lineRule="auto"/>
        <w:rPr>
          <w:rFonts w:hint="default" w:eastAsia="宋体" w:cs="宋体"/>
          <w:b/>
          <w:color w:val="auto"/>
          <w:sz w:val="24"/>
          <w:szCs w:val="24"/>
          <w:u w:val="single"/>
          <w:lang w:val="en-US" w:eastAsia="zh-CN"/>
        </w:rPr>
      </w:pPr>
      <w:r>
        <w:rPr>
          <w:rFonts w:hint="eastAsia" w:cs="宋体"/>
          <w:b/>
          <w:color w:val="auto"/>
          <w:sz w:val="24"/>
          <w:szCs w:val="24"/>
        </w:rPr>
        <w:t>发包人（全称）：</w:t>
      </w:r>
      <w:r>
        <w:rPr>
          <w:rFonts w:hint="eastAsia" w:cs="宋体"/>
          <w:b/>
          <w:color w:val="auto"/>
          <w:sz w:val="24"/>
          <w:szCs w:val="24"/>
          <w:u w:val="single"/>
          <w:lang w:val="en-US" w:eastAsia="zh-CN"/>
        </w:rPr>
        <w:t>定远县总医院</w:t>
      </w:r>
    </w:p>
    <w:p w14:paraId="0A90A020">
      <w:pPr>
        <w:spacing w:line="360" w:lineRule="auto"/>
        <w:rPr>
          <w:rFonts w:cs="宋体"/>
          <w:b/>
          <w:color w:val="auto"/>
          <w:sz w:val="24"/>
          <w:szCs w:val="24"/>
          <w:u w:val="single"/>
        </w:rPr>
      </w:pPr>
      <w:r>
        <w:rPr>
          <w:rFonts w:hint="eastAsia" w:cs="宋体"/>
          <w:b/>
          <w:color w:val="auto"/>
          <w:sz w:val="24"/>
          <w:szCs w:val="24"/>
        </w:rPr>
        <w:t>承包人（全称）：</w:t>
      </w:r>
      <w:r>
        <w:rPr>
          <w:rFonts w:hint="eastAsia" w:cs="宋体"/>
          <w:b/>
          <w:color w:val="auto"/>
          <w:sz w:val="24"/>
          <w:szCs w:val="24"/>
          <w:u w:val="single"/>
        </w:rPr>
        <w:t xml:space="preserve">   </w:t>
      </w:r>
      <w:r>
        <w:rPr>
          <w:rFonts w:hint="eastAsia" w:cs="宋体"/>
          <w:b/>
          <w:color w:val="auto"/>
          <w:sz w:val="24"/>
          <w:szCs w:val="24"/>
          <w:u w:val="single"/>
          <w:lang w:val="en-US" w:eastAsia="zh-CN"/>
        </w:rPr>
        <w:t xml:space="preserve">               </w:t>
      </w:r>
    </w:p>
    <w:p w14:paraId="38B3C91F">
      <w:pPr>
        <w:spacing w:line="360" w:lineRule="auto"/>
        <w:rPr>
          <w:rFonts w:ascii="Times New Roman" w:hAnsi="Times New Roman" w:eastAsia="仿宋_GB2312" w:cs="Times New Roman"/>
          <w:b/>
          <w:color w:val="auto"/>
          <w:kern w:val="2"/>
          <w:sz w:val="30"/>
          <w:szCs w:val="30"/>
          <w:u w:val="single"/>
        </w:rPr>
      </w:pPr>
    </w:p>
    <w:p w14:paraId="4ADC72F8">
      <w:pPr>
        <w:snapToGrid w:val="0"/>
        <w:spacing w:line="360" w:lineRule="auto"/>
        <w:ind w:firstLine="420" w:firstLineChars="200"/>
        <w:rPr>
          <w:rFonts w:cs="宋体"/>
          <w:color w:val="auto"/>
          <w:sz w:val="21"/>
          <w:szCs w:val="21"/>
        </w:rPr>
      </w:pPr>
      <w:r>
        <w:rPr>
          <w:rFonts w:hint="eastAsia" w:cs="宋体"/>
          <w:color w:val="auto"/>
          <w:sz w:val="21"/>
          <w:szCs w:val="21"/>
        </w:rPr>
        <w:t>根据《中华人民共和国民法典》《中华人民共和国建筑法》及有关法律规定，遵循平等、自愿、公平和诚实信用的原则，双方就</w:t>
      </w:r>
      <w:r>
        <w:rPr>
          <w:rFonts w:hint="eastAsia" w:cs="宋体"/>
          <w:color w:val="auto"/>
          <w:sz w:val="21"/>
          <w:szCs w:val="21"/>
          <w:u w:val="single"/>
        </w:rPr>
        <w:t xml:space="preserve"> </w:t>
      </w:r>
      <w:r>
        <w:rPr>
          <w:rFonts w:hint="eastAsia" w:cs="宋体"/>
          <w:color w:val="auto"/>
          <w:sz w:val="21"/>
          <w:szCs w:val="21"/>
          <w:u w:val="single"/>
          <w:lang w:val="en-US" w:eastAsia="zh-CN"/>
        </w:rPr>
        <w:t xml:space="preserve">定远县总医院120中心大楼室内改造项目 </w:t>
      </w:r>
      <w:r>
        <w:rPr>
          <w:rFonts w:hint="eastAsia" w:cs="宋体"/>
          <w:color w:val="auto"/>
          <w:sz w:val="21"/>
          <w:szCs w:val="21"/>
        </w:rPr>
        <w:t>施工及有关事项协商一致，共同达成如下协议：</w:t>
      </w:r>
    </w:p>
    <w:p w14:paraId="54592728">
      <w:pPr>
        <w:snapToGrid w:val="0"/>
        <w:spacing w:line="360" w:lineRule="auto"/>
        <w:ind w:firstLine="422" w:firstLineChars="200"/>
        <w:rPr>
          <w:rFonts w:cs="宋体"/>
          <w:color w:val="auto"/>
          <w:sz w:val="21"/>
          <w:szCs w:val="21"/>
        </w:rPr>
      </w:pPr>
      <w:r>
        <w:rPr>
          <w:rFonts w:hint="eastAsia" w:cs="宋体"/>
          <w:b/>
          <w:color w:val="auto"/>
          <w:sz w:val="21"/>
          <w:szCs w:val="21"/>
        </w:rPr>
        <w:t>一、工程概况</w:t>
      </w:r>
    </w:p>
    <w:p w14:paraId="3B07AF6D">
      <w:pPr>
        <w:snapToGrid w:val="0"/>
        <w:spacing w:line="360" w:lineRule="auto"/>
        <w:ind w:firstLine="411" w:firstLineChars="196"/>
        <w:rPr>
          <w:rFonts w:cs="宋体"/>
          <w:color w:val="auto"/>
          <w:sz w:val="21"/>
          <w:szCs w:val="21"/>
          <w:u w:val="single"/>
        </w:rPr>
      </w:pPr>
      <w:r>
        <w:rPr>
          <w:rFonts w:hint="eastAsia" w:cs="宋体"/>
          <w:bCs/>
          <w:color w:val="auto"/>
          <w:sz w:val="21"/>
          <w:szCs w:val="21"/>
        </w:rPr>
        <w:t>1. 工程名称</w:t>
      </w:r>
      <w:r>
        <w:rPr>
          <w:rFonts w:hint="eastAsia" w:cs="宋体"/>
          <w:color w:val="auto"/>
          <w:sz w:val="21"/>
          <w:szCs w:val="21"/>
        </w:rPr>
        <w:t>：</w:t>
      </w:r>
      <w:r>
        <w:rPr>
          <w:rFonts w:hint="eastAsia" w:cs="宋体"/>
          <w:color w:val="auto"/>
          <w:sz w:val="21"/>
          <w:szCs w:val="21"/>
          <w:u w:val="single"/>
          <w:lang w:val="en-US" w:eastAsia="zh-CN"/>
        </w:rPr>
        <w:t>定远县总医院120中心大楼室内改造项目</w:t>
      </w:r>
      <w:r>
        <w:rPr>
          <w:rFonts w:hint="eastAsia" w:cs="宋体"/>
          <w:color w:val="auto"/>
          <w:sz w:val="21"/>
          <w:szCs w:val="21"/>
        </w:rPr>
        <w:t>。</w:t>
      </w:r>
    </w:p>
    <w:p w14:paraId="2601203A">
      <w:pPr>
        <w:snapToGrid w:val="0"/>
        <w:spacing w:line="360" w:lineRule="auto"/>
        <w:ind w:firstLine="411" w:firstLineChars="196"/>
        <w:rPr>
          <w:rFonts w:cs="宋体"/>
          <w:bCs/>
          <w:color w:val="auto"/>
          <w:sz w:val="21"/>
          <w:szCs w:val="21"/>
        </w:rPr>
      </w:pPr>
      <w:r>
        <w:rPr>
          <w:rFonts w:hint="eastAsia" w:cs="宋体"/>
          <w:bCs/>
          <w:color w:val="auto"/>
          <w:sz w:val="21"/>
          <w:szCs w:val="21"/>
        </w:rPr>
        <w:t>2. 工程地点：</w:t>
      </w:r>
      <w:r>
        <w:rPr>
          <w:rFonts w:hint="eastAsia" w:cs="宋体"/>
          <w:color w:val="auto"/>
          <w:sz w:val="21"/>
          <w:szCs w:val="21"/>
          <w:u w:val="single"/>
          <w:lang w:val="en-US" w:eastAsia="zh-CN"/>
        </w:rPr>
        <w:t>定远县</w:t>
      </w:r>
      <w:r>
        <w:rPr>
          <w:rFonts w:hint="eastAsia" w:cs="宋体"/>
          <w:color w:val="auto"/>
          <w:sz w:val="21"/>
          <w:szCs w:val="21"/>
        </w:rPr>
        <w:t>。</w:t>
      </w:r>
    </w:p>
    <w:p w14:paraId="74F2E380">
      <w:pPr>
        <w:snapToGrid w:val="0"/>
        <w:spacing w:line="360" w:lineRule="auto"/>
        <w:ind w:firstLine="411" w:firstLineChars="196"/>
        <w:rPr>
          <w:rFonts w:cs="宋体"/>
          <w:bCs/>
          <w:color w:val="auto"/>
          <w:sz w:val="21"/>
          <w:szCs w:val="21"/>
        </w:rPr>
      </w:pPr>
      <w:r>
        <w:rPr>
          <w:rFonts w:hint="eastAsia" w:cs="宋体"/>
          <w:bCs/>
          <w:color w:val="auto"/>
          <w:sz w:val="21"/>
          <w:szCs w:val="21"/>
        </w:rPr>
        <w:t>3. 工程立项批准文号：</w:t>
      </w:r>
      <w:r>
        <w:rPr>
          <w:rFonts w:hint="eastAsia" w:cs="宋体"/>
          <w:color w:val="auto"/>
          <w:sz w:val="21"/>
          <w:szCs w:val="21"/>
          <w:u w:val="single"/>
        </w:rPr>
        <w:t></w:t>
      </w:r>
      <w:r>
        <w:rPr>
          <w:rFonts w:hint="eastAsia" w:cs="宋体"/>
          <w:color w:val="auto"/>
          <w:sz w:val="21"/>
          <w:szCs w:val="21"/>
          <w:u w:val="single"/>
          <w:lang w:val="en-US" w:eastAsia="zh-CN"/>
        </w:rPr>
        <w:t xml:space="preserve">   /    </w:t>
      </w:r>
      <w:r>
        <w:rPr>
          <w:rFonts w:hint="eastAsia" w:cs="宋体"/>
          <w:bCs/>
          <w:color w:val="auto"/>
          <w:sz w:val="21"/>
          <w:szCs w:val="21"/>
        </w:rPr>
        <w:t>。</w:t>
      </w:r>
    </w:p>
    <w:p w14:paraId="21EA1CBC">
      <w:pPr>
        <w:snapToGrid w:val="0"/>
        <w:spacing w:line="360" w:lineRule="auto"/>
        <w:ind w:firstLine="411" w:firstLineChars="196"/>
        <w:rPr>
          <w:rFonts w:cs="宋体"/>
          <w:bCs/>
          <w:color w:val="auto"/>
          <w:sz w:val="21"/>
          <w:szCs w:val="21"/>
        </w:rPr>
      </w:pPr>
      <w:r>
        <w:rPr>
          <w:rFonts w:hint="eastAsia" w:cs="宋体"/>
          <w:bCs/>
          <w:color w:val="auto"/>
          <w:sz w:val="21"/>
          <w:szCs w:val="21"/>
        </w:rPr>
        <w:t>4. 资金来源：</w:t>
      </w:r>
      <w:r>
        <w:rPr>
          <w:rFonts w:hint="eastAsia" w:cs="宋体"/>
          <w:color w:val="auto"/>
          <w:sz w:val="21"/>
          <w:szCs w:val="21"/>
          <w:u w:val="single"/>
        </w:rPr>
        <w:t></w:t>
      </w:r>
      <w:r>
        <w:rPr>
          <w:rFonts w:hint="eastAsia" w:cs="宋体"/>
          <w:color w:val="auto"/>
          <w:sz w:val="21"/>
          <w:szCs w:val="21"/>
          <w:u w:val="single"/>
          <w:lang w:val="en-US" w:eastAsia="zh-CN"/>
        </w:rPr>
        <w:t>财政资金</w:t>
      </w:r>
      <w:r>
        <w:rPr>
          <w:rFonts w:hint="eastAsia" w:cs="宋体"/>
          <w:color w:val="auto"/>
          <w:sz w:val="21"/>
          <w:szCs w:val="21"/>
          <w:u w:val="single"/>
        </w:rPr>
        <w:t xml:space="preserve">      </w:t>
      </w:r>
      <w:r>
        <w:rPr>
          <w:rFonts w:hint="eastAsia" w:cs="宋体"/>
          <w:bCs/>
          <w:color w:val="auto"/>
          <w:sz w:val="21"/>
          <w:szCs w:val="21"/>
        </w:rPr>
        <w:t>。</w:t>
      </w:r>
    </w:p>
    <w:p w14:paraId="52B0A7CA">
      <w:pPr>
        <w:snapToGrid w:val="0"/>
        <w:spacing w:line="360" w:lineRule="auto"/>
        <w:ind w:firstLine="411" w:firstLineChars="196"/>
        <w:rPr>
          <w:rFonts w:cs="宋体"/>
          <w:bCs/>
          <w:color w:val="auto"/>
          <w:sz w:val="21"/>
          <w:szCs w:val="21"/>
        </w:rPr>
      </w:pPr>
      <w:r>
        <w:rPr>
          <w:rFonts w:hint="eastAsia" w:cs="宋体"/>
          <w:bCs/>
          <w:color w:val="auto"/>
          <w:sz w:val="21"/>
          <w:szCs w:val="21"/>
        </w:rPr>
        <w:t>5. 工程内容：</w:t>
      </w:r>
      <w:r>
        <w:rPr>
          <w:rFonts w:hint="eastAsia" w:cs="宋体"/>
          <w:color w:val="auto"/>
          <w:sz w:val="21"/>
          <w:szCs w:val="21"/>
          <w:u w:val="single"/>
        </w:rPr>
        <w:t xml:space="preserve">       </w:t>
      </w:r>
      <w:r>
        <w:rPr>
          <w:rFonts w:hint="eastAsia" w:cs="宋体"/>
          <w:bCs/>
          <w:color w:val="auto"/>
          <w:sz w:val="21"/>
          <w:szCs w:val="21"/>
        </w:rPr>
        <w:t>。</w:t>
      </w:r>
    </w:p>
    <w:p w14:paraId="0342E523">
      <w:pPr>
        <w:snapToGrid w:val="0"/>
        <w:spacing w:line="360" w:lineRule="auto"/>
        <w:ind w:firstLine="411" w:firstLineChars="196"/>
        <w:rPr>
          <w:rFonts w:cs="宋体"/>
          <w:bCs/>
          <w:color w:val="auto"/>
          <w:sz w:val="21"/>
          <w:szCs w:val="21"/>
        </w:rPr>
      </w:pPr>
      <w:r>
        <w:rPr>
          <w:rFonts w:hint="eastAsia" w:cs="宋体"/>
          <w:color w:val="auto"/>
          <w:sz w:val="21"/>
          <w:szCs w:val="21"/>
        </w:rPr>
        <w:t>群体工程应附《承包人承揽工程项目一览表》（附件1）。</w:t>
      </w:r>
    </w:p>
    <w:p w14:paraId="269A6F81">
      <w:pPr>
        <w:snapToGrid w:val="0"/>
        <w:spacing w:line="360" w:lineRule="auto"/>
        <w:ind w:firstLine="411" w:firstLineChars="196"/>
        <w:rPr>
          <w:rFonts w:cs="宋体"/>
          <w:color w:val="auto"/>
          <w:sz w:val="21"/>
          <w:szCs w:val="21"/>
        </w:rPr>
      </w:pPr>
      <w:r>
        <w:rPr>
          <w:rFonts w:hint="eastAsia" w:cs="宋体"/>
          <w:bCs/>
          <w:color w:val="auto"/>
          <w:sz w:val="21"/>
          <w:szCs w:val="21"/>
        </w:rPr>
        <w:t>6. 工程承包范围：</w:t>
      </w:r>
      <w:r>
        <w:rPr>
          <w:rFonts w:hint="eastAsia" w:cs="宋体"/>
          <w:color w:val="auto"/>
          <w:sz w:val="21"/>
          <w:szCs w:val="21"/>
          <w:u w:val="single"/>
        </w:rPr>
        <w:t xml:space="preserve"> </w:t>
      </w:r>
      <w:r>
        <w:rPr>
          <w:rFonts w:hint="eastAsia" w:cs="宋体"/>
          <w:color w:val="auto"/>
          <w:sz w:val="21"/>
          <w:szCs w:val="21"/>
          <w:u w:val="single"/>
          <w:lang w:val="en-US" w:eastAsia="zh-CN"/>
        </w:rPr>
        <w:t xml:space="preserve">工程量清单范围内的所有内容  </w:t>
      </w:r>
      <w:r>
        <w:rPr>
          <w:rFonts w:hint="eastAsia" w:cs="宋体"/>
          <w:color w:val="auto"/>
          <w:sz w:val="21"/>
          <w:szCs w:val="21"/>
        </w:rPr>
        <w:t>。</w:t>
      </w:r>
    </w:p>
    <w:p w14:paraId="73D515BB">
      <w:pPr>
        <w:snapToGrid w:val="0"/>
        <w:spacing w:line="360" w:lineRule="auto"/>
        <w:ind w:firstLine="422" w:firstLineChars="200"/>
        <w:rPr>
          <w:rFonts w:cs="宋体"/>
          <w:b/>
          <w:color w:val="auto"/>
          <w:sz w:val="21"/>
          <w:szCs w:val="21"/>
        </w:rPr>
      </w:pPr>
      <w:bookmarkStart w:id="35" w:name="_Toc351203482"/>
      <w:r>
        <w:rPr>
          <w:rFonts w:hint="eastAsia" w:cs="宋体"/>
          <w:b/>
          <w:color w:val="auto"/>
          <w:sz w:val="21"/>
          <w:szCs w:val="21"/>
        </w:rPr>
        <w:t>二、合同工期</w:t>
      </w:r>
      <w:bookmarkEnd w:id="35"/>
    </w:p>
    <w:p w14:paraId="662E22AE">
      <w:pPr>
        <w:snapToGrid w:val="0"/>
        <w:spacing w:line="360" w:lineRule="auto"/>
        <w:ind w:firstLine="459"/>
        <w:rPr>
          <w:rFonts w:cs="宋体"/>
          <w:color w:val="auto"/>
          <w:sz w:val="21"/>
          <w:szCs w:val="21"/>
        </w:rPr>
      </w:pPr>
      <w:r>
        <w:rPr>
          <w:rFonts w:hint="eastAsia" w:cs="宋体"/>
          <w:color w:val="auto"/>
          <w:sz w:val="21"/>
          <w:szCs w:val="21"/>
        </w:rPr>
        <w:t>计划开工日期：</w:t>
      </w:r>
      <w:r>
        <w:rPr>
          <w:rFonts w:hint="eastAsia" w:cs="宋体"/>
          <w:color w:val="auto"/>
          <w:sz w:val="21"/>
          <w:szCs w:val="21"/>
          <w:u w:val="single"/>
        </w:rPr>
        <w:t></w:t>
      </w:r>
      <w:r>
        <w:rPr>
          <w:rFonts w:hint="eastAsia" w:cs="宋体"/>
          <w:color w:val="auto"/>
          <w:sz w:val="21"/>
          <w:szCs w:val="21"/>
          <w:u w:val="single"/>
          <w:lang w:val="en-US" w:eastAsia="zh-CN"/>
        </w:rPr>
        <w:t xml:space="preserve">     </w:t>
      </w:r>
      <w:r>
        <w:rPr>
          <w:rFonts w:hint="eastAsia" w:cs="宋体"/>
          <w:color w:val="auto"/>
          <w:sz w:val="21"/>
          <w:szCs w:val="21"/>
          <w:u w:val="single"/>
        </w:rPr>
        <w:t></w:t>
      </w:r>
      <w:r>
        <w:rPr>
          <w:rFonts w:hint="eastAsia" w:cs="宋体"/>
          <w:color w:val="auto"/>
          <w:sz w:val="21"/>
          <w:szCs w:val="21"/>
        </w:rPr>
        <w:t>年</w:t>
      </w:r>
      <w:r>
        <w:rPr>
          <w:rFonts w:hint="eastAsia" w:cs="宋体"/>
          <w:color w:val="auto"/>
          <w:sz w:val="21"/>
          <w:szCs w:val="21"/>
          <w:u w:val="single"/>
          <w:lang w:val="en-US" w:eastAsia="zh-CN"/>
        </w:rPr>
        <w:t xml:space="preserve">      </w:t>
      </w:r>
      <w:r>
        <w:rPr>
          <w:rFonts w:hint="eastAsia" w:cs="宋体"/>
          <w:color w:val="auto"/>
          <w:sz w:val="21"/>
          <w:szCs w:val="21"/>
        </w:rPr>
        <w:t>月</w:t>
      </w:r>
      <w:r>
        <w:rPr>
          <w:rFonts w:hint="eastAsia" w:cs="宋体"/>
          <w:color w:val="auto"/>
          <w:sz w:val="21"/>
          <w:szCs w:val="21"/>
          <w:u w:val="single"/>
          <w:lang w:val="en-US" w:eastAsia="zh-CN"/>
        </w:rPr>
        <w:t xml:space="preserve">      </w:t>
      </w:r>
      <w:r>
        <w:rPr>
          <w:rFonts w:hint="eastAsia" w:cs="宋体"/>
          <w:color w:val="auto"/>
          <w:sz w:val="21"/>
          <w:szCs w:val="21"/>
        </w:rPr>
        <w:t>日。（具体以监理工程师的开工令为准）</w:t>
      </w:r>
    </w:p>
    <w:p w14:paraId="449B6E3F">
      <w:pPr>
        <w:snapToGrid w:val="0"/>
        <w:spacing w:line="360" w:lineRule="auto"/>
        <w:ind w:firstLine="459"/>
        <w:rPr>
          <w:rFonts w:cs="宋体"/>
          <w:color w:val="auto"/>
          <w:sz w:val="21"/>
          <w:szCs w:val="21"/>
        </w:rPr>
      </w:pPr>
      <w:r>
        <w:rPr>
          <w:rFonts w:hint="eastAsia" w:cs="宋体"/>
          <w:color w:val="auto"/>
          <w:sz w:val="21"/>
          <w:szCs w:val="21"/>
        </w:rPr>
        <w:t>计划竣工日期：</w:t>
      </w:r>
      <w:r>
        <w:rPr>
          <w:rFonts w:hint="eastAsia" w:cs="宋体"/>
          <w:color w:val="auto"/>
          <w:sz w:val="21"/>
          <w:szCs w:val="21"/>
          <w:u w:val="single"/>
        </w:rPr>
        <w:t></w:t>
      </w:r>
      <w:r>
        <w:rPr>
          <w:rFonts w:hint="eastAsia" w:cs="宋体"/>
          <w:color w:val="auto"/>
          <w:sz w:val="21"/>
          <w:szCs w:val="21"/>
          <w:u w:val="single"/>
          <w:lang w:val="en-US" w:eastAsia="zh-CN"/>
        </w:rPr>
        <w:t xml:space="preserve">     </w:t>
      </w:r>
      <w:r>
        <w:rPr>
          <w:rFonts w:hint="eastAsia" w:cs="宋体"/>
          <w:color w:val="auto"/>
          <w:sz w:val="21"/>
          <w:szCs w:val="21"/>
          <w:u w:val="single"/>
        </w:rPr>
        <w:t></w:t>
      </w:r>
      <w:r>
        <w:rPr>
          <w:rFonts w:hint="eastAsia" w:cs="宋体"/>
          <w:color w:val="auto"/>
          <w:sz w:val="21"/>
          <w:szCs w:val="21"/>
        </w:rPr>
        <w:t>年</w:t>
      </w:r>
      <w:r>
        <w:rPr>
          <w:rFonts w:hint="eastAsia" w:cs="宋体"/>
          <w:color w:val="auto"/>
          <w:sz w:val="21"/>
          <w:szCs w:val="21"/>
          <w:u w:val="single"/>
          <w:lang w:val="en-US" w:eastAsia="zh-CN"/>
        </w:rPr>
        <w:t xml:space="preserve">      </w:t>
      </w:r>
      <w:r>
        <w:rPr>
          <w:rFonts w:hint="eastAsia" w:cs="宋体"/>
          <w:color w:val="auto"/>
          <w:sz w:val="21"/>
          <w:szCs w:val="21"/>
        </w:rPr>
        <w:t>月</w:t>
      </w:r>
      <w:r>
        <w:rPr>
          <w:rFonts w:hint="eastAsia" w:cs="宋体"/>
          <w:color w:val="auto"/>
          <w:sz w:val="21"/>
          <w:szCs w:val="21"/>
          <w:u w:val="single"/>
          <w:lang w:val="en-US" w:eastAsia="zh-CN"/>
        </w:rPr>
        <w:t xml:space="preserve">      </w:t>
      </w:r>
      <w:r>
        <w:rPr>
          <w:rFonts w:hint="eastAsia" w:cs="宋体"/>
          <w:color w:val="auto"/>
          <w:sz w:val="21"/>
          <w:szCs w:val="21"/>
        </w:rPr>
        <w:t>日。</w:t>
      </w:r>
    </w:p>
    <w:p w14:paraId="6A3D08C6">
      <w:pPr>
        <w:snapToGrid w:val="0"/>
        <w:spacing w:line="360" w:lineRule="auto"/>
        <w:ind w:firstLine="459"/>
        <w:rPr>
          <w:rFonts w:cs="宋体"/>
          <w:color w:val="auto"/>
          <w:sz w:val="21"/>
          <w:szCs w:val="21"/>
        </w:rPr>
      </w:pPr>
      <w:r>
        <w:rPr>
          <w:rFonts w:hint="eastAsia" w:cs="宋体"/>
          <w:color w:val="auto"/>
          <w:sz w:val="21"/>
          <w:szCs w:val="21"/>
        </w:rPr>
        <w:t>工期总日历天数：</w:t>
      </w:r>
      <w:r>
        <w:rPr>
          <w:rFonts w:hint="eastAsia" w:cs="宋体"/>
          <w:color w:val="auto"/>
          <w:sz w:val="21"/>
          <w:szCs w:val="21"/>
          <w:u w:val="single"/>
          <w:lang w:val="en-US" w:eastAsia="zh-CN"/>
        </w:rPr>
        <w:t xml:space="preserve"> 20个日历天（具体开工时间以开工令为准）</w:t>
      </w:r>
      <w:r>
        <w:rPr>
          <w:rFonts w:hint="eastAsia" w:cs="宋体"/>
          <w:color w:val="auto"/>
          <w:sz w:val="21"/>
          <w:szCs w:val="21"/>
        </w:rPr>
        <w:t>。工期总日历天数与根据前述计划开竣工日期计算的工期天数不一致的，以工期总日历天数为准。</w:t>
      </w:r>
    </w:p>
    <w:p w14:paraId="73B56A24">
      <w:pPr>
        <w:snapToGrid w:val="0"/>
        <w:spacing w:line="360" w:lineRule="auto"/>
        <w:ind w:firstLine="422" w:firstLineChars="200"/>
        <w:rPr>
          <w:rFonts w:cs="宋体"/>
          <w:b/>
          <w:color w:val="auto"/>
          <w:sz w:val="21"/>
          <w:szCs w:val="21"/>
        </w:rPr>
      </w:pPr>
      <w:bookmarkStart w:id="36" w:name="_Toc351203483"/>
      <w:r>
        <w:rPr>
          <w:rFonts w:hint="eastAsia" w:cs="宋体"/>
          <w:b/>
          <w:color w:val="auto"/>
          <w:sz w:val="21"/>
          <w:szCs w:val="21"/>
        </w:rPr>
        <w:t>三、质量标准</w:t>
      </w:r>
      <w:bookmarkEnd w:id="36"/>
    </w:p>
    <w:p w14:paraId="709DA779">
      <w:pPr>
        <w:snapToGrid w:val="0"/>
        <w:spacing w:line="360" w:lineRule="auto"/>
        <w:ind w:firstLine="459"/>
        <w:rPr>
          <w:rFonts w:cs="宋体"/>
          <w:color w:val="auto"/>
          <w:sz w:val="21"/>
          <w:szCs w:val="21"/>
        </w:rPr>
      </w:pPr>
      <w:r>
        <w:rPr>
          <w:rFonts w:hint="eastAsia" w:cs="宋体"/>
          <w:color w:val="auto"/>
          <w:sz w:val="21"/>
          <w:szCs w:val="21"/>
        </w:rPr>
        <w:t>工程质量符合</w:t>
      </w:r>
      <w:r>
        <w:rPr>
          <w:rFonts w:hint="eastAsia" w:cs="宋体"/>
          <w:color w:val="auto"/>
          <w:sz w:val="21"/>
          <w:szCs w:val="21"/>
          <w:u w:val="single"/>
        </w:rPr>
        <w:t xml:space="preserve"> 合格 </w:t>
      </w:r>
      <w:r>
        <w:rPr>
          <w:rFonts w:hint="eastAsia" w:cs="宋体"/>
          <w:color w:val="auto"/>
          <w:sz w:val="21"/>
          <w:szCs w:val="21"/>
        </w:rPr>
        <w:t>标准。</w:t>
      </w:r>
    </w:p>
    <w:p w14:paraId="5213229B">
      <w:pPr>
        <w:snapToGrid w:val="0"/>
        <w:spacing w:line="360" w:lineRule="auto"/>
        <w:ind w:firstLine="422" w:firstLineChars="200"/>
        <w:rPr>
          <w:rFonts w:cs="宋体"/>
          <w:b/>
          <w:color w:val="auto"/>
          <w:sz w:val="21"/>
          <w:szCs w:val="21"/>
        </w:rPr>
      </w:pPr>
      <w:bookmarkStart w:id="37" w:name="_Toc351203484"/>
      <w:r>
        <w:rPr>
          <w:rFonts w:hint="eastAsia" w:cs="宋体"/>
          <w:b/>
          <w:color w:val="auto"/>
          <w:sz w:val="21"/>
          <w:szCs w:val="21"/>
        </w:rPr>
        <w:t>四、签约合同价与合同价格形式</w:t>
      </w:r>
      <w:bookmarkEnd w:id="37"/>
    </w:p>
    <w:p w14:paraId="0A1F4E92">
      <w:pPr>
        <w:snapToGrid w:val="0"/>
        <w:spacing w:line="360" w:lineRule="auto"/>
        <w:ind w:firstLine="420" w:firstLineChars="200"/>
        <w:rPr>
          <w:rFonts w:cs="宋体"/>
          <w:color w:val="auto"/>
          <w:sz w:val="21"/>
          <w:szCs w:val="21"/>
        </w:rPr>
      </w:pPr>
      <w:r>
        <w:rPr>
          <w:rFonts w:hint="eastAsia" w:cs="宋体"/>
          <w:color w:val="auto"/>
          <w:sz w:val="21"/>
          <w:szCs w:val="21"/>
        </w:rPr>
        <w:t>1. 签约合同价为：</w:t>
      </w:r>
    </w:p>
    <w:p w14:paraId="59BDABBF">
      <w:pPr>
        <w:snapToGrid w:val="0"/>
        <w:spacing w:line="360" w:lineRule="auto"/>
        <w:ind w:firstLine="525" w:firstLineChars="250"/>
        <w:rPr>
          <w:rFonts w:cs="宋体"/>
          <w:color w:val="auto"/>
          <w:sz w:val="21"/>
          <w:szCs w:val="21"/>
        </w:rPr>
      </w:pPr>
      <w:r>
        <w:rPr>
          <w:rFonts w:hint="eastAsia" w:cs="宋体"/>
          <w:color w:val="auto"/>
          <w:sz w:val="21"/>
          <w:szCs w:val="21"/>
        </w:rPr>
        <w:t>人民币（大写）</w:t>
      </w:r>
      <w:r>
        <w:rPr>
          <w:rFonts w:hint="eastAsia" w:cs="宋体"/>
          <w:color w:val="auto"/>
          <w:sz w:val="21"/>
          <w:szCs w:val="21"/>
          <w:u w:val="single"/>
        </w:rPr>
        <w:t xml:space="preserve">                 （</w:t>
      </w:r>
      <w:r>
        <w:rPr>
          <w:rFonts w:hint="eastAsia" w:cs="宋体"/>
          <w:color w:val="auto"/>
          <w:sz w:val="21"/>
          <w:szCs w:val="21"/>
        </w:rPr>
        <w:t>¥</w:t>
      </w:r>
      <w:r>
        <w:rPr>
          <w:rFonts w:hint="eastAsia" w:cs="宋体"/>
          <w:color w:val="auto"/>
          <w:sz w:val="21"/>
          <w:szCs w:val="21"/>
          <w:u w:val="single"/>
        </w:rPr>
        <w:t xml:space="preserve">            </w:t>
      </w:r>
      <w:r>
        <w:rPr>
          <w:rFonts w:hint="eastAsia" w:cs="宋体"/>
          <w:color w:val="auto"/>
          <w:sz w:val="21"/>
          <w:szCs w:val="21"/>
        </w:rPr>
        <w:t>元）；</w:t>
      </w:r>
    </w:p>
    <w:p w14:paraId="3FA7668A">
      <w:pPr>
        <w:snapToGrid w:val="0"/>
        <w:spacing w:line="360" w:lineRule="auto"/>
        <w:ind w:firstLine="420" w:firstLineChars="200"/>
        <w:rPr>
          <w:rFonts w:cs="宋体"/>
          <w:color w:val="auto"/>
          <w:sz w:val="21"/>
          <w:szCs w:val="21"/>
        </w:rPr>
      </w:pPr>
      <w:r>
        <w:rPr>
          <w:rFonts w:hint="eastAsia" w:cs="宋体"/>
          <w:color w:val="auto"/>
          <w:sz w:val="21"/>
          <w:szCs w:val="21"/>
        </w:rPr>
        <w:t>其中：</w:t>
      </w:r>
    </w:p>
    <w:p w14:paraId="23D76D44">
      <w:pPr>
        <w:snapToGrid w:val="0"/>
        <w:spacing w:line="360" w:lineRule="auto"/>
        <w:ind w:firstLine="420" w:firstLineChars="200"/>
        <w:rPr>
          <w:rFonts w:cs="宋体"/>
          <w:color w:val="auto"/>
          <w:sz w:val="21"/>
          <w:szCs w:val="21"/>
        </w:rPr>
      </w:pPr>
      <w:r>
        <w:rPr>
          <w:rFonts w:hint="eastAsia" w:cs="宋体"/>
          <w:color w:val="auto"/>
          <w:sz w:val="21"/>
          <w:szCs w:val="21"/>
        </w:rPr>
        <w:t>（1）安全文明施工费：</w:t>
      </w:r>
    </w:p>
    <w:p w14:paraId="4DFB38C4">
      <w:pPr>
        <w:snapToGrid w:val="0"/>
        <w:spacing w:line="360" w:lineRule="auto"/>
        <w:ind w:firstLine="945" w:firstLineChars="450"/>
        <w:rPr>
          <w:rFonts w:cs="宋体"/>
          <w:color w:val="auto"/>
          <w:sz w:val="21"/>
          <w:szCs w:val="21"/>
        </w:rPr>
      </w:pPr>
      <w:r>
        <w:rPr>
          <w:rFonts w:hint="eastAsia" w:cs="宋体"/>
          <w:color w:val="auto"/>
          <w:sz w:val="21"/>
          <w:szCs w:val="21"/>
        </w:rPr>
        <w:t>人民币（大写）</w:t>
      </w:r>
      <w:r>
        <w:rPr>
          <w:rFonts w:hint="eastAsia" w:cs="宋体"/>
          <w:color w:val="auto"/>
          <w:sz w:val="21"/>
          <w:szCs w:val="21"/>
          <w:u w:val="single"/>
        </w:rPr>
        <w:t xml:space="preserve">              </w:t>
      </w:r>
      <w:r>
        <w:rPr>
          <w:rFonts w:hint="eastAsia" w:cs="宋体"/>
          <w:color w:val="auto"/>
          <w:sz w:val="21"/>
          <w:szCs w:val="21"/>
        </w:rPr>
        <w:t xml:space="preserve"> （¥</w:t>
      </w:r>
      <w:r>
        <w:rPr>
          <w:rFonts w:hint="eastAsia" w:cs="宋体"/>
          <w:color w:val="auto"/>
          <w:sz w:val="21"/>
          <w:szCs w:val="21"/>
          <w:u w:val="single"/>
        </w:rPr>
        <w:t xml:space="preserve">          </w:t>
      </w:r>
      <w:r>
        <w:rPr>
          <w:rFonts w:hint="eastAsia" w:cs="宋体"/>
          <w:color w:val="auto"/>
          <w:sz w:val="21"/>
          <w:szCs w:val="21"/>
        </w:rPr>
        <w:t>元）；</w:t>
      </w:r>
    </w:p>
    <w:p w14:paraId="0E1196A8">
      <w:pPr>
        <w:snapToGrid w:val="0"/>
        <w:spacing w:line="360" w:lineRule="auto"/>
        <w:ind w:firstLine="420" w:firstLineChars="200"/>
        <w:rPr>
          <w:rFonts w:cs="宋体"/>
          <w:color w:val="auto"/>
          <w:sz w:val="21"/>
          <w:szCs w:val="21"/>
        </w:rPr>
      </w:pPr>
      <w:r>
        <w:rPr>
          <w:rFonts w:hint="eastAsia" w:cs="宋体"/>
          <w:color w:val="auto"/>
          <w:sz w:val="21"/>
          <w:szCs w:val="21"/>
        </w:rPr>
        <w:t>（2）材料和工程设备暂估价金额：</w:t>
      </w:r>
    </w:p>
    <w:p w14:paraId="549DB647">
      <w:pPr>
        <w:snapToGrid w:val="0"/>
        <w:spacing w:line="360" w:lineRule="auto"/>
        <w:ind w:firstLine="945" w:firstLineChars="450"/>
        <w:rPr>
          <w:rFonts w:cs="宋体"/>
          <w:color w:val="auto"/>
          <w:sz w:val="21"/>
          <w:szCs w:val="21"/>
        </w:rPr>
      </w:pPr>
      <w:r>
        <w:rPr>
          <w:rFonts w:hint="eastAsia" w:cs="宋体"/>
          <w:color w:val="auto"/>
          <w:sz w:val="21"/>
          <w:szCs w:val="21"/>
        </w:rPr>
        <w:t>人民币（大写）</w:t>
      </w:r>
      <w:r>
        <w:rPr>
          <w:rFonts w:hint="eastAsia" w:cs="宋体"/>
          <w:color w:val="auto"/>
          <w:sz w:val="21"/>
          <w:szCs w:val="21"/>
          <w:u w:val="single"/>
        </w:rPr>
        <w:t xml:space="preserve">              </w:t>
      </w:r>
      <w:r>
        <w:rPr>
          <w:rFonts w:hint="eastAsia" w:cs="宋体"/>
          <w:color w:val="auto"/>
          <w:sz w:val="21"/>
          <w:szCs w:val="21"/>
        </w:rPr>
        <w:t xml:space="preserve"> （¥</w:t>
      </w:r>
      <w:r>
        <w:rPr>
          <w:rFonts w:hint="eastAsia" w:cs="宋体"/>
          <w:color w:val="auto"/>
          <w:sz w:val="21"/>
          <w:szCs w:val="21"/>
          <w:u w:val="single"/>
        </w:rPr>
        <w:t xml:space="preserve">          </w:t>
      </w:r>
      <w:r>
        <w:rPr>
          <w:rFonts w:hint="eastAsia" w:cs="宋体"/>
          <w:color w:val="auto"/>
          <w:sz w:val="21"/>
          <w:szCs w:val="21"/>
        </w:rPr>
        <w:t>元）；</w:t>
      </w:r>
    </w:p>
    <w:p w14:paraId="285F96B8">
      <w:pPr>
        <w:snapToGrid w:val="0"/>
        <w:spacing w:line="360" w:lineRule="auto"/>
        <w:ind w:firstLine="420" w:firstLineChars="200"/>
        <w:rPr>
          <w:rFonts w:cs="宋体"/>
          <w:color w:val="auto"/>
          <w:sz w:val="21"/>
          <w:szCs w:val="21"/>
        </w:rPr>
      </w:pPr>
      <w:r>
        <w:rPr>
          <w:rFonts w:hint="eastAsia" w:cs="宋体"/>
          <w:color w:val="auto"/>
          <w:sz w:val="21"/>
          <w:szCs w:val="21"/>
        </w:rPr>
        <w:t>（3）专业工程暂估价金额：</w:t>
      </w:r>
    </w:p>
    <w:p w14:paraId="372A3DE3">
      <w:pPr>
        <w:snapToGrid w:val="0"/>
        <w:spacing w:line="360" w:lineRule="auto"/>
        <w:ind w:firstLine="945" w:firstLineChars="450"/>
        <w:rPr>
          <w:rFonts w:cs="宋体"/>
          <w:color w:val="auto"/>
          <w:sz w:val="21"/>
          <w:szCs w:val="21"/>
        </w:rPr>
      </w:pPr>
      <w:r>
        <w:rPr>
          <w:rFonts w:hint="eastAsia" w:cs="宋体"/>
          <w:color w:val="auto"/>
          <w:sz w:val="21"/>
          <w:szCs w:val="21"/>
        </w:rPr>
        <w:t>人民币（大写）</w:t>
      </w:r>
      <w:r>
        <w:rPr>
          <w:rFonts w:hint="eastAsia" w:cs="宋体"/>
          <w:color w:val="auto"/>
          <w:sz w:val="21"/>
          <w:szCs w:val="21"/>
          <w:u w:val="single"/>
        </w:rPr>
        <w:t xml:space="preserve">              </w:t>
      </w:r>
      <w:r>
        <w:rPr>
          <w:rFonts w:hint="eastAsia" w:cs="宋体"/>
          <w:color w:val="auto"/>
          <w:sz w:val="21"/>
          <w:szCs w:val="21"/>
        </w:rPr>
        <w:t xml:space="preserve"> （¥</w:t>
      </w:r>
      <w:r>
        <w:rPr>
          <w:rFonts w:hint="eastAsia" w:cs="宋体"/>
          <w:color w:val="auto"/>
          <w:sz w:val="21"/>
          <w:szCs w:val="21"/>
          <w:u w:val="single"/>
        </w:rPr>
        <w:t xml:space="preserve">          </w:t>
      </w:r>
      <w:r>
        <w:rPr>
          <w:rFonts w:hint="eastAsia" w:cs="宋体"/>
          <w:color w:val="auto"/>
          <w:sz w:val="21"/>
          <w:szCs w:val="21"/>
        </w:rPr>
        <w:t>元）；</w:t>
      </w:r>
    </w:p>
    <w:p w14:paraId="74506574">
      <w:pPr>
        <w:snapToGrid w:val="0"/>
        <w:spacing w:line="360" w:lineRule="auto"/>
        <w:ind w:firstLine="420" w:firstLineChars="200"/>
        <w:rPr>
          <w:rFonts w:cs="宋体"/>
          <w:color w:val="auto"/>
          <w:sz w:val="21"/>
          <w:szCs w:val="21"/>
        </w:rPr>
      </w:pPr>
      <w:r>
        <w:rPr>
          <w:rFonts w:hint="eastAsia" w:cs="宋体"/>
          <w:color w:val="auto"/>
          <w:sz w:val="21"/>
          <w:szCs w:val="21"/>
        </w:rPr>
        <w:t>（4）暂列金额：</w:t>
      </w:r>
    </w:p>
    <w:p w14:paraId="19A90538">
      <w:pPr>
        <w:snapToGrid w:val="0"/>
        <w:spacing w:line="360" w:lineRule="auto"/>
        <w:ind w:firstLine="945" w:firstLineChars="450"/>
        <w:rPr>
          <w:rFonts w:cs="宋体"/>
          <w:color w:val="auto"/>
          <w:sz w:val="21"/>
          <w:szCs w:val="21"/>
        </w:rPr>
      </w:pPr>
      <w:r>
        <w:rPr>
          <w:rFonts w:hint="eastAsia" w:cs="宋体"/>
          <w:color w:val="auto"/>
          <w:sz w:val="21"/>
          <w:szCs w:val="21"/>
        </w:rPr>
        <w:t>人民币（大写）</w:t>
      </w:r>
      <w:r>
        <w:rPr>
          <w:rFonts w:hint="eastAsia" w:cs="宋体"/>
          <w:color w:val="auto"/>
          <w:sz w:val="21"/>
          <w:szCs w:val="21"/>
          <w:u w:val="single"/>
        </w:rPr>
        <w:t xml:space="preserve">              </w:t>
      </w:r>
      <w:r>
        <w:rPr>
          <w:rFonts w:hint="eastAsia" w:cs="宋体"/>
          <w:color w:val="auto"/>
          <w:sz w:val="21"/>
          <w:szCs w:val="21"/>
        </w:rPr>
        <w:t xml:space="preserve"> （¥</w:t>
      </w:r>
      <w:r>
        <w:rPr>
          <w:rFonts w:hint="eastAsia" w:cs="宋体"/>
          <w:color w:val="auto"/>
          <w:sz w:val="21"/>
          <w:szCs w:val="21"/>
          <w:u w:val="single"/>
        </w:rPr>
        <w:t xml:space="preserve">          </w:t>
      </w:r>
      <w:r>
        <w:rPr>
          <w:rFonts w:hint="eastAsia" w:cs="宋体"/>
          <w:color w:val="auto"/>
          <w:sz w:val="21"/>
          <w:szCs w:val="21"/>
        </w:rPr>
        <w:t>元）。</w:t>
      </w:r>
    </w:p>
    <w:p w14:paraId="2671021C">
      <w:pPr>
        <w:snapToGrid w:val="0"/>
        <w:spacing w:line="360" w:lineRule="auto"/>
        <w:ind w:firstLine="420" w:firstLineChars="200"/>
        <w:rPr>
          <w:rFonts w:cs="宋体"/>
          <w:color w:val="auto"/>
          <w:sz w:val="21"/>
          <w:szCs w:val="21"/>
        </w:rPr>
      </w:pPr>
      <w:r>
        <w:rPr>
          <w:rFonts w:hint="eastAsia" w:cs="宋体"/>
          <w:color w:val="auto"/>
          <w:sz w:val="21"/>
          <w:szCs w:val="21"/>
        </w:rPr>
        <w:t>2. 合同价格形式：</w:t>
      </w:r>
      <w:r>
        <w:rPr>
          <w:rFonts w:hint="eastAsia" w:cs="宋体"/>
          <w:color w:val="auto"/>
          <w:sz w:val="21"/>
          <w:szCs w:val="21"/>
          <w:u w:val="single"/>
        </w:rPr>
        <w:t></w:t>
      </w:r>
      <w:r>
        <w:rPr>
          <w:rFonts w:hint="eastAsia" w:cs="宋体"/>
          <w:color w:val="auto"/>
          <w:sz w:val="21"/>
          <w:szCs w:val="21"/>
          <w:u w:val="single"/>
          <w:lang w:val="en-US" w:eastAsia="zh-CN"/>
        </w:rPr>
        <w:t xml:space="preserve">单价合同   </w:t>
      </w:r>
      <w:r>
        <w:rPr>
          <w:rFonts w:hint="eastAsia" w:cs="宋体"/>
          <w:color w:val="auto"/>
          <w:sz w:val="21"/>
          <w:szCs w:val="21"/>
          <w:u w:val="single"/>
        </w:rPr>
        <w:t xml:space="preserve"> </w:t>
      </w:r>
      <w:r>
        <w:rPr>
          <w:rFonts w:hint="eastAsia" w:cs="宋体"/>
          <w:color w:val="auto"/>
          <w:sz w:val="21"/>
          <w:szCs w:val="21"/>
        </w:rPr>
        <w:t>。</w:t>
      </w:r>
    </w:p>
    <w:p w14:paraId="1FFAD92A">
      <w:pPr>
        <w:snapToGrid w:val="0"/>
        <w:spacing w:line="360" w:lineRule="auto"/>
        <w:ind w:firstLine="422" w:firstLineChars="200"/>
        <w:rPr>
          <w:rFonts w:cs="宋体"/>
          <w:b/>
          <w:color w:val="auto"/>
          <w:sz w:val="21"/>
          <w:szCs w:val="21"/>
        </w:rPr>
      </w:pPr>
      <w:bookmarkStart w:id="38" w:name="_Toc351203485"/>
      <w:r>
        <w:rPr>
          <w:rFonts w:hint="eastAsia" w:cs="宋体"/>
          <w:b/>
          <w:color w:val="auto"/>
          <w:sz w:val="21"/>
          <w:szCs w:val="21"/>
        </w:rPr>
        <w:t>五、</w:t>
      </w:r>
      <w:bookmarkEnd w:id="38"/>
      <w:r>
        <w:rPr>
          <w:rFonts w:hint="eastAsia" w:cs="宋体"/>
          <w:b/>
          <w:color w:val="auto"/>
          <w:sz w:val="21"/>
          <w:szCs w:val="21"/>
        </w:rPr>
        <w:t>项目经理</w:t>
      </w:r>
    </w:p>
    <w:p w14:paraId="1B0341B4">
      <w:pPr>
        <w:snapToGrid w:val="0"/>
        <w:spacing w:line="360" w:lineRule="auto"/>
        <w:ind w:firstLine="420" w:firstLineChars="200"/>
        <w:rPr>
          <w:rFonts w:cs="宋体"/>
          <w:color w:val="auto"/>
          <w:sz w:val="21"/>
          <w:szCs w:val="21"/>
        </w:rPr>
      </w:pPr>
      <w:r>
        <w:rPr>
          <w:rFonts w:hint="eastAsia" w:cs="宋体"/>
          <w:color w:val="auto"/>
          <w:sz w:val="21"/>
          <w:szCs w:val="21"/>
        </w:rPr>
        <w:t>承包人项目经理：</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 xml:space="preserve"> </w:t>
      </w:r>
      <w:r>
        <w:rPr>
          <w:rFonts w:hint="eastAsia" w:cs="宋体"/>
          <w:color w:val="auto"/>
          <w:sz w:val="21"/>
          <w:szCs w:val="21"/>
          <w:u w:val="none"/>
          <w:lang w:val="en-US" w:eastAsia="zh-CN"/>
        </w:rPr>
        <w:t xml:space="preserve"> </w:t>
      </w:r>
      <w:r>
        <w:rPr>
          <w:rFonts w:hint="eastAsia" w:ascii="宋体" w:hAnsi="宋体" w:eastAsia="宋体" w:cs="宋体"/>
          <w:color w:val="auto"/>
          <w:sz w:val="21"/>
          <w:szCs w:val="21"/>
          <w:highlight w:val="none"/>
          <w:u w:val="none"/>
          <w:lang w:eastAsia="zh-CN"/>
        </w:rPr>
        <w:t>，</w:t>
      </w:r>
      <w:r>
        <w:rPr>
          <w:rFonts w:hint="eastAsia" w:ascii="宋体" w:hAnsi="宋体" w:eastAsia="宋体" w:cs="宋体"/>
          <w:color w:val="auto"/>
          <w:sz w:val="21"/>
          <w:szCs w:val="21"/>
          <w:highlight w:val="none"/>
          <w:u w:val="none"/>
          <w:lang w:val="en-US" w:eastAsia="zh-CN"/>
        </w:rPr>
        <w:t>建造师注册执业号：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none"/>
          <w:lang w:eastAsia="zh-CN"/>
        </w:rPr>
        <w:t>，</w:t>
      </w:r>
      <w:r>
        <w:rPr>
          <w:rFonts w:hint="eastAsia" w:ascii="宋体" w:hAnsi="宋体" w:eastAsia="宋体" w:cs="宋体"/>
          <w:color w:val="auto"/>
          <w:sz w:val="21"/>
          <w:szCs w:val="21"/>
          <w:highlight w:val="none"/>
          <w:u w:val="none"/>
          <w:lang w:val="en-US" w:eastAsia="zh-CN"/>
        </w:rPr>
        <w:t>联系号码：</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p>
    <w:p w14:paraId="28221166">
      <w:pPr>
        <w:snapToGrid w:val="0"/>
        <w:spacing w:line="360" w:lineRule="auto"/>
        <w:ind w:firstLine="422" w:firstLineChars="200"/>
        <w:rPr>
          <w:rFonts w:cs="宋体"/>
          <w:b/>
          <w:color w:val="auto"/>
          <w:sz w:val="21"/>
          <w:szCs w:val="21"/>
        </w:rPr>
      </w:pPr>
      <w:bookmarkStart w:id="39" w:name="_Toc351203486"/>
      <w:r>
        <w:rPr>
          <w:rFonts w:hint="eastAsia" w:cs="宋体"/>
          <w:b/>
          <w:color w:val="auto"/>
          <w:sz w:val="21"/>
          <w:szCs w:val="21"/>
        </w:rPr>
        <w:t>六、合同文件构成</w:t>
      </w:r>
      <w:bookmarkEnd w:id="39"/>
    </w:p>
    <w:p w14:paraId="26801408">
      <w:pPr>
        <w:snapToGrid w:val="0"/>
        <w:spacing w:line="360" w:lineRule="auto"/>
        <w:ind w:firstLine="420" w:firstLineChars="200"/>
        <w:rPr>
          <w:rFonts w:cs="宋体"/>
          <w:bCs/>
          <w:color w:val="auto"/>
          <w:sz w:val="21"/>
          <w:szCs w:val="21"/>
        </w:rPr>
      </w:pPr>
      <w:r>
        <w:rPr>
          <w:rFonts w:hint="eastAsia" w:cs="宋体"/>
          <w:bCs/>
          <w:color w:val="auto"/>
          <w:sz w:val="21"/>
          <w:szCs w:val="21"/>
        </w:rPr>
        <w:t>本协议书与下列文件一起构成合同文件：</w:t>
      </w:r>
    </w:p>
    <w:p w14:paraId="3A66DACD">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（1）中标通知书（如果有）；</w:t>
      </w:r>
    </w:p>
    <w:p w14:paraId="1E0EC6B2">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 xml:space="preserve">（2）投标函及其附录（如果有）； </w:t>
      </w:r>
    </w:p>
    <w:p w14:paraId="10E2FB24">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（3）专用合同条款及其附件；</w:t>
      </w:r>
    </w:p>
    <w:p w14:paraId="4BD96FBF">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（4）通用合同条款；</w:t>
      </w:r>
    </w:p>
    <w:p w14:paraId="1807EB98">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（5）技术标准和要求；</w:t>
      </w:r>
    </w:p>
    <w:p w14:paraId="53E1A84B">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（6）图纸；</w:t>
      </w:r>
    </w:p>
    <w:p w14:paraId="6877CAA9">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（7）已标价工程量清单或预算书；</w:t>
      </w:r>
    </w:p>
    <w:p w14:paraId="20222DED">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（8）其他合同文件。</w:t>
      </w:r>
    </w:p>
    <w:p w14:paraId="56E54DAD">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在合同订立及履行过程中形成的与合同有关的文件均构成合同文件组成部分。</w:t>
      </w:r>
    </w:p>
    <w:p w14:paraId="4E664A8E">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上述各项合同文件包括合同当事人就该项合同文件所作出的补充和修改，属于同一类内容的文件，应以最新签署的为准。专用合同条款及其附件须经合同当事人签字或盖章。</w:t>
      </w:r>
    </w:p>
    <w:p w14:paraId="5F7BEA55">
      <w:pPr>
        <w:snapToGrid w:val="0"/>
        <w:spacing w:line="360" w:lineRule="auto"/>
        <w:ind w:firstLine="422" w:firstLineChars="200"/>
        <w:rPr>
          <w:rFonts w:cs="宋体"/>
          <w:b/>
          <w:color w:val="auto"/>
          <w:sz w:val="21"/>
          <w:szCs w:val="21"/>
        </w:rPr>
      </w:pPr>
      <w:bookmarkStart w:id="40" w:name="_Toc351203487"/>
      <w:r>
        <w:rPr>
          <w:rFonts w:hint="eastAsia" w:cs="宋体"/>
          <w:b/>
          <w:color w:val="auto"/>
          <w:sz w:val="21"/>
          <w:szCs w:val="21"/>
        </w:rPr>
        <w:t>七、承诺</w:t>
      </w:r>
      <w:bookmarkEnd w:id="40"/>
    </w:p>
    <w:p w14:paraId="7825871E">
      <w:pPr>
        <w:snapToGrid w:val="0"/>
        <w:spacing w:line="360" w:lineRule="auto"/>
        <w:ind w:firstLine="420" w:firstLineChars="200"/>
        <w:rPr>
          <w:rFonts w:cs="宋体"/>
          <w:bCs/>
          <w:color w:val="auto"/>
          <w:sz w:val="21"/>
          <w:szCs w:val="21"/>
        </w:rPr>
      </w:pPr>
      <w:r>
        <w:rPr>
          <w:rFonts w:hint="eastAsia" w:cs="宋体"/>
          <w:bCs/>
          <w:color w:val="auto"/>
          <w:sz w:val="21"/>
          <w:szCs w:val="21"/>
        </w:rPr>
        <w:t>1. 发包人承诺按照法律规定履行项目审批手续、筹集工程建设资金并按照合同约定的期限和方式支付合同价款。</w:t>
      </w:r>
    </w:p>
    <w:p w14:paraId="0276D71F">
      <w:pPr>
        <w:snapToGrid w:val="0"/>
        <w:spacing w:line="360" w:lineRule="auto"/>
        <w:ind w:firstLine="420" w:firstLineChars="200"/>
        <w:rPr>
          <w:rFonts w:cs="宋体"/>
          <w:bCs/>
          <w:color w:val="auto"/>
          <w:sz w:val="21"/>
          <w:szCs w:val="21"/>
        </w:rPr>
      </w:pPr>
      <w:r>
        <w:rPr>
          <w:rFonts w:hint="eastAsia" w:cs="宋体"/>
          <w:bCs/>
          <w:color w:val="auto"/>
          <w:sz w:val="21"/>
          <w:szCs w:val="21"/>
        </w:rPr>
        <w:t>2. 承包人承诺按照法律规定及合同约定组织完成工程施工，确保工程质量和安全，不进行转包及违法分包，并在缺陷责任期及保修期内承担相应的工程维修责任。</w:t>
      </w:r>
    </w:p>
    <w:p w14:paraId="022A5002">
      <w:pPr>
        <w:snapToGrid w:val="0"/>
        <w:spacing w:line="360" w:lineRule="auto"/>
        <w:ind w:firstLine="420" w:firstLineChars="200"/>
        <w:rPr>
          <w:rFonts w:cs="宋体"/>
          <w:bCs/>
          <w:color w:val="auto"/>
          <w:sz w:val="21"/>
          <w:szCs w:val="21"/>
        </w:rPr>
      </w:pPr>
      <w:r>
        <w:rPr>
          <w:rFonts w:hint="eastAsia" w:cs="宋体"/>
          <w:bCs/>
          <w:color w:val="auto"/>
          <w:sz w:val="21"/>
          <w:szCs w:val="21"/>
        </w:rPr>
        <w:t>3. 发包人和承包人通过招投标形式签订合同的，双方理解并承诺不再就同一工程另行签订与合同实质性内容相背离的协议。</w:t>
      </w:r>
    </w:p>
    <w:p w14:paraId="13119803">
      <w:pPr>
        <w:snapToGrid w:val="0"/>
        <w:spacing w:line="360" w:lineRule="auto"/>
        <w:ind w:firstLine="422" w:firstLineChars="200"/>
        <w:rPr>
          <w:rFonts w:cs="宋体"/>
          <w:b/>
          <w:color w:val="auto"/>
          <w:sz w:val="21"/>
          <w:szCs w:val="21"/>
        </w:rPr>
      </w:pPr>
      <w:bookmarkStart w:id="41" w:name="_Toc351203488"/>
      <w:r>
        <w:rPr>
          <w:rFonts w:hint="eastAsia" w:cs="宋体"/>
          <w:b/>
          <w:color w:val="auto"/>
          <w:sz w:val="21"/>
          <w:szCs w:val="21"/>
        </w:rPr>
        <w:t>八、词语含义</w:t>
      </w:r>
      <w:bookmarkEnd w:id="41"/>
    </w:p>
    <w:p w14:paraId="50932E10">
      <w:pPr>
        <w:snapToGrid w:val="0"/>
        <w:spacing w:line="360" w:lineRule="auto"/>
        <w:ind w:firstLine="420" w:firstLineChars="200"/>
        <w:rPr>
          <w:rFonts w:cs="宋体"/>
          <w:bCs/>
          <w:color w:val="auto"/>
          <w:sz w:val="21"/>
          <w:szCs w:val="21"/>
        </w:rPr>
      </w:pPr>
      <w:r>
        <w:rPr>
          <w:rFonts w:hint="eastAsia" w:cs="宋体"/>
          <w:bCs/>
          <w:color w:val="auto"/>
          <w:sz w:val="21"/>
          <w:szCs w:val="21"/>
        </w:rPr>
        <w:t>本协议书中词语含义与第二部分通用合同条款中赋予的含义相同。</w:t>
      </w:r>
    </w:p>
    <w:p w14:paraId="09227EC6">
      <w:pPr>
        <w:snapToGrid w:val="0"/>
        <w:spacing w:line="360" w:lineRule="auto"/>
        <w:ind w:firstLine="422" w:firstLineChars="200"/>
        <w:rPr>
          <w:rFonts w:cs="宋体"/>
          <w:b/>
          <w:color w:val="auto"/>
          <w:sz w:val="21"/>
          <w:szCs w:val="21"/>
        </w:rPr>
      </w:pPr>
      <w:bookmarkStart w:id="42" w:name="_Toc351203489"/>
      <w:r>
        <w:rPr>
          <w:rFonts w:hint="eastAsia" w:cs="宋体"/>
          <w:b/>
          <w:color w:val="auto"/>
          <w:sz w:val="21"/>
          <w:szCs w:val="21"/>
        </w:rPr>
        <w:t>九、签订时间</w:t>
      </w:r>
      <w:bookmarkEnd w:id="42"/>
    </w:p>
    <w:p w14:paraId="1CA79381">
      <w:pPr>
        <w:snapToGrid w:val="0"/>
        <w:spacing w:line="360" w:lineRule="auto"/>
        <w:ind w:firstLine="420" w:firstLineChars="200"/>
        <w:rPr>
          <w:rFonts w:cs="宋体"/>
          <w:bCs/>
          <w:color w:val="auto"/>
          <w:sz w:val="21"/>
          <w:szCs w:val="21"/>
        </w:rPr>
      </w:pPr>
      <w:r>
        <w:rPr>
          <w:rFonts w:hint="eastAsia" w:cs="宋体"/>
          <w:bCs/>
          <w:color w:val="auto"/>
          <w:sz w:val="21"/>
          <w:szCs w:val="21"/>
        </w:rPr>
        <w:t>本合同于</w:t>
      </w:r>
      <w:r>
        <w:rPr>
          <w:rFonts w:hint="eastAsia" w:cs="宋体"/>
          <w:bCs/>
          <w:color w:val="auto"/>
          <w:sz w:val="21"/>
          <w:szCs w:val="21"/>
          <w:u w:val="single"/>
        </w:rPr>
        <w:t xml:space="preserve">      </w:t>
      </w:r>
      <w:r>
        <w:rPr>
          <w:rFonts w:hint="eastAsia" w:cs="宋体"/>
          <w:bCs/>
          <w:color w:val="auto"/>
          <w:sz w:val="21"/>
          <w:szCs w:val="21"/>
        </w:rPr>
        <w:t>年</w:t>
      </w:r>
      <w:r>
        <w:rPr>
          <w:rFonts w:hint="eastAsia" w:cs="宋体"/>
          <w:bCs/>
          <w:color w:val="auto"/>
          <w:sz w:val="21"/>
          <w:szCs w:val="21"/>
          <w:u w:val="single"/>
        </w:rPr>
        <w:t xml:space="preserve">   </w:t>
      </w:r>
      <w:r>
        <w:rPr>
          <w:rFonts w:hint="eastAsia" w:cs="宋体"/>
          <w:bCs/>
          <w:color w:val="auto"/>
          <w:sz w:val="21"/>
          <w:szCs w:val="21"/>
          <w:u w:val="single"/>
          <w:lang w:val="en-US" w:eastAsia="zh-CN"/>
        </w:rPr>
        <w:t xml:space="preserve"> </w:t>
      </w:r>
      <w:r>
        <w:rPr>
          <w:rFonts w:hint="eastAsia" w:cs="宋体"/>
          <w:bCs/>
          <w:color w:val="auto"/>
          <w:sz w:val="21"/>
          <w:szCs w:val="21"/>
          <w:u w:val="single"/>
        </w:rPr>
        <w:t xml:space="preserve"> </w:t>
      </w:r>
      <w:r>
        <w:rPr>
          <w:rFonts w:hint="eastAsia" w:cs="宋体"/>
          <w:bCs/>
          <w:color w:val="auto"/>
          <w:sz w:val="21"/>
          <w:szCs w:val="21"/>
        </w:rPr>
        <w:t>月</w:t>
      </w:r>
      <w:r>
        <w:rPr>
          <w:rFonts w:hint="eastAsia" w:cs="宋体"/>
          <w:bCs/>
          <w:color w:val="auto"/>
          <w:sz w:val="21"/>
          <w:szCs w:val="21"/>
          <w:u w:val="single"/>
        </w:rPr>
        <w:t xml:space="preserve">   </w:t>
      </w:r>
      <w:r>
        <w:rPr>
          <w:rFonts w:hint="eastAsia" w:cs="宋体"/>
          <w:bCs/>
          <w:color w:val="auto"/>
          <w:sz w:val="21"/>
          <w:szCs w:val="21"/>
          <w:u w:val="single"/>
          <w:lang w:val="en-US" w:eastAsia="zh-CN"/>
        </w:rPr>
        <w:t xml:space="preserve"> </w:t>
      </w:r>
      <w:r>
        <w:rPr>
          <w:rFonts w:hint="eastAsia" w:cs="宋体"/>
          <w:bCs/>
          <w:color w:val="auto"/>
          <w:sz w:val="21"/>
          <w:szCs w:val="21"/>
          <w:u w:val="single"/>
        </w:rPr>
        <w:t xml:space="preserve"> </w:t>
      </w:r>
      <w:r>
        <w:rPr>
          <w:rFonts w:hint="eastAsia" w:cs="宋体"/>
          <w:bCs/>
          <w:color w:val="auto"/>
          <w:sz w:val="21"/>
          <w:szCs w:val="21"/>
        </w:rPr>
        <w:t>日签订。</w:t>
      </w:r>
    </w:p>
    <w:p w14:paraId="025D6218">
      <w:pPr>
        <w:snapToGrid w:val="0"/>
        <w:spacing w:line="360" w:lineRule="auto"/>
        <w:ind w:firstLine="422" w:firstLineChars="200"/>
        <w:rPr>
          <w:rFonts w:cs="宋体"/>
          <w:b/>
          <w:color w:val="auto"/>
          <w:sz w:val="21"/>
          <w:szCs w:val="21"/>
        </w:rPr>
      </w:pPr>
      <w:bookmarkStart w:id="43" w:name="_Toc351203490"/>
      <w:r>
        <w:rPr>
          <w:rFonts w:hint="eastAsia" w:cs="宋体"/>
          <w:b/>
          <w:color w:val="auto"/>
          <w:sz w:val="21"/>
          <w:szCs w:val="21"/>
        </w:rPr>
        <w:t>十、签订地点</w:t>
      </w:r>
      <w:bookmarkEnd w:id="43"/>
    </w:p>
    <w:p w14:paraId="7ABBB60C">
      <w:pPr>
        <w:snapToGrid w:val="0"/>
        <w:spacing w:line="360" w:lineRule="auto"/>
        <w:ind w:firstLine="420" w:firstLineChars="200"/>
        <w:rPr>
          <w:rFonts w:cs="宋体"/>
          <w:bCs/>
          <w:color w:val="auto"/>
          <w:sz w:val="21"/>
          <w:szCs w:val="21"/>
        </w:rPr>
      </w:pPr>
      <w:r>
        <w:rPr>
          <w:rFonts w:hint="eastAsia" w:cs="宋体"/>
          <w:bCs/>
          <w:color w:val="auto"/>
          <w:sz w:val="21"/>
          <w:szCs w:val="21"/>
        </w:rPr>
        <w:t>本合同在</w:t>
      </w:r>
      <w:r>
        <w:rPr>
          <w:rFonts w:hint="eastAsia" w:cs="宋体"/>
          <w:bCs/>
          <w:color w:val="auto"/>
          <w:sz w:val="21"/>
          <w:szCs w:val="21"/>
          <w:u w:val="single"/>
        </w:rPr>
        <w:t xml:space="preserve">  </w:t>
      </w:r>
      <w:r>
        <w:rPr>
          <w:rFonts w:hint="eastAsia" w:cs="宋体"/>
          <w:color w:val="auto"/>
          <w:sz w:val="21"/>
          <w:szCs w:val="21"/>
          <w:u w:val="single"/>
          <w:lang w:val="en-US" w:eastAsia="zh-CN"/>
        </w:rPr>
        <w:t>定远县总医院</w:t>
      </w:r>
      <w:r>
        <w:rPr>
          <w:rFonts w:hint="eastAsia" w:cs="宋体"/>
          <w:bCs/>
          <w:color w:val="auto"/>
          <w:sz w:val="21"/>
          <w:szCs w:val="21"/>
          <w:u w:val="single"/>
        </w:rPr>
        <w:t xml:space="preserve">  </w:t>
      </w:r>
      <w:r>
        <w:rPr>
          <w:rFonts w:hint="eastAsia" w:cs="宋体"/>
          <w:bCs/>
          <w:color w:val="auto"/>
          <w:sz w:val="21"/>
          <w:szCs w:val="21"/>
        </w:rPr>
        <w:t>签订。</w:t>
      </w:r>
    </w:p>
    <w:p w14:paraId="48E058E6">
      <w:pPr>
        <w:snapToGrid w:val="0"/>
        <w:spacing w:line="360" w:lineRule="auto"/>
        <w:ind w:firstLine="422" w:firstLineChars="200"/>
        <w:rPr>
          <w:rFonts w:cs="宋体"/>
          <w:b/>
          <w:color w:val="auto"/>
          <w:sz w:val="21"/>
          <w:szCs w:val="21"/>
        </w:rPr>
      </w:pPr>
      <w:bookmarkStart w:id="44" w:name="_Toc351203491"/>
      <w:r>
        <w:rPr>
          <w:rFonts w:hint="eastAsia" w:cs="宋体"/>
          <w:b/>
          <w:color w:val="auto"/>
          <w:sz w:val="21"/>
          <w:szCs w:val="21"/>
        </w:rPr>
        <w:t>十一、补充协议</w:t>
      </w:r>
      <w:bookmarkEnd w:id="44"/>
    </w:p>
    <w:p w14:paraId="7A76B6A7">
      <w:pPr>
        <w:snapToGrid w:val="0"/>
        <w:spacing w:line="360" w:lineRule="auto"/>
        <w:ind w:firstLine="420" w:firstLineChars="200"/>
        <w:rPr>
          <w:rFonts w:cs="宋体"/>
          <w:b/>
          <w:bCs/>
          <w:color w:val="auto"/>
          <w:sz w:val="21"/>
          <w:szCs w:val="21"/>
        </w:rPr>
      </w:pPr>
      <w:r>
        <w:rPr>
          <w:rFonts w:hint="eastAsia" w:cs="宋体"/>
          <w:bCs/>
          <w:color w:val="auto"/>
          <w:sz w:val="21"/>
          <w:szCs w:val="21"/>
        </w:rPr>
        <w:t>合同未尽事宜，合同当事人另行签订补充协议，补充协议是合同的组成部分。</w:t>
      </w:r>
    </w:p>
    <w:p w14:paraId="7A069FB7">
      <w:pPr>
        <w:snapToGrid w:val="0"/>
        <w:spacing w:line="360" w:lineRule="auto"/>
        <w:ind w:firstLine="422" w:firstLineChars="200"/>
        <w:rPr>
          <w:rFonts w:cs="宋体"/>
          <w:b/>
          <w:color w:val="auto"/>
          <w:sz w:val="21"/>
          <w:szCs w:val="21"/>
        </w:rPr>
      </w:pPr>
      <w:bookmarkStart w:id="45" w:name="_Toc351203492"/>
      <w:r>
        <w:rPr>
          <w:rFonts w:hint="eastAsia" w:cs="宋体"/>
          <w:b/>
          <w:color w:val="auto"/>
          <w:sz w:val="21"/>
          <w:szCs w:val="21"/>
        </w:rPr>
        <w:t>十二、合同生效</w:t>
      </w:r>
      <w:bookmarkEnd w:id="45"/>
    </w:p>
    <w:p w14:paraId="3E4B4494">
      <w:pPr>
        <w:snapToGrid w:val="0"/>
        <w:spacing w:line="360" w:lineRule="auto"/>
        <w:ind w:firstLine="420" w:firstLineChars="200"/>
        <w:rPr>
          <w:rFonts w:cs="宋体"/>
          <w:bCs/>
          <w:color w:val="auto"/>
          <w:sz w:val="21"/>
          <w:szCs w:val="21"/>
        </w:rPr>
      </w:pPr>
      <w:r>
        <w:rPr>
          <w:rFonts w:hint="eastAsia" w:cs="宋体"/>
          <w:bCs/>
          <w:color w:val="auto"/>
          <w:sz w:val="21"/>
          <w:szCs w:val="21"/>
        </w:rPr>
        <w:t>本合同自</w:t>
      </w:r>
      <w:r>
        <w:rPr>
          <w:rFonts w:hint="eastAsia" w:cs="宋体"/>
          <w:bCs/>
          <w:color w:val="auto"/>
          <w:sz w:val="21"/>
          <w:szCs w:val="21"/>
          <w:u w:val="single"/>
        </w:rPr>
        <w:t xml:space="preserve">      双方签字盖章     </w:t>
      </w:r>
      <w:r>
        <w:rPr>
          <w:rFonts w:hint="eastAsia" w:cs="宋体"/>
          <w:bCs/>
          <w:color w:val="auto"/>
          <w:sz w:val="21"/>
          <w:szCs w:val="21"/>
        </w:rPr>
        <w:t>生效。</w:t>
      </w:r>
    </w:p>
    <w:p w14:paraId="70E94B6F">
      <w:pPr>
        <w:snapToGrid w:val="0"/>
        <w:spacing w:line="360" w:lineRule="auto"/>
        <w:ind w:firstLine="422" w:firstLineChars="200"/>
        <w:rPr>
          <w:rFonts w:cs="宋体"/>
          <w:b/>
          <w:color w:val="auto"/>
          <w:sz w:val="21"/>
          <w:szCs w:val="21"/>
        </w:rPr>
      </w:pPr>
      <w:bookmarkStart w:id="46" w:name="_Toc351203493"/>
      <w:r>
        <w:rPr>
          <w:rFonts w:hint="eastAsia" w:cs="宋体"/>
          <w:b/>
          <w:color w:val="auto"/>
          <w:sz w:val="21"/>
          <w:szCs w:val="21"/>
        </w:rPr>
        <w:t>十三、合同份数</w:t>
      </w:r>
      <w:bookmarkEnd w:id="46"/>
    </w:p>
    <w:p w14:paraId="4B569A7E">
      <w:pPr>
        <w:snapToGrid w:val="0"/>
        <w:spacing w:line="360" w:lineRule="auto"/>
        <w:ind w:firstLine="420" w:firstLineChars="200"/>
        <w:rPr>
          <w:rFonts w:cs="宋体"/>
          <w:bCs/>
          <w:color w:val="auto"/>
          <w:sz w:val="21"/>
          <w:szCs w:val="21"/>
        </w:rPr>
      </w:pPr>
      <w:r>
        <w:rPr>
          <w:rFonts w:hint="eastAsia" w:cs="宋体"/>
          <w:bCs/>
          <w:color w:val="auto"/>
          <w:sz w:val="21"/>
          <w:szCs w:val="21"/>
        </w:rPr>
        <w:t>本合同一式</w:t>
      </w:r>
      <w:r>
        <w:rPr>
          <w:rFonts w:hint="eastAsia" w:cs="宋体"/>
          <w:bCs/>
          <w:color w:val="auto"/>
          <w:sz w:val="21"/>
          <w:szCs w:val="21"/>
          <w:u w:val="single"/>
        </w:rPr>
        <w:t xml:space="preserve"> </w:t>
      </w:r>
      <w:r>
        <w:rPr>
          <w:rFonts w:hint="eastAsia" w:cs="宋体"/>
          <w:bCs/>
          <w:color w:val="auto"/>
          <w:sz w:val="21"/>
          <w:szCs w:val="21"/>
          <w:u w:val="single"/>
          <w:lang w:val="en-US" w:eastAsia="zh-CN"/>
        </w:rPr>
        <w:t xml:space="preserve">  </w:t>
      </w:r>
      <w:r>
        <w:rPr>
          <w:rFonts w:hint="eastAsia" w:cs="宋体"/>
          <w:bCs/>
          <w:color w:val="auto"/>
          <w:sz w:val="21"/>
          <w:szCs w:val="21"/>
          <w:u w:val="single"/>
        </w:rPr>
        <w:t xml:space="preserve"> </w:t>
      </w:r>
      <w:r>
        <w:rPr>
          <w:rFonts w:hint="eastAsia" w:cs="宋体"/>
          <w:bCs/>
          <w:color w:val="auto"/>
          <w:sz w:val="21"/>
          <w:szCs w:val="21"/>
        </w:rPr>
        <w:t>份，均具有同等法律效力，发包人执</w:t>
      </w:r>
      <w:r>
        <w:rPr>
          <w:rFonts w:hint="eastAsia" w:cs="宋体"/>
          <w:bCs/>
          <w:color w:val="auto"/>
          <w:sz w:val="21"/>
          <w:szCs w:val="21"/>
          <w:u w:val="single"/>
        </w:rPr>
        <w:t xml:space="preserve"> </w:t>
      </w:r>
      <w:r>
        <w:rPr>
          <w:rFonts w:hint="eastAsia" w:cs="宋体"/>
          <w:bCs/>
          <w:color w:val="auto"/>
          <w:sz w:val="21"/>
          <w:szCs w:val="21"/>
          <w:u w:val="single"/>
          <w:lang w:val="en-US" w:eastAsia="zh-CN"/>
        </w:rPr>
        <w:t xml:space="preserve">  </w:t>
      </w:r>
      <w:r>
        <w:rPr>
          <w:rFonts w:hint="eastAsia" w:cs="宋体"/>
          <w:bCs/>
          <w:color w:val="auto"/>
          <w:sz w:val="21"/>
          <w:szCs w:val="21"/>
          <w:u w:val="single"/>
        </w:rPr>
        <w:t xml:space="preserve"> </w:t>
      </w:r>
      <w:r>
        <w:rPr>
          <w:rFonts w:hint="eastAsia" w:cs="宋体"/>
          <w:bCs/>
          <w:color w:val="auto"/>
          <w:sz w:val="21"/>
          <w:szCs w:val="21"/>
        </w:rPr>
        <w:t>份，承包人执</w:t>
      </w:r>
      <w:r>
        <w:rPr>
          <w:rFonts w:hint="eastAsia" w:cs="宋体"/>
          <w:bCs/>
          <w:color w:val="auto"/>
          <w:sz w:val="21"/>
          <w:szCs w:val="21"/>
          <w:u w:val="single"/>
        </w:rPr>
        <w:t xml:space="preserve"> </w:t>
      </w:r>
      <w:r>
        <w:rPr>
          <w:rFonts w:hint="eastAsia" w:cs="宋体"/>
          <w:bCs/>
          <w:color w:val="auto"/>
          <w:sz w:val="21"/>
          <w:szCs w:val="21"/>
          <w:u w:val="single"/>
          <w:lang w:val="en-US" w:eastAsia="zh-CN"/>
        </w:rPr>
        <w:t xml:space="preserve">  </w:t>
      </w:r>
      <w:r>
        <w:rPr>
          <w:rFonts w:hint="eastAsia" w:cs="宋体"/>
          <w:bCs/>
          <w:color w:val="auto"/>
          <w:sz w:val="21"/>
          <w:szCs w:val="21"/>
          <w:u w:val="single"/>
        </w:rPr>
        <w:t xml:space="preserve"> </w:t>
      </w:r>
      <w:r>
        <w:rPr>
          <w:rFonts w:hint="eastAsia" w:cs="宋体"/>
          <w:bCs/>
          <w:color w:val="auto"/>
          <w:sz w:val="21"/>
          <w:szCs w:val="21"/>
        </w:rPr>
        <w:t>份。</w:t>
      </w:r>
    </w:p>
    <w:p w14:paraId="3C611D88">
      <w:pPr>
        <w:snapToGrid w:val="0"/>
        <w:spacing w:line="360" w:lineRule="auto"/>
        <w:rPr>
          <w:rFonts w:cs="宋体"/>
          <w:bCs/>
          <w:color w:val="auto"/>
          <w:sz w:val="21"/>
          <w:szCs w:val="21"/>
        </w:rPr>
      </w:pPr>
    </w:p>
    <w:p w14:paraId="43FF36A4">
      <w:pPr>
        <w:pStyle w:val="2"/>
      </w:pPr>
    </w:p>
    <w:p w14:paraId="2C99306D">
      <w:pPr>
        <w:snapToGrid w:val="0"/>
        <w:spacing w:line="360" w:lineRule="auto"/>
        <w:rPr>
          <w:rFonts w:cs="宋体"/>
          <w:color w:val="auto"/>
          <w:sz w:val="21"/>
          <w:szCs w:val="21"/>
        </w:rPr>
      </w:pPr>
      <w:r>
        <w:rPr>
          <w:rFonts w:hint="eastAsia" w:cs="宋体"/>
          <w:color w:val="auto"/>
          <w:sz w:val="21"/>
          <w:szCs w:val="21"/>
        </w:rPr>
        <w:t>发包人：</w:t>
      </w:r>
      <w:r>
        <w:rPr>
          <w:rFonts w:hint="eastAsia" w:cs="宋体"/>
          <w:color w:val="auto"/>
          <w:sz w:val="21"/>
          <w:szCs w:val="21"/>
          <w:u w:val="single"/>
        </w:rPr>
        <w:t>      （</w:t>
      </w:r>
      <w:r>
        <w:rPr>
          <w:rFonts w:hint="eastAsia" w:cs="宋体"/>
          <w:color w:val="auto"/>
          <w:sz w:val="21"/>
          <w:szCs w:val="21"/>
        </w:rPr>
        <w:t>公章）                 承包人：</w:t>
      </w:r>
      <w:r>
        <w:rPr>
          <w:rFonts w:hint="eastAsia" w:cs="宋体"/>
          <w:color w:val="auto"/>
          <w:sz w:val="21"/>
          <w:szCs w:val="21"/>
          <w:u w:val="single"/>
        </w:rPr>
        <w:t>        （</w:t>
      </w:r>
      <w:r>
        <w:rPr>
          <w:rFonts w:hint="eastAsia" w:cs="宋体"/>
          <w:color w:val="auto"/>
          <w:sz w:val="21"/>
          <w:szCs w:val="21"/>
        </w:rPr>
        <w:t>公章）</w:t>
      </w:r>
    </w:p>
    <w:p w14:paraId="2071578B">
      <w:pPr>
        <w:snapToGrid w:val="0"/>
        <w:spacing w:line="360" w:lineRule="auto"/>
        <w:rPr>
          <w:rFonts w:cs="宋体"/>
          <w:color w:val="auto"/>
          <w:sz w:val="21"/>
          <w:szCs w:val="21"/>
        </w:rPr>
      </w:pPr>
      <w:r>
        <w:rPr>
          <w:rFonts w:hint="eastAsia" w:cs="宋体"/>
          <w:color w:val="auto"/>
          <w:sz w:val="21"/>
          <w:szCs w:val="21"/>
        </w:rPr>
        <w:t>法定代表人或其委托代理人：                 法定代表人或其委托代理人：</w:t>
      </w:r>
    </w:p>
    <w:p w14:paraId="7833333D">
      <w:pPr>
        <w:snapToGrid w:val="0"/>
        <w:spacing w:line="360" w:lineRule="auto"/>
        <w:rPr>
          <w:rFonts w:cs="宋体"/>
          <w:color w:val="auto"/>
          <w:sz w:val="21"/>
          <w:szCs w:val="21"/>
        </w:rPr>
      </w:pPr>
      <w:r>
        <w:rPr>
          <w:rFonts w:hint="eastAsia" w:cs="宋体"/>
          <w:color w:val="auto"/>
          <w:sz w:val="21"/>
          <w:szCs w:val="21"/>
        </w:rPr>
        <w:t>（签字）</w:t>
      </w:r>
      <w:r>
        <w:rPr>
          <w:rFonts w:hint="eastAsia" w:cs="宋体"/>
          <w:color w:val="auto"/>
          <w:sz w:val="21"/>
          <w:szCs w:val="21"/>
          <w:u w:val="single"/>
        </w:rPr>
        <w:t xml:space="preserve">                    </w:t>
      </w:r>
      <w:r>
        <w:rPr>
          <w:rFonts w:hint="eastAsia" w:cs="宋体"/>
          <w:color w:val="auto"/>
          <w:sz w:val="21"/>
          <w:szCs w:val="21"/>
        </w:rPr>
        <w:t xml:space="preserve">              （签字）</w:t>
      </w:r>
      <w:r>
        <w:rPr>
          <w:rFonts w:hint="eastAsia" w:cs="宋体"/>
          <w:color w:val="auto"/>
          <w:sz w:val="21"/>
          <w:szCs w:val="21"/>
          <w:u w:val="single"/>
        </w:rPr>
        <w:t xml:space="preserve">                   </w:t>
      </w:r>
    </w:p>
    <w:p w14:paraId="56B76577">
      <w:pPr>
        <w:tabs>
          <w:tab w:val="left" w:pos="4410"/>
        </w:tabs>
        <w:snapToGrid w:val="0"/>
        <w:spacing w:line="360" w:lineRule="auto"/>
        <w:rPr>
          <w:rFonts w:cs="宋体"/>
          <w:color w:val="auto"/>
          <w:sz w:val="21"/>
          <w:szCs w:val="21"/>
        </w:rPr>
      </w:pPr>
      <w:r>
        <w:rPr>
          <w:rFonts w:hint="eastAsia" w:cs="宋体"/>
          <w:color w:val="auto"/>
          <w:sz w:val="21"/>
          <w:szCs w:val="21"/>
        </w:rPr>
        <w:t>组织机构代码：</w:t>
      </w:r>
      <w:r>
        <w:rPr>
          <w:rFonts w:hint="eastAsia" w:cs="宋体"/>
          <w:color w:val="auto"/>
          <w:sz w:val="21"/>
          <w:szCs w:val="21"/>
          <w:u w:val="single"/>
        </w:rPr>
        <w:t xml:space="preserve">       </w:t>
      </w:r>
      <w:r>
        <w:rPr>
          <w:rFonts w:hint="eastAsia" w:cs="宋体"/>
          <w:color w:val="auto"/>
          <w:sz w:val="21"/>
          <w:szCs w:val="21"/>
        </w:rPr>
        <w:t xml:space="preserve">                组织机构代码：</w:t>
      </w:r>
      <w:r>
        <w:rPr>
          <w:rFonts w:hint="eastAsia" w:cs="宋体"/>
          <w:color w:val="auto"/>
          <w:sz w:val="21"/>
          <w:szCs w:val="21"/>
          <w:u w:val="single"/>
        </w:rPr>
        <w:t xml:space="preserve">        </w:t>
      </w:r>
    </w:p>
    <w:p w14:paraId="60F369F7">
      <w:pPr>
        <w:snapToGrid w:val="0"/>
        <w:spacing w:line="360" w:lineRule="auto"/>
        <w:rPr>
          <w:rFonts w:cs="宋体"/>
          <w:color w:val="auto"/>
          <w:sz w:val="21"/>
          <w:szCs w:val="21"/>
        </w:rPr>
      </w:pPr>
      <w:r>
        <w:rPr>
          <w:rFonts w:hint="eastAsia" w:cs="宋体"/>
          <w:color w:val="auto"/>
          <w:sz w:val="21"/>
          <w:szCs w:val="21"/>
        </w:rPr>
        <w:t>地  址：</w:t>
      </w:r>
      <w:r>
        <w:rPr>
          <w:rFonts w:hint="eastAsia" w:cs="宋体"/>
          <w:color w:val="auto"/>
          <w:sz w:val="21"/>
          <w:szCs w:val="21"/>
          <w:u w:val="single"/>
        </w:rPr>
        <w:t xml:space="preserve">     </w:t>
      </w:r>
      <w:r>
        <w:rPr>
          <w:rFonts w:hint="eastAsia" w:cs="宋体"/>
          <w:color w:val="auto"/>
          <w:sz w:val="21"/>
          <w:szCs w:val="21"/>
        </w:rPr>
        <w:t xml:space="preserve">                地  址：</w:t>
      </w:r>
      <w:r>
        <w:rPr>
          <w:rFonts w:hint="eastAsia" w:cs="宋体"/>
          <w:color w:val="auto"/>
          <w:sz w:val="21"/>
          <w:szCs w:val="21"/>
          <w:u w:val="single"/>
        </w:rPr>
        <w:t xml:space="preserve">     </w:t>
      </w:r>
    </w:p>
    <w:p w14:paraId="69D54B99">
      <w:pPr>
        <w:snapToGrid w:val="0"/>
        <w:spacing w:line="360" w:lineRule="auto"/>
        <w:rPr>
          <w:rFonts w:cs="宋体"/>
          <w:color w:val="auto"/>
          <w:sz w:val="21"/>
          <w:szCs w:val="21"/>
        </w:rPr>
      </w:pPr>
      <w:r>
        <w:rPr>
          <w:rFonts w:hint="eastAsia" w:cs="宋体"/>
          <w:color w:val="auto"/>
          <w:sz w:val="21"/>
          <w:szCs w:val="21"/>
        </w:rPr>
        <w:t>邮政编码：</w:t>
      </w:r>
      <w:r>
        <w:rPr>
          <w:rFonts w:hint="eastAsia" w:cs="宋体"/>
          <w:color w:val="auto"/>
          <w:sz w:val="21"/>
          <w:szCs w:val="21"/>
          <w:u w:val="single"/>
        </w:rPr>
        <w:t xml:space="preserve">      </w:t>
      </w:r>
      <w:r>
        <w:rPr>
          <w:rFonts w:hint="eastAsia" w:cs="宋体"/>
          <w:color w:val="auto"/>
          <w:sz w:val="21"/>
          <w:szCs w:val="21"/>
        </w:rPr>
        <w:t xml:space="preserve">               邮政编码：</w:t>
      </w:r>
      <w:r>
        <w:rPr>
          <w:rFonts w:hint="eastAsia" w:cs="宋体"/>
          <w:color w:val="auto"/>
          <w:sz w:val="21"/>
          <w:szCs w:val="21"/>
          <w:u w:val="single"/>
        </w:rPr>
        <w:t xml:space="preserve"> </w:t>
      </w:r>
    </w:p>
    <w:p w14:paraId="7DCF1C9F">
      <w:pPr>
        <w:snapToGrid w:val="0"/>
        <w:spacing w:line="360" w:lineRule="auto"/>
        <w:rPr>
          <w:rFonts w:cs="宋体"/>
          <w:color w:val="auto"/>
          <w:sz w:val="21"/>
          <w:szCs w:val="21"/>
        </w:rPr>
      </w:pPr>
      <w:r>
        <w:rPr>
          <w:rFonts w:hint="eastAsia" w:cs="宋体"/>
          <w:color w:val="auto"/>
          <w:sz w:val="21"/>
          <w:szCs w:val="21"/>
        </w:rPr>
        <w:t>法定代表人：</w:t>
      </w:r>
      <w:r>
        <w:rPr>
          <w:rFonts w:hint="eastAsia" w:cs="宋体"/>
          <w:color w:val="auto"/>
          <w:sz w:val="21"/>
          <w:szCs w:val="21"/>
          <w:u w:val="single"/>
        </w:rPr>
        <w:t xml:space="preserve">           </w:t>
      </w:r>
      <w:r>
        <w:rPr>
          <w:rFonts w:hint="eastAsia" w:cs="宋体"/>
          <w:color w:val="auto"/>
          <w:sz w:val="21"/>
          <w:szCs w:val="21"/>
        </w:rPr>
        <w:t xml:space="preserve">                法定代表人：</w:t>
      </w:r>
      <w:r>
        <w:rPr>
          <w:rFonts w:hint="eastAsia" w:cs="宋体"/>
          <w:color w:val="auto"/>
          <w:sz w:val="21"/>
          <w:szCs w:val="21"/>
          <w:u w:val="single"/>
        </w:rPr>
        <w:t xml:space="preserve">          </w:t>
      </w:r>
    </w:p>
    <w:p w14:paraId="317E1971">
      <w:pPr>
        <w:snapToGrid w:val="0"/>
        <w:spacing w:line="360" w:lineRule="auto"/>
        <w:rPr>
          <w:rFonts w:cs="宋体"/>
          <w:color w:val="auto"/>
          <w:sz w:val="21"/>
          <w:szCs w:val="21"/>
        </w:rPr>
      </w:pPr>
      <w:r>
        <w:rPr>
          <w:rFonts w:hint="eastAsia" w:cs="宋体"/>
          <w:color w:val="auto"/>
          <w:sz w:val="21"/>
          <w:szCs w:val="21"/>
        </w:rPr>
        <w:t>委托代理人：</w:t>
      </w:r>
      <w:r>
        <w:rPr>
          <w:rFonts w:hint="eastAsia" w:cs="宋体"/>
          <w:color w:val="auto"/>
          <w:sz w:val="21"/>
          <w:szCs w:val="21"/>
          <w:u w:val="single"/>
        </w:rPr>
        <w:t xml:space="preserve">           </w:t>
      </w:r>
      <w:r>
        <w:rPr>
          <w:rFonts w:hint="eastAsia" w:cs="宋体"/>
          <w:color w:val="auto"/>
          <w:sz w:val="21"/>
          <w:szCs w:val="21"/>
        </w:rPr>
        <w:t xml:space="preserve">                委托代理人：</w:t>
      </w:r>
      <w:r>
        <w:rPr>
          <w:rFonts w:hint="eastAsia" w:cs="宋体"/>
          <w:color w:val="auto"/>
          <w:sz w:val="21"/>
          <w:szCs w:val="21"/>
          <w:u w:val="single"/>
        </w:rPr>
        <w:t xml:space="preserve">          </w:t>
      </w:r>
    </w:p>
    <w:p w14:paraId="3FF2BE93">
      <w:pPr>
        <w:snapToGrid w:val="0"/>
        <w:spacing w:line="360" w:lineRule="auto"/>
        <w:rPr>
          <w:rFonts w:cs="宋体"/>
          <w:color w:val="auto"/>
          <w:sz w:val="21"/>
          <w:szCs w:val="21"/>
        </w:rPr>
      </w:pPr>
      <w:r>
        <w:rPr>
          <w:rFonts w:hint="eastAsia" w:cs="宋体"/>
          <w:color w:val="auto"/>
          <w:sz w:val="21"/>
          <w:szCs w:val="21"/>
        </w:rPr>
        <w:t>电  话：</w:t>
      </w:r>
      <w:r>
        <w:rPr>
          <w:rFonts w:hint="eastAsia" w:cs="宋体"/>
          <w:color w:val="auto"/>
          <w:sz w:val="21"/>
          <w:szCs w:val="21"/>
          <w:u w:val="single"/>
        </w:rPr>
        <w:t xml:space="preserve">   </w:t>
      </w:r>
      <w:r>
        <w:rPr>
          <w:rFonts w:hint="eastAsia" w:cs="宋体"/>
          <w:color w:val="auto"/>
          <w:sz w:val="21"/>
          <w:szCs w:val="21"/>
        </w:rPr>
        <w:t xml:space="preserve">                电  话：</w:t>
      </w:r>
      <w:r>
        <w:rPr>
          <w:rFonts w:hint="eastAsia" w:cs="宋体"/>
          <w:color w:val="auto"/>
          <w:sz w:val="21"/>
          <w:szCs w:val="21"/>
          <w:u w:val="single"/>
        </w:rPr>
        <w:t xml:space="preserve">  </w:t>
      </w:r>
    </w:p>
    <w:p w14:paraId="68177170">
      <w:pPr>
        <w:snapToGrid w:val="0"/>
        <w:spacing w:line="360" w:lineRule="auto"/>
        <w:rPr>
          <w:rFonts w:cs="宋体"/>
          <w:color w:val="auto"/>
          <w:sz w:val="21"/>
          <w:szCs w:val="21"/>
        </w:rPr>
      </w:pPr>
      <w:r>
        <w:rPr>
          <w:rFonts w:hint="eastAsia" w:cs="宋体"/>
          <w:color w:val="auto"/>
          <w:sz w:val="21"/>
          <w:szCs w:val="21"/>
        </w:rPr>
        <w:t>传  真：</w:t>
      </w:r>
      <w:r>
        <w:rPr>
          <w:rFonts w:hint="eastAsia" w:cs="宋体"/>
          <w:color w:val="auto"/>
          <w:sz w:val="21"/>
          <w:szCs w:val="21"/>
          <w:u w:val="single"/>
        </w:rPr>
        <w:t xml:space="preserve">   </w:t>
      </w:r>
      <w:r>
        <w:rPr>
          <w:rFonts w:hint="eastAsia" w:cs="宋体"/>
          <w:color w:val="auto"/>
          <w:sz w:val="21"/>
          <w:szCs w:val="21"/>
        </w:rPr>
        <w:t xml:space="preserve">                传  真：</w:t>
      </w:r>
      <w:r>
        <w:rPr>
          <w:rFonts w:hint="eastAsia" w:cs="宋体"/>
          <w:color w:val="auto"/>
          <w:sz w:val="21"/>
          <w:szCs w:val="21"/>
          <w:u w:val="single"/>
        </w:rPr>
        <w:t>  </w:t>
      </w:r>
    </w:p>
    <w:p w14:paraId="64E45FAC">
      <w:pPr>
        <w:snapToGrid w:val="0"/>
        <w:spacing w:line="360" w:lineRule="auto"/>
        <w:rPr>
          <w:rFonts w:cs="宋体"/>
          <w:color w:val="auto"/>
          <w:sz w:val="21"/>
          <w:szCs w:val="21"/>
        </w:rPr>
      </w:pPr>
      <w:r>
        <w:rPr>
          <w:rFonts w:hint="eastAsia" w:cs="宋体"/>
          <w:color w:val="auto"/>
          <w:sz w:val="21"/>
          <w:szCs w:val="21"/>
        </w:rPr>
        <w:t>电子信箱：</w:t>
      </w:r>
      <w:r>
        <w:rPr>
          <w:rFonts w:hint="eastAsia" w:cs="宋体"/>
          <w:color w:val="auto"/>
          <w:sz w:val="21"/>
          <w:szCs w:val="21"/>
          <w:u w:val="single"/>
        </w:rPr>
        <w:t xml:space="preserve">                 </w:t>
      </w:r>
      <w:r>
        <w:rPr>
          <w:rFonts w:hint="eastAsia" w:cs="宋体"/>
          <w:color w:val="auto"/>
          <w:sz w:val="21"/>
          <w:szCs w:val="21"/>
        </w:rPr>
        <w:t xml:space="preserve">                电子信箱：</w:t>
      </w:r>
      <w:r>
        <w:rPr>
          <w:rFonts w:hint="eastAsia" w:cs="宋体"/>
          <w:color w:val="auto"/>
          <w:sz w:val="21"/>
          <w:szCs w:val="21"/>
          <w:u w:val="single"/>
        </w:rPr>
        <w:t></w:t>
      </w:r>
    </w:p>
    <w:p w14:paraId="6E3CD32D">
      <w:pPr>
        <w:snapToGrid w:val="0"/>
        <w:spacing w:line="360" w:lineRule="auto"/>
        <w:rPr>
          <w:rFonts w:cs="宋体"/>
          <w:color w:val="auto"/>
          <w:sz w:val="21"/>
          <w:szCs w:val="21"/>
        </w:rPr>
      </w:pPr>
      <w:r>
        <w:rPr>
          <w:rFonts w:hint="eastAsia" w:cs="宋体"/>
          <w:color w:val="auto"/>
          <w:sz w:val="21"/>
          <w:szCs w:val="21"/>
        </w:rPr>
        <w:t>开户银行：</w:t>
      </w:r>
      <w:r>
        <w:rPr>
          <w:rFonts w:hint="eastAsia" w:cs="宋体"/>
          <w:color w:val="auto"/>
          <w:sz w:val="21"/>
          <w:szCs w:val="21"/>
          <w:u w:val="single"/>
        </w:rPr>
        <w:t xml:space="preserve">   </w:t>
      </w:r>
      <w:r>
        <w:rPr>
          <w:rFonts w:hint="eastAsia" w:cs="宋体"/>
          <w:color w:val="auto"/>
          <w:sz w:val="21"/>
          <w:szCs w:val="21"/>
        </w:rPr>
        <w:t xml:space="preserve">                开户银行：</w:t>
      </w:r>
      <w:r>
        <w:rPr>
          <w:rFonts w:hint="eastAsia" w:cs="宋体"/>
          <w:color w:val="auto"/>
          <w:sz w:val="21"/>
          <w:szCs w:val="21"/>
          <w:u w:val="single"/>
        </w:rPr>
        <w:t></w:t>
      </w:r>
    </w:p>
    <w:p w14:paraId="18A24C4E">
      <w:pPr>
        <w:snapToGrid w:val="0"/>
        <w:spacing w:line="360" w:lineRule="auto"/>
        <w:rPr>
          <w:rFonts w:cs="宋体"/>
          <w:color w:val="auto"/>
          <w:sz w:val="21"/>
          <w:szCs w:val="21"/>
        </w:rPr>
      </w:pPr>
      <w:r>
        <w:rPr>
          <w:rFonts w:hint="eastAsia" w:cs="宋体"/>
          <w:color w:val="auto"/>
          <w:sz w:val="21"/>
          <w:szCs w:val="21"/>
        </w:rPr>
        <w:t>账  号：</w:t>
      </w:r>
      <w:r>
        <w:rPr>
          <w:rFonts w:hint="eastAsia" w:cs="宋体"/>
          <w:color w:val="auto"/>
          <w:sz w:val="21"/>
          <w:szCs w:val="21"/>
          <w:u w:val="single"/>
        </w:rPr>
        <w:t xml:space="preserve">       </w:t>
      </w:r>
      <w:r>
        <w:rPr>
          <w:rFonts w:hint="eastAsia" w:cs="宋体"/>
          <w:color w:val="auto"/>
          <w:sz w:val="21"/>
          <w:szCs w:val="21"/>
        </w:rPr>
        <w:t xml:space="preserve">                账  号：</w:t>
      </w:r>
      <w:r>
        <w:rPr>
          <w:rFonts w:hint="eastAsia" w:cs="宋体"/>
          <w:color w:val="auto"/>
          <w:sz w:val="21"/>
          <w:szCs w:val="21"/>
          <w:u w:val="single"/>
        </w:rPr>
        <w:t xml:space="preserve">   </w:t>
      </w:r>
    </w:p>
    <w:p w14:paraId="203FAC69">
      <w:pPr>
        <w:keepNext/>
        <w:keepLines/>
        <w:snapToGrid w:val="0"/>
        <w:spacing w:before="312" w:beforeLines="100" w:after="312" w:afterLines="100" w:line="360" w:lineRule="auto"/>
        <w:jc w:val="center"/>
        <w:outlineLvl w:val="1"/>
        <w:rPr>
          <w:rFonts w:cs="宋体"/>
          <w:bCs/>
          <w:color w:val="auto"/>
          <w:sz w:val="21"/>
          <w:szCs w:val="21"/>
        </w:rPr>
      </w:pPr>
      <w:r>
        <w:rPr>
          <w:rFonts w:hint="eastAsia" w:cs="宋体"/>
          <w:b/>
          <w:bCs/>
          <w:color w:val="auto"/>
          <w:sz w:val="21"/>
          <w:szCs w:val="21"/>
        </w:rPr>
        <w:br w:type="page"/>
      </w:r>
      <w:bookmarkStart w:id="47" w:name="_Toc130919121"/>
      <w:bookmarkStart w:id="48" w:name="_Toc2193"/>
      <w:bookmarkStart w:id="49" w:name="_Toc28799377"/>
      <w:bookmarkStart w:id="50" w:name="_Toc30550"/>
      <w:r>
        <w:rPr>
          <w:rFonts w:hint="eastAsia" w:ascii="等线" w:hAnsi="等线" w:eastAsia="等线" w:cs="@仿宋_GB2312"/>
          <w:b/>
          <w:color w:val="auto"/>
          <w:kern w:val="2"/>
          <w:sz w:val="24"/>
        </w:rPr>
        <w:t>第二节  通用合同条款</w:t>
      </w:r>
      <w:bookmarkEnd w:id="47"/>
      <w:bookmarkEnd w:id="48"/>
      <w:bookmarkEnd w:id="49"/>
      <w:bookmarkEnd w:id="50"/>
    </w:p>
    <w:p w14:paraId="128243F1">
      <w:pPr>
        <w:spacing w:line="360" w:lineRule="auto"/>
        <w:ind w:firstLine="560" w:firstLineChars="200"/>
        <w:rPr>
          <w:rFonts w:cs="Times New Roman"/>
          <w:snapToGrid w:val="0"/>
          <w:color w:val="auto"/>
          <w:sz w:val="28"/>
          <w:szCs w:val="24"/>
        </w:rPr>
      </w:pPr>
      <w:r>
        <w:rPr>
          <w:rFonts w:hint="eastAsia" w:cs="Times New Roman"/>
          <w:snapToGrid w:val="0"/>
          <w:color w:val="auto"/>
          <w:sz w:val="28"/>
          <w:szCs w:val="24"/>
        </w:rPr>
        <w:t>采用《建设工程施工合同（示范文本）》（GF-2017-0201）中通用合同条款。上述资料由承包人自行准备。</w:t>
      </w:r>
    </w:p>
    <w:p w14:paraId="21BB1E8A">
      <w:pPr>
        <w:keepNext/>
        <w:keepLines/>
        <w:snapToGrid w:val="0"/>
        <w:spacing w:before="312" w:beforeLines="100" w:after="312" w:afterLines="100" w:line="360" w:lineRule="auto"/>
        <w:jc w:val="center"/>
        <w:outlineLvl w:val="1"/>
        <w:rPr>
          <w:rFonts w:cs="宋体"/>
          <w:bCs/>
          <w:color w:val="auto"/>
          <w:sz w:val="21"/>
          <w:szCs w:val="21"/>
        </w:rPr>
      </w:pPr>
      <w:r>
        <w:rPr>
          <w:rFonts w:hint="eastAsia" w:cs="宋体"/>
          <w:b/>
          <w:bCs/>
          <w:color w:val="auto"/>
          <w:sz w:val="21"/>
          <w:szCs w:val="21"/>
        </w:rPr>
        <w:br w:type="page"/>
      </w:r>
      <w:bookmarkStart w:id="51" w:name="_Toc130919122"/>
      <w:bookmarkStart w:id="52" w:name="_Toc28799378"/>
      <w:bookmarkStart w:id="53" w:name="_Toc31931"/>
      <w:bookmarkStart w:id="54" w:name="_Toc18860"/>
      <w:r>
        <w:rPr>
          <w:rFonts w:hint="eastAsia" w:ascii="等线" w:hAnsi="等线" w:eastAsia="等线" w:cs="@仿宋_GB2312"/>
          <w:b/>
          <w:color w:val="auto"/>
          <w:kern w:val="2"/>
          <w:sz w:val="24"/>
        </w:rPr>
        <w:t>第三节  专用合同条款</w:t>
      </w:r>
      <w:bookmarkEnd w:id="51"/>
      <w:bookmarkEnd w:id="52"/>
      <w:bookmarkEnd w:id="53"/>
      <w:bookmarkEnd w:id="54"/>
    </w:p>
    <w:p w14:paraId="3513E734">
      <w:pPr>
        <w:snapToGrid w:val="0"/>
        <w:spacing w:before="312" w:beforeLines="100" w:after="312" w:afterLines="100" w:line="360" w:lineRule="auto"/>
        <w:jc w:val="center"/>
        <w:outlineLvl w:val="2"/>
        <w:rPr>
          <w:rFonts w:cs="宋体"/>
          <w:color w:val="auto"/>
          <w:sz w:val="21"/>
          <w:szCs w:val="21"/>
        </w:rPr>
      </w:pPr>
      <w:bookmarkStart w:id="55" w:name="_Toc351203633"/>
      <w:r>
        <w:rPr>
          <w:rFonts w:hint="eastAsia" w:cs="宋体"/>
          <w:color w:val="auto"/>
          <w:sz w:val="21"/>
          <w:szCs w:val="21"/>
        </w:rPr>
        <w:t>专用合同条款数据表</w:t>
      </w:r>
    </w:p>
    <w:p w14:paraId="4FF141B6">
      <w:pPr>
        <w:pStyle w:val="20"/>
        <w:snapToGrid w:val="0"/>
        <w:spacing w:line="360" w:lineRule="auto"/>
        <w:ind w:left="400" w:firstLine="480"/>
        <w:rPr>
          <w:rFonts w:ascii="宋体" w:hAnsi="宋体" w:cs="宋体"/>
          <w:color w:val="auto"/>
          <w:szCs w:val="21"/>
        </w:rPr>
      </w:pPr>
      <w:r>
        <w:rPr>
          <w:rFonts w:hint="eastAsia" w:ascii="宋体" w:hAnsi="宋体" w:cs="宋体"/>
          <w:color w:val="auto"/>
          <w:szCs w:val="21"/>
        </w:rPr>
        <w:t>说明：本数据表是项目专用合同条款中适用于本招标项目的信息和数据的归纳与提示，是项目专用合同条款的组成部分。</w:t>
      </w:r>
    </w:p>
    <w:tbl>
      <w:tblPr>
        <w:tblStyle w:val="55"/>
        <w:tblW w:w="9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1111"/>
        <w:gridCol w:w="7304"/>
      </w:tblGrid>
      <w:tr w14:paraId="27161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629" w:type="dxa"/>
            <w:vAlign w:val="center"/>
          </w:tcPr>
          <w:p w14:paraId="7CE011AE">
            <w:pPr>
              <w:pageBreakBefore w:val="0"/>
              <w:widowControl w:val="0"/>
              <w:kinsoku/>
              <w:wordWrap/>
              <w:overflowPunct/>
              <w:topLinePunct w:val="0"/>
              <w:autoSpaceDE/>
              <w:autoSpaceDN/>
              <w:bidi w:val="0"/>
              <w:snapToGrid w:val="0"/>
              <w:spacing w:beforeAutospacing="0" w:line="400" w:lineRule="exact"/>
              <w:ind w:left="-100" w:leftChars="-50" w:right="-100" w:rightChars="-50"/>
              <w:jc w:val="center"/>
              <w:textAlignment w:val="auto"/>
              <w:rPr>
                <w:rFonts w:cs="宋体"/>
                <w:b/>
                <w:color w:val="auto"/>
                <w:sz w:val="21"/>
                <w:szCs w:val="21"/>
              </w:rPr>
            </w:pPr>
            <w:r>
              <w:rPr>
                <w:rFonts w:hint="eastAsia" w:cs="宋体"/>
                <w:b/>
                <w:color w:val="auto"/>
                <w:sz w:val="21"/>
                <w:szCs w:val="21"/>
              </w:rPr>
              <w:t>序号</w:t>
            </w:r>
          </w:p>
        </w:tc>
        <w:tc>
          <w:tcPr>
            <w:tcW w:w="1111" w:type="dxa"/>
            <w:vAlign w:val="center"/>
          </w:tcPr>
          <w:p w14:paraId="42C4BC40">
            <w:pPr>
              <w:pageBreakBefore w:val="0"/>
              <w:widowControl w:val="0"/>
              <w:kinsoku/>
              <w:wordWrap/>
              <w:overflowPunct/>
              <w:topLinePunct w:val="0"/>
              <w:autoSpaceDE/>
              <w:autoSpaceDN/>
              <w:bidi w:val="0"/>
              <w:snapToGrid w:val="0"/>
              <w:spacing w:beforeAutospacing="0" w:line="400" w:lineRule="exact"/>
              <w:ind w:left="-100" w:leftChars="-50" w:right="-100" w:rightChars="-50"/>
              <w:jc w:val="center"/>
              <w:textAlignment w:val="auto"/>
              <w:rPr>
                <w:rFonts w:cs="宋体"/>
                <w:b/>
                <w:color w:val="auto"/>
                <w:sz w:val="21"/>
                <w:szCs w:val="21"/>
              </w:rPr>
            </w:pPr>
            <w:r>
              <w:rPr>
                <w:rFonts w:hint="eastAsia" w:cs="宋体"/>
                <w:b/>
                <w:color w:val="auto"/>
                <w:sz w:val="21"/>
                <w:szCs w:val="21"/>
              </w:rPr>
              <w:t>条目号</w:t>
            </w:r>
          </w:p>
        </w:tc>
        <w:tc>
          <w:tcPr>
            <w:tcW w:w="7304" w:type="dxa"/>
            <w:vAlign w:val="center"/>
          </w:tcPr>
          <w:p w14:paraId="47CE26D3">
            <w:pPr>
              <w:pageBreakBefore w:val="0"/>
              <w:widowControl w:val="0"/>
              <w:kinsoku/>
              <w:wordWrap/>
              <w:overflowPunct/>
              <w:topLinePunct w:val="0"/>
              <w:autoSpaceDE/>
              <w:autoSpaceDN/>
              <w:bidi w:val="0"/>
              <w:snapToGrid w:val="0"/>
              <w:spacing w:beforeAutospacing="0" w:line="400" w:lineRule="exact"/>
              <w:jc w:val="center"/>
              <w:textAlignment w:val="auto"/>
              <w:rPr>
                <w:rFonts w:cs="宋体"/>
                <w:b/>
                <w:color w:val="auto"/>
                <w:sz w:val="21"/>
                <w:szCs w:val="21"/>
              </w:rPr>
            </w:pPr>
            <w:r>
              <w:rPr>
                <w:rFonts w:hint="eastAsia" w:cs="宋体"/>
                <w:b/>
                <w:color w:val="auto"/>
                <w:sz w:val="21"/>
                <w:szCs w:val="21"/>
              </w:rPr>
              <w:t>信息或数据</w:t>
            </w:r>
          </w:p>
        </w:tc>
      </w:tr>
      <w:tr w14:paraId="52C44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9" w:type="dxa"/>
            <w:vAlign w:val="center"/>
          </w:tcPr>
          <w:p w14:paraId="517FC387">
            <w:pPr>
              <w:pageBreakBefore w:val="0"/>
              <w:widowControl w:val="0"/>
              <w:numPr>
                <w:ilvl w:val="0"/>
                <w:numId w:val="0"/>
              </w:numPr>
              <w:kinsoku/>
              <w:wordWrap/>
              <w:overflowPunct/>
              <w:topLinePunct w:val="0"/>
              <w:autoSpaceDE/>
              <w:autoSpaceDN/>
              <w:bidi w:val="0"/>
              <w:snapToGrid w:val="0"/>
              <w:spacing w:beforeAutospacing="0" w:line="400" w:lineRule="exact"/>
              <w:ind w:leftChars="0"/>
              <w:jc w:val="center"/>
              <w:textAlignment w:val="auto"/>
              <w:rPr>
                <w:rFonts w:hint="eastAsia" w:eastAsia="宋体" w:cs="宋体"/>
                <w:bCs/>
                <w:color w:val="auto"/>
                <w:kern w:val="2"/>
                <w:sz w:val="21"/>
                <w:szCs w:val="21"/>
                <w:lang w:eastAsia="zh-CN"/>
              </w:rPr>
            </w:pPr>
            <w:r>
              <w:rPr>
                <w:rFonts w:hint="eastAsia" w:cs="宋体"/>
                <w:bCs/>
                <w:color w:val="auto"/>
                <w:kern w:val="2"/>
                <w:sz w:val="21"/>
                <w:szCs w:val="21"/>
                <w:lang w:val="en-US" w:eastAsia="zh-CN"/>
              </w:rPr>
              <w:t>1</w:t>
            </w:r>
          </w:p>
        </w:tc>
        <w:tc>
          <w:tcPr>
            <w:tcW w:w="1111" w:type="dxa"/>
            <w:vAlign w:val="center"/>
          </w:tcPr>
          <w:p w14:paraId="587F17A5">
            <w:pPr>
              <w:pageBreakBefore w:val="0"/>
              <w:widowControl w:val="0"/>
              <w:kinsoku/>
              <w:wordWrap/>
              <w:overflowPunct/>
              <w:topLinePunct w:val="0"/>
              <w:autoSpaceDE/>
              <w:autoSpaceDN/>
              <w:bidi w:val="0"/>
              <w:snapToGrid w:val="0"/>
              <w:spacing w:beforeAutospacing="0" w:line="400" w:lineRule="exact"/>
              <w:jc w:val="center"/>
              <w:textAlignment w:val="auto"/>
              <w:rPr>
                <w:rFonts w:cs="宋体"/>
                <w:bCs/>
                <w:color w:val="auto"/>
                <w:sz w:val="21"/>
                <w:szCs w:val="21"/>
              </w:rPr>
            </w:pPr>
            <w:r>
              <w:rPr>
                <w:rFonts w:hint="eastAsia" w:cs="宋体"/>
                <w:bCs/>
                <w:color w:val="auto"/>
                <w:sz w:val="21"/>
                <w:szCs w:val="21"/>
              </w:rPr>
              <w:t>2.5</w:t>
            </w:r>
          </w:p>
        </w:tc>
        <w:tc>
          <w:tcPr>
            <w:tcW w:w="7304" w:type="dxa"/>
            <w:vAlign w:val="center"/>
          </w:tcPr>
          <w:p w14:paraId="710120FF">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u w:val="single"/>
              </w:rPr>
            </w:pPr>
            <w:r>
              <w:rPr>
                <w:rFonts w:hint="eastAsia" w:cs="宋体"/>
                <w:bCs/>
                <w:color w:val="auto"/>
                <w:sz w:val="21"/>
                <w:szCs w:val="21"/>
              </w:rPr>
              <w:t xml:space="preserve">发包人提供资金来源证明的期限要求： </w:t>
            </w:r>
            <w:r>
              <w:rPr>
                <w:rFonts w:hint="eastAsia" w:cs="宋体"/>
                <w:bCs/>
                <w:color w:val="auto"/>
                <w:sz w:val="21"/>
                <w:szCs w:val="21"/>
                <w:u w:val="single"/>
              </w:rPr>
              <w:t xml:space="preserve"> </w:t>
            </w:r>
            <w:r>
              <w:rPr>
                <w:rFonts w:hint="eastAsia" w:cs="宋体"/>
                <w:bCs/>
                <w:color w:val="auto"/>
                <w:sz w:val="21"/>
                <w:szCs w:val="21"/>
                <w:u w:val="single"/>
                <w:lang w:eastAsia="zh-CN"/>
              </w:rPr>
              <w:t>财政资金</w:t>
            </w:r>
            <w:r>
              <w:rPr>
                <w:rFonts w:hint="eastAsia" w:cs="宋体"/>
                <w:bCs/>
                <w:color w:val="auto"/>
                <w:sz w:val="21"/>
                <w:szCs w:val="21"/>
                <w:u w:val="single"/>
              </w:rPr>
              <w:t xml:space="preserve">，不需提供 </w:t>
            </w:r>
          </w:p>
          <w:p w14:paraId="706EDAE3">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 xml:space="preserve">发包人是否提供支付担保：  </w:t>
            </w:r>
            <w:r>
              <w:rPr>
                <w:rFonts w:hint="eastAsia" w:cs="宋体"/>
                <w:bCs/>
                <w:color w:val="auto"/>
                <w:sz w:val="21"/>
                <w:szCs w:val="21"/>
                <w:u w:val="single"/>
              </w:rPr>
              <w:t xml:space="preserve"> </w:t>
            </w:r>
            <w:r>
              <w:rPr>
                <w:rFonts w:hint="eastAsia" w:cs="宋体"/>
                <w:color w:val="auto"/>
                <w:spacing w:val="9"/>
                <w:sz w:val="21"/>
                <w:szCs w:val="21"/>
                <w:highlight w:val="none"/>
                <w:u w:val="single" w:color="auto"/>
                <w:lang w:eastAsia="zh-CN"/>
              </w:rPr>
              <w:t>财政资金</w:t>
            </w:r>
            <w:r>
              <w:rPr>
                <w:rFonts w:hint="eastAsia" w:ascii="宋体" w:hAnsi="宋体" w:eastAsia="宋体" w:cs="宋体"/>
                <w:color w:val="auto"/>
                <w:spacing w:val="9"/>
                <w:sz w:val="21"/>
                <w:szCs w:val="21"/>
                <w:highlight w:val="none"/>
                <w:u w:val="single" w:color="auto"/>
              </w:rPr>
              <w:t>，不需提供</w:t>
            </w:r>
            <w:r>
              <w:rPr>
                <w:rFonts w:hint="eastAsia" w:cs="宋体"/>
                <w:bCs/>
                <w:color w:val="auto"/>
                <w:sz w:val="21"/>
                <w:szCs w:val="21"/>
                <w:u w:val="single"/>
              </w:rPr>
              <w:t xml:space="preserve">  </w:t>
            </w:r>
          </w:p>
          <w:p w14:paraId="3851FFA6">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u w:val="single"/>
              </w:rPr>
            </w:pPr>
            <w:r>
              <w:rPr>
                <w:rFonts w:hint="eastAsia" w:cs="宋体"/>
                <w:bCs/>
                <w:color w:val="auto"/>
                <w:sz w:val="21"/>
                <w:szCs w:val="21"/>
              </w:rPr>
              <w:t>发包人提供支付担保的形式：</w:t>
            </w:r>
            <w:r>
              <w:rPr>
                <w:rFonts w:hint="eastAsia" w:cs="宋体"/>
                <w:bCs/>
                <w:color w:val="auto"/>
                <w:sz w:val="21"/>
                <w:szCs w:val="21"/>
                <w:u w:val="single"/>
              </w:rPr>
              <w:t xml:space="preserve">  </w:t>
            </w:r>
            <w:r>
              <w:rPr>
                <w:rFonts w:hint="eastAsia" w:cs="宋体"/>
                <w:color w:val="auto"/>
                <w:spacing w:val="9"/>
                <w:sz w:val="21"/>
                <w:szCs w:val="21"/>
                <w:highlight w:val="none"/>
                <w:u w:val="single" w:color="auto"/>
                <w:lang w:eastAsia="zh-CN"/>
              </w:rPr>
              <w:t>财政资金</w:t>
            </w:r>
            <w:r>
              <w:rPr>
                <w:rFonts w:hint="eastAsia" w:ascii="宋体" w:hAnsi="宋体" w:eastAsia="宋体" w:cs="宋体"/>
                <w:color w:val="auto"/>
                <w:spacing w:val="9"/>
                <w:sz w:val="21"/>
                <w:szCs w:val="21"/>
                <w:highlight w:val="none"/>
                <w:u w:val="single" w:color="auto"/>
              </w:rPr>
              <w:t>，不需提供</w:t>
            </w:r>
            <w:r>
              <w:rPr>
                <w:rFonts w:hint="eastAsia" w:cs="宋体"/>
                <w:bCs/>
                <w:color w:val="auto"/>
                <w:sz w:val="21"/>
                <w:szCs w:val="21"/>
                <w:u w:val="single"/>
              </w:rPr>
              <w:t xml:space="preserve">  </w:t>
            </w:r>
          </w:p>
        </w:tc>
      </w:tr>
      <w:tr w14:paraId="01787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9" w:type="dxa"/>
            <w:vAlign w:val="center"/>
          </w:tcPr>
          <w:p w14:paraId="31B1B30E">
            <w:pPr>
              <w:pageBreakBefore w:val="0"/>
              <w:widowControl w:val="0"/>
              <w:numPr>
                <w:ilvl w:val="0"/>
                <w:numId w:val="0"/>
              </w:numPr>
              <w:kinsoku/>
              <w:wordWrap/>
              <w:overflowPunct/>
              <w:topLinePunct w:val="0"/>
              <w:autoSpaceDE/>
              <w:autoSpaceDN/>
              <w:bidi w:val="0"/>
              <w:snapToGrid w:val="0"/>
              <w:spacing w:beforeAutospacing="0" w:line="400" w:lineRule="exact"/>
              <w:ind w:leftChars="0"/>
              <w:jc w:val="center"/>
              <w:textAlignment w:val="auto"/>
              <w:rPr>
                <w:rFonts w:hint="eastAsia" w:eastAsia="宋体" w:cs="宋体"/>
                <w:bCs/>
                <w:color w:val="auto"/>
                <w:kern w:val="2"/>
                <w:sz w:val="21"/>
                <w:szCs w:val="21"/>
                <w:lang w:eastAsia="zh-CN"/>
              </w:rPr>
            </w:pPr>
            <w:r>
              <w:rPr>
                <w:rFonts w:hint="eastAsia" w:cs="宋体"/>
                <w:bCs/>
                <w:color w:val="auto"/>
                <w:kern w:val="2"/>
                <w:sz w:val="21"/>
                <w:szCs w:val="21"/>
                <w:lang w:val="en-US" w:eastAsia="zh-CN"/>
              </w:rPr>
              <w:t>2</w:t>
            </w:r>
          </w:p>
        </w:tc>
        <w:tc>
          <w:tcPr>
            <w:tcW w:w="1111" w:type="dxa"/>
            <w:vAlign w:val="center"/>
          </w:tcPr>
          <w:p w14:paraId="4BA7C759">
            <w:pPr>
              <w:pageBreakBefore w:val="0"/>
              <w:widowControl w:val="0"/>
              <w:kinsoku/>
              <w:wordWrap/>
              <w:overflowPunct/>
              <w:topLinePunct w:val="0"/>
              <w:autoSpaceDE/>
              <w:autoSpaceDN/>
              <w:bidi w:val="0"/>
              <w:snapToGrid w:val="0"/>
              <w:spacing w:beforeAutospacing="0" w:line="400" w:lineRule="exact"/>
              <w:jc w:val="center"/>
              <w:textAlignment w:val="auto"/>
              <w:rPr>
                <w:rFonts w:cs="宋体"/>
                <w:bCs/>
                <w:color w:val="auto"/>
                <w:kern w:val="2"/>
                <w:sz w:val="21"/>
                <w:szCs w:val="21"/>
              </w:rPr>
            </w:pPr>
            <w:r>
              <w:rPr>
                <w:rFonts w:hint="eastAsia" w:cs="宋体"/>
                <w:bCs/>
                <w:color w:val="auto"/>
                <w:sz w:val="21"/>
                <w:szCs w:val="21"/>
              </w:rPr>
              <w:t>3.2.1</w:t>
            </w:r>
          </w:p>
        </w:tc>
        <w:tc>
          <w:tcPr>
            <w:tcW w:w="7304" w:type="dxa"/>
            <w:vAlign w:val="center"/>
          </w:tcPr>
          <w:p w14:paraId="6D3BF4F8">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项目经理</w:t>
            </w:r>
          </w:p>
          <w:p w14:paraId="0EF995BC">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姓    名：</w:t>
            </w:r>
            <w:r>
              <w:rPr>
                <w:rFonts w:hint="eastAsia" w:cs="宋体"/>
                <w:bCs/>
                <w:color w:val="auto"/>
                <w:sz w:val="21"/>
                <w:szCs w:val="21"/>
                <w:u w:val="single"/>
              </w:rPr>
              <w:t xml:space="preserve">          </w:t>
            </w:r>
          </w:p>
          <w:p w14:paraId="75512C98">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身份证号：</w:t>
            </w:r>
            <w:r>
              <w:rPr>
                <w:rFonts w:hint="eastAsia" w:cs="宋体"/>
                <w:bCs/>
                <w:color w:val="auto"/>
                <w:sz w:val="21"/>
                <w:szCs w:val="21"/>
                <w:u w:val="single"/>
              </w:rPr>
              <w:t xml:space="preserve">          </w:t>
            </w:r>
          </w:p>
          <w:p w14:paraId="0D8FD06E">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建造师执业资格等级：</w:t>
            </w:r>
            <w:r>
              <w:rPr>
                <w:rFonts w:hint="eastAsia" w:cs="宋体"/>
                <w:bCs/>
                <w:color w:val="auto"/>
                <w:sz w:val="21"/>
                <w:szCs w:val="21"/>
                <w:u w:val="single"/>
              </w:rPr>
              <w:t xml:space="preserve">          </w:t>
            </w:r>
          </w:p>
          <w:p w14:paraId="5068758D">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建造师注册证书号：</w:t>
            </w:r>
            <w:r>
              <w:rPr>
                <w:rFonts w:hint="eastAsia" w:cs="宋体"/>
                <w:bCs/>
                <w:color w:val="auto"/>
                <w:sz w:val="21"/>
                <w:szCs w:val="21"/>
                <w:u w:val="single"/>
              </w:rPr>
              <w:t xml:space="preserve">            </w:t>
            </w:r>
          </w:p>
          <w:p w14:paraId="381F5998">
            <w:pPr>
              <w:pageBreakBefore w:val="0"/>
              <w:widowControl w:val="0"/>
              <w:kinsoku/>
              <w:wordWrap/>
              <w:overflowPunct/>
              <w:topLinePunct w:val="0"/>
              <w:autoSpaceDE/>
              <w:autoSpaceDN/>
              <w:bidi w:val="0"/>
              <w:snapToGrid w:val="0"/>
              <w:spacing w:beforeAutospacing="0" w:line="400" w:lineRule="exact"/>
              <w:textAlignment w:val="auto"/>
              <w:rPr>
                <w:rFonts w:hint="eastAsia" w:cs="宋体"/>
                <w:bCs/>
                <w:color w:val="auto"/>
                <w:sz w:val="21"/>
                <w:szCs w:val="21"/>
                <w:u w:val="single"/>
              </w:rPr>
            </w:pPr>
            <w:r>
              <w:rPr>
                <w:rFonts w:hint="eastAsia" w:cs="宋体"/>
                <w:bCs/>
                <w:color w:val="auto"/>
                <w:sz w:val="21"/>
                <w:szCs w:val="21"/>
              </w:rPr>
              <w:t>承包人对项目经理的授权范围如下：</w:t>
            </w:r>
            <w:r>
              <w:rPr>
                <w:rFonts w:hint="eastAsia" w:cs="宋体"/>
                <w:bCs/>
                <w:color w:val="auto"/>
                <w:sz w:val="21"/>
                <w:szCs w:val="21"/>
                <w:u w:val="single"/>
              </w:rPr>
              <w:t>工程质量、安全、进度控制、现场施工管</w:t>
            </w:r>
          </w:p>
          <w:p w14:paraId="4260CAF1">
            <w:pPr>
              <w:pageBreakBefore w:val="0"/>
              <w:widowControl w:val="0"/>
              <w:kinsoku/>
              <w:wordWrap/>
              <w:overflowPunct/>
              <w:topLinePunct w:val="0"/>
              <w:autoSpaceDE/>
              <w:autoSpaceDN/>
              <w:bidi w:val="0"/>
              <w:snapToGrid w:val="0"/>
              <w:spacing w:beforeAutospacing="0" w:line="400" w:lineRule="exact"/>
              <w:textAlignment w:val="auto"/>
              <w:rPr>
                <w:rFonts w:hint="eastAsia" w:eastAsia="宋体" w:cs="宋体"/>
                <w:bCs/>
                <w:color w:val="auto"/>
                <w:sz w:val="21"/>
                <w:szCs w:val="21"/>
                <w:u w:val="single"/>
                <w:lang w:eastAsia="zh-CN"/>
              </w:rPr>
            </w:pPr>
            <w:r>
              <w:rPr>
                <w:rFonts w:hint="eastAsia" w:cs="宋体"/>
                <w:bCs/>
                <w:color w:val="auto"/>
                <w:sz w:val="21"/>
                <w:szCs w:val="21"/>
                <w:u w:val="single"/>
              </w:rPr>
              <w:t>理、会议召集、工艺方案确认、工人工艺交底、安全培训等施工管理工作</w:t>
            </w:r>
            <w:r>
              <w:rPr>
                <w:rFonts w:hint="eastAsia" w:cs="宋体"/>
                <w:bCs/>
                <w:color w:val="auto"/>
                <w:sz w:val="21"/>
                <w:szCs w:val="21"/>
                <w:u w:val="single"/>
                <w:lang w:eastAsia="zh-CN"/>
              </w:rPr>
              <w:t>。</w:t>
            </w:r>
          </w:p>
          <w:p w14:paraId="553E2A25">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kern w:val="2"/>
                <w:sz w:val="21"/>
                <w:szCs w:val="21"/>
              </w:rPr>
            </w:pPr>
            <w:r>
              <w:rPr>
                <w:rFonts w:hint="eastAsia" w:cs="宋体"/>
                <w:bCs/>
                <w:color w:val="auto"/>
                <w:sz w:val="21"/>
                <w:szCs w:val="21"/>
              </w:rPr>
              <w:t>承包人项目经理每月在施工现场的时间：驻场时间每月不少于</w:t>
            </w:r>
            <w:r>
              <w:rPr>
                <w:rFonts w:hint="eastAsia" w:cs="宋体"/>
                <w:bCs/>
                <w:color w:val="auto"/>
                <w:sz w:val="21"/>
                <w:szCs w:val="21"/>
                <w:u w:val="single"/>
              </w:rPr>
              <w:t xml:space="preserve"> </w:t>
            </w:r>
            <w:r>
              <w:rPr>
                <w:rFonts w:hint="eastAsia" w:cs="宋体"/>
                <w:bCs/>
                <w:color w:val="auto"/>
                <w:sz w:val="21"/>
                <w:szCs w:val="21"/>
                <w:u w:val="single"/>
                <w:lang w:val="en-US" w:eastAsia="zh-CN"/>
              </w:rPr>
              <w:t>22</w:t>
            </w:r>
            <w:r>
              <w:rPr>
                <w:rFonts w:hint="eastAsia" w:cs="宋体"/>
                <w:bCs/>
                <w:color w:val="auto"/>
                <w:sz w:val="21"/>
                <w:szCs w:val="21"/>
                <w:u w:val="single"/>
              </w:rPr>
              <w:t xml:space="preserve"> </w:t>
            </w:r>
            <w:r>
              <w:rPr>
                <w:rFonts w:hint="eastAsia" w:cs="宋体"/>
                <w:bCs/>
                <w:color w:val="auto"/>
                <w:sz w:val="21"/>
                <w:szCs w:val="21"/>
              </w:rPr>
              <w:t>天，每天在岗工作时间不得少于</w:t>
            </w:r>
            <w:r>
              <w:rPr>
                <w:rFonts w:hint="eastAsia" w:cs="宋体"/>
                <w:bCs/>
                <w:color w:val="auto"/>
                <w:sz w:val="21"/>
                <w:szCs w:val="21"/>
                <w:u w:val="single"/>
              </w:rPr>
              <w:t xml:space="preserve"> </w:t>
            </w:r>
            <w:r>
              <w:rPr>
                <w:rFonts w:hint="eastAsia" w:cs="宋体"/>
                <w:bCs/>
                <w:color w:val="auto"/>
                <w:sz w:val="21"/>
                <w:szCs w:val="21"/>
                <w:u w:val="single"/>
                <w:lang w:val="en-US" w:eastAsia="zh-CN"/>
              </w:rPr>
              <w:t>8</w:t>
            </w:r>
            <w:r>
              <w:rPr>
                <w:rFonts w:hint="eastAsia" w:cs="宋体"/>
                <w:bCs/>
                <w:color w:val="auto"/>
                <w:sz w:val="21"/>
                <w:szCs w:val="21"/>
                <w:u w:val="single"/>
              </w:rPr>
              <w:t xml:space="preserve"> </w:t>
            </w:r>
            <w:r>
              <w:rPr>
                <w:rFonts w:hint="eastAsia" w:cs="宋体"/>
                <w:bCs/>
                <w:color w:val="auto"/>
                <w:sz w:val="21"/>
                <w:szCs w:val="21"/>
              </w:rPr>
              <w:t>小时。</w:t>
            </w:r>
          </w:p>
        </w:tc>
      </w:tr>
      <w:tr w14:paraId="45821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9" w:type="dxa"/>
            <w:vAlign w:val="center"/>
          </w:tcPr>
          <w:p w14:paraId="5F6D410A">
            <w:pPr>
              <w:pageBreakBefore w:val="0"/>
              <w:widowControl w:val="0"/>
              <w:numPr>
                <w:ilvl w:val="0"/>
                <w:numId w:val="0"/>
              </w:numPr>
              <w:kinsoku/>
              <w:wordWrap/>
              <w:overflowPunct/>
              <w:topLinePunct w:val="0"/>
              <w:autoSpaceDE/>
              <w:autoSpaceDN/>
              <w:bidi w:val="0"/>
              <w:snapToGrid w:val="0"/>
              <w:spacing w:beforeAutospacing="0" w:line="400" w:lineRule="exact"/>
              <w:ind w:leftChars="0"/>
              <w:jc w:val="center"/>
              <w:textAlignment w:val="auto"/>
              <w:rPr>
                <w:rFonts w:hint="eastAsia" w:eastAsia="宋体" w:cs="宋体"/>
                <w:bCs/>
                <w:color w:val="auto"/>
                <w:kern w:val="2"/>
                <w:sz w:val="21"/>
                <w:szCs w:val="21"/>
                <w:lang w:eastAsia="zh-CN"/>
              </w:rPr>
            </w:pPr>
            <w:r>
              <w:rPr>
                <w:rFonts w:hint="eastAsia" w:cs="宋体"/>
                <w:bCs/>
                <w:color w:val="auto"/>
                <w:kern w:val="2"/>
                <w:sz w:val="21"/>
                <w:szCs w:val="21"/>
                <w:lang w:val="en-US" w:eastAsia="zh-CN"/>
              </w:rPr>
              <w:t>3</w:t>
            </w:r>
          </w:p>
        </w:tc>
        <w:tc>
          <w:tcPr>
            <w:tcW w:w="1111" w:type="dxa"/>
            <w:vAlign w:val="center"/>
          </w:tcPr>
          <w:p w14:paraId="07395D7F">
            <w:pPr>
              <w:pageBreakBefore w:val="0"/>
              <w:widowControl w:val="0"/>
              <w:kinsoku/>
              <w:wordWrap/>
              <w:overflowPunct/>
              <w:topLinePunct w:val="0"/>
              <w:autoSpaceDE/>
              <w:autoSpaceDN/>
              <w:bidi w:val="0"/>
              <w:snapToGrid w:val="0"/>
              <w:spacing w:beforeAutospacing="0" w:line="400" w:lineRule="exact"/>
              <w:jc w:val="center"/>
              <w:textAlignment w:val="auto"/>
              <w:rPr>
                <w:rFonts w:cs="宋体"/>
                <w:bCs/>
                <w:color w:val="auto"/>
                <w:kern w:val="2"/>
                <w:sz w:val="21"/>
                <w:szCs w:val="21"/>
              </w:rPr>
            </w:pPr>
            <w:r>
              <w:rPr>
                <w:rFonts w:hint="eastAsia" w:cs="宋体"/>
                <w:bCs/>
                <w:color w:val="auto"/>
                <w:sz w:val="21"/>
                <w:szCs w:val="21"/>
              </w:rPr>
              <w:t>3.7</w:t>
            </w:r>
          </w:p>
        </w:tc>
        <w:tc>
          <w:tcPr>
            <w:tcW w:w="7304" w:type="dxa"/>
            <w:vAlign w:val="center"/>
          </w:tcPr>
          <w:p w14:paraId="13EC559D">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承包人是否提供履约保证金：</w:t>
            </w:r>
            <w:r>
              <w:rPr>
                <w:rFonts w:hint="eastAsia" w:cs="宋体"/>
                <w:bCs/>
                <w:color w:val="auto"/>
                <w:sz w:val="21"/>
                <w:szCs w:val="21"/>
                <w:u w:val="single"/>
              </w:rPr>
              <w:t xml:space="preserve">   </w:t>
            </w:r>
            <w:r>
              <w:rPr>
                <w:rFonts w:hint="eastAsia" w:cs="宋体"/>
                <w:bCs/>
                <w:color w:val="auto"/>
                <w:sz w:val="21"/>
                <w:szCs w:val="21"/>
                <w:u w:val="single"/>
                <w:lang w:val="en-US" w:eastAsia="zh-CN"/>
              </w:rPr>
              <w:t>否</w:t>
            </w:r>
            <w:r>
              <w:rPr>
                <w:rFonts w:hint="eastAsia" w:cs="宋体"/>
                <w:bCs/>
                <w:color w:val="auto"/>
                <w:sz w:val="21"/>
                <w:szCs w:val="21"/>
                <w:u w:val="single"/>
              </w:rPr>
              <w:t xml:space="preserve">  </w:t>
            </w:r>
            <w:r>
              <w:rPr>
                <w:rFonts w:hint="eastAsia" w:cs="宋体"/>
                <w:bCs/>
                <w:color w:val="auto"/>
                <w:sz w:val="21"/>
                <w:szCs w:val="21"/>
                <w:u w:val="single"/>
                <w:lang w:val="en-US" w:eastAsia="zh-CN"/>
              </w:rPr>
              <w:t xml:space="preserve"> </w:t>
            </w:r>
            <w:r>
              <w:rPr>
                <w:rFonts w:hint="eastAsia" w:cs="宋体"/>
                <w:bCs/>
                <w:color w:val="auto"/>
                <w:sz w:val="21"/>
                <w:szCs w:val="21"/>
              </w:rPr>
              <w:t>。</w:t>
            </w:r>
          </w:p>
          <w:p w14:paraId="2CBFB533">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承包人提供履约保证金的形式：</w:t>
            </w:r>
            <w:r>
              <w:rPr>
                <w:rFonts w:hint="eastAsia" w:cs="宋体"/>
                <w:bCs/>
                <w:color w:val="auto"/>
                <w:sz w:val="21"/>
                <w:szCs w:val="21"/>
                <w:u w:val="single"/>
              </w:rPr>
              <w:t xml:space="preserve">☑转账/电汇 ☑支票 ☑汇票 ☑本票 ☑保险 ☑保函 </w:t>
            </w:r>
            <w:r>
              <w:rPr>
                <w:rFonts w:hint="eastAsia" w:cs="宋体"/>
                <w:bCs/>
                <w:color w:val="auto"/>
                <w:sz w:val="21"/>
                <w:szCs w:val="21"/>
              </w:rPr>
              <w:t>。</w:t>
            </w:r>
          </w:p>
          <w:p w14:paraId="777340CF">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履约保证金的金额：中标合同金额的</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p w14:paraId="67D27C0D">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履约保证金提交期限的要求：</w:t>
            </w:r>
            <w:r>
              <w:rPr>
                <w:rFonts w:hint="eastAsia" w:cs="宋体"/>
                <w:bCs/>
                <w:color w:val="auto"/>
                <w:sz w:val="21"/>
                <w:szCs w:val="21"/>
                <w:u w:val="single"/>
                <w:lang w:val="en-US" w:eastAsia="zh-CN"/>
              </w:rPr>
              <w:t xml:space="preserve">   /   </w:t>
            </w:r>
            <w:r>
              <w:rPr>
                <w:rFonts w:hint="eastAsia" w:cs="宋体"/>
                <w:bCs/>
                <w:color w:val="auto"/>
                <w:sz w:val="21"/>
                <w:szCs w:val="21"/>
              </w:rPr>
              <w:t>。</w:t>
            </w:r>
          </w:p>
          <w:p w14:paraId="2F93A65C">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kern w:val="2"/>
                <w:sz w:val="21"/>
                <w:szCs w:val="21"/>
              </w:rPr>
            </w:pPr>
            <w:r>
              <w:rPr>
                <w:rFonts w:hint="eastAsia" w:cs="宋体"/>
                <w:bCs/>
                <w:color w:val="auto"/>
                <w:sz w:val="21"/>
                <w:szCs w:val="21"/>
              </w:rPr>
              <w:t>履约保证金退还时限：</w:t>
            </w:r>
            <w:r>
              <w:rPr>
                <w:rFonts w:hint="eastAsia" w:cs="宋体"/>
                <w:bCs/>
                <w:color w:val="auto"/>
                <w:sz w:val="21"/>
                <w:szCs w:val="21"/>
                <w:u w:val="single"/>
              </w:rPr>
              <w:t xml:space="preserve"> </w:t>
            </w:r>
            <w:r>
              <w:rPr>
                <w:rFonts w:hint="eastAsia" w:cs="宋体"/>
                <w:bCs/>
                <w:color w:val="auto"/>
                <w:sz w:val="21"/>
                <w:szCs w:val="21"/>
                <w:u w:val="single"/>
                <w:lang w:val="en-US" w:eastAsia="zh-CN"/>
              </w:rPr>
              <w:t xml:space="preserve">  /</w:t>
            </w:r>
            <w:r>
              <w:rPr>
                <w:rFonts w:hint="eastAsia" w:cs="宋体"/>
                <w:bCs/>
                <w:color w:val="auto"/>
                <w:sz w:val="21"/>
                <w:szCs w:val="21"/>
                <w:u w:val="single"/>
              </w:rPr>
              <w:t xml:space="preserve"> </w:t>
            </w:r>
            <w:r>
              <w:rPr>
                <w:rFonts w:hint="eastAsia" w:cs="宋体"/>
                <w:bCs/>
                <w:color w:val="auto"/>
                <w:sz w:val="21"/>
                <w:szCs w:val="21"/>
              </w:rPr>
              <w:t>。</w:t>
            </w:r>
          </w:p>
        </w:tc>
      </w:tr>
      <w:tr w14:paraId="2CCBE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9" w:type="dxa"/>
            <w:vAlign w:val="center"/>
          </w:tcPr>
          <w:p w14:paraId="124822B1">
            <w:pPr>
              <w:pageBreakBefore w:val="0"/>
              <w:widowControl w:val="0"/>
              <w:numPr>
                <w:ilvl w:val="0"/>
                <w:numId w:val="0"/>
              </w:numPr>
              <w:kinsoku/>
              <w:wordWrap/>
              <w:overflowPunct/>
              <w:topLinePunct w:val="0"/>
              <w:autoSpaceDE/>
              <w:autoSpaceDN/>
              <w:bidi w:val="0"/>
              <w:snapToGrid w:val="0"/>
              <w:spacing w:beforeAutospacing="0" w:line="400" w:lineRule="exact"/>
              <w:ind w:leftChars="0"/>
              <w:jc w:val="center"/>
              <w:textAlignment w:val="auto"/>
              <w:rPr>
                <w:rFonts w:hint="eastAsia" w:eastAsia="宋体" w:cs="宋体"/>
                <w:bCs/>
                <w:color w:val="auto"/>
                <w:sz w:val="21"/>
                <w:szCs w:val="21"/>
                <w:lang w:eastAsia="zh-CN"/>
              </w:rPr>
            </w:pPr>
            <w:r>
              <w:rPr>
                <w:rFonts w:hint="eastAsia" w:cs="宋体"/>
                <w:bCs/>
                <w:color w:val="auto"/>
                <w:sz w:val="21"/>
                <w:szCs w:val="21"/>
                <w:lang w:val="en-US" w:eastAsia="zh-CN"/>
              </w:rPr>
              <w:t>4</w:t>
            </w:r>
          </w:p>
        </w:tc>
        <w:tc>
          <w:tcPr>
            <w:tcW w:w="1111" w:type="dxa"/>
            <w:vAlign w:val="center"/>
          </w:tcPr>
          <w:p w14:paraId="7C8B4A93">
            <w:pPr>
              <w:pageBreakBefore w:val="0"/>
              <w:widowControl w:val="0"/>
              <w:kinsoku/>
              <w:wordWrap/>
              <w:overflowPunct/>
              <w:topLinePunct w:val="0"/>
              <w:autoSpaceDE/>
              <w:autoSpaceDN/>
              <w:bidi w:val="0"/>
              <w:snapToGrid w:val="0"/>
              <w:spacing w:beforeAutospacing="0" w:line="400" w:lineRule="exact"/>
              <w:jc w:val="center"/>
              <w:textAlignment w:val="auto"/>
              <w:rPr>
                <w:rFonts w:cs="宋体"/>
                <w:bCs/>
                <w:color w:val="auto"/>
                <w:sz w:val="21"/>
                <w:szCs w:val="21"/>
              </w:rPr>
            </w:pPr>
            <w:r>
              <w:rPr>
                <w:rFonts w:hint="eastAsia" w:cs="宋体"/>
                <w:bCs/>
                <w:color w:val="auto"/>
                <w:sz w:val="21"/>
                <w:szCs w:val="21"/>
              </w:rPr>
              <w:t>5.1.1</w:t>
            </w:r>
          </w:p>
        </w:tc>
        <w:tc>
          <w:tcPr>
            <w:tcW w:w="7304" w:type="dxa"/>
            <w:vAlign w:val="center"/>
          </w:tcPr>
          <w:p w14:paraId="7BE93DAD">
            <w:pPr>
              <w:pageBreakBefore w:val="0"/>
              <w:widowControl w:val="0"/>
              <w:kinsoku/>
              <w:wordWrap/>
              <w:overflowPunct/>
              <w:topLinePunct w:val="0"/>
              <w:autoSpaceDE/>
              <w:autoSpaceDN/>
              <w:bidi w:val="0"/>
              <w:snapToGrid w:val="0"/>
              <w:spacing w:beforeAutospacing="0" w:line="400" w:lineRule="exact"/>
              <w:textAlignment w:val="auto"/>
              <w:rPr>
                <w:rFonts w:hint="eastAsia" w:cs="宋体"/>
                <w:bCs/>
                <w:color w:val="auto"/>
                <w:sz w:val="21"/>
                <w:szCs w:val="21"/>
                <w:u w:val="single"/>
              </w:rPr>
            </w:pPr>
            <w:r>
              <w:rPr>
                <w:rFonts w:hint="eastAsia" w:cs="宋体"/>
                <w:bCs/>
                <w:color w:val="auto"/>
                <w:sz w:val="21"/>
                <w:szCs w:val="21"/>
              </w:rPr>
              <w:t>5.1.1 特殊质量标准和要求：</w:t>
            </w:r>
            <w:r>
              <w:rPr>
                <w:rFonts w:hint="eastAsia" w:cs="宋体"/>
                <w:bCs/>
                <w:color w:val="auto"/>
                <w:sz w:val="21"/>
                <w:szCs w:val="21"/>
                <w:u w:val="single"/>
              </w:rPr>
              <w:t>本工程应达到</w:t>
            </w:r>
            <w:r>
              <w:rPr>
                <w:rFonts w:hint="eastAsia" w:cs="宋体"/>
                <w:bCs/>
                <w:color w:val="auto"/>
                <w:sz w:val="21"/>
                <w:szCs w:val="21"/>
                <w:u w:val="single"/>
                <w:lang w:eastAsia="zh-CN"/>
              </w:rPr>
              <w:t>谈判</w:t>
            </w:r>
            <w:r>
              <w:rPr>
                <w:rFonts w:hint="eastAsia" w:cs="宋体"/>
                <w:bCs/>
                <w:color w:val="auto"/>
                <w:sz w:val="21"/>
                <w:szCs w:val="21"/>
                <w:u w:val="single"/>
              </w:rPr>
              <w:t>文件规定的质量合格标准。承</w:t>
            </w:r>
          </w:p>
          <w:p w14:paraId="4271B5DB">
            <w:pPr>
              <w:pageBreakBefore w:val="0"/>
              <w:widowControl w:val="0"/>
              <w:kinsoku/>
              <w:wordWrap/>
              <w:overflowPunct/>
              <w:topLinePunct w:val="0"/>
              <w:autoSpaceDE/>
              <w:autoSpaceDN/>
              <w:bidi w:val="0"/>
              <w:snapToGrid w:val="0"/>
              <w:spacing w:beforeAutospacing="0" w:line="400" w:lineRule="exact"/>
              <w:textAlignment w:val="auto"/>
              <w:rPr>
                <w:rFonts w:hint="eastAsia" w:cs="宋体"/>
                <w:bCs/>
                <w:color w:val="auto"/>
                <w:sz w:val="21"/>
                <w:szCs w:val="21"/>
                <w:u w:val="single"/>
              </w:rPr>
            </w:pPr>
            <w:r>
              <w:rPr>
                <w:rFonts w:hint="eastAsia" w:cs="宋体"/>
                <w:bCs/>
                <w:color w:val="auto"/>
                <w:sz w:val="21"/>
                <w:szCs w:val="21"/>
                <w:u w:val="single"/>
              </w:rPr>
              <w:t>包人应按照现行的国家施工验收规范和资料评定标准施工；预验收不合格须整</w:t>
            </w:r>
          </w:p>
          <w:p w14:paraId="40793D01">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u w:val="single"/>
              </w:rPr>
              <w:t>改合格，并处以10000元违约金；竣工验收必须合格，否则发包人将处以 50000元违约金；承包人同意终止施工合同并不再支付剩余工程款，承包人并应当另行承担因此给发包人造成的全部损失。</w:t>
            </w:r>
          </w:p>
          <w:p w14:paraId="25F7324B">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关于工程奖项的约定：</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p w14:paraId="4FB70D16">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关于建造要求：</w:t>
            </w:r>
          </w:p>
          <w:p w14:paraId="36DF61EC">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（1）绿色建筑等级要求：</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p w14:paraId="63F23332">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（2）智慧工地管理要求：</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p w14:paraId="6720B599">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（3）建筑垃圾减量化目标：</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p w14:paraId="20E5083F">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（4）装配式建筑装配率要求：</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p w14:paraId="60E60205">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（5）</w:t>
            </w:r>
            <w:r>
              <w:rPr>
                <w:rFonts w:hint="eastAsia" w:cs="宋体"/>
                <w:bCs/>
                <w:color w:val="auto"/>
                <w:sz w:val="21"/>
                <w:szCs w:val="21"/>
                <w:u w:val="single"/>
              </w:rPr>
              <w:t xml:space="preserve">                                               </w:t>
            </w:r>
            <w:r>
              <w:rPr>
                <w:rFonts w:hint="eastAsia" w:cs="宋体"/>
                <w:bCs/>
                <w:color w:val="auto"/>
                <w:sz w:val="21"/>
                <w:szCs w:val="21"/>
              </w:rPr>
              <w:t>。</w:t>
            </w:r>
          </w:p>
        </w:tc>
      </w:tr>
      <w:tr w14:paraId="1BE9D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9" w:type="dxa"/>
            <w:vAlign w:val="center"/>
          </w:tcPr>
          <w:p w14:paraId="1D00B8EB">
            <w:pPr>
              <w:pageBreakBefore w:val="0"/>
              <w:widowControl w:val="0"/>
              <w:numPr>
                <w:ilvl w:val="0"/>
                <w:numId w:val="0"/>
              </w:numPr>
              <w:kinsoku/>
              <w:wordWrap/>
              <w:overflowPunct/>
              <w:topLinePunct w:val="0"/>
              <w:autoSpaceDE/>
              <w:autoSpaceDN/>
              <w:bidi w:val="0"/>
              <w:snapToGrid w:val="0"/>
              <w:spacing w:beforeAutospacing="0" w:line="400" w:lineRule="exact"/>
              <w:ind w:leftChars="0"/>
              <w:jc w:val="center"/>
              <w:textAlignment w:val="auto"/>
              <w:rPr>
                <w:rFonts w:hint="eastAsia" w:eastAsia="宋体" w:cs="宋体"/>
                <w:bCs/>
                <w:color w:val="auto"/>
                <w:kern w:val="2"/>
                <w:sz w:val="21"/>
                <w:szCs w:val="21"/>
                <w:lang w:eastAsia="zh-CN"/>
              </w:rPr>
            </w:pPr>
            <w:r>
              <w:rPr>
                <w:rFonts w:hint="eastAsia" w:cs="宋体"/>
                <w:bCs/>
                <w:color w:val="auto"/>
                <w:kern w:val="2"/>
                <w:sz w:val="21"/>
                <w:szCs w:val="21"/>
                <w:lang w:val="en-US" w:eastAsia="zh-CN"/>
              </w:rPr>
              <w:t>5</w:t>
            </w:r>
          </w:p>
        </w:tc>
        <w:tc>
          <w:tcPr>
            <w:tcW w:w="1111" w:type="dxa"/>
            <w:vAlign w:val="center"/>
          </w:tcPr>
          <w:p w14:paraId="5670C367">
            <w:pPr>
              <w:pageBreakBefore w:val="0"/>
              <w:widowControl w:val="0"/>
              <w:kinsoku/>
              <w:wordWrap/>
              <w:overflowPunct/>
              <w:topLinePunct w:val="0"/>
              <w:autoSpaceDE/>
              <w:autoSpaceDN/>
              <w:bidi w:val="0"/>
              <w:snapToGrid w:val="0"/>
              <w:spacing w:beforeAutospacing="0" w:line="400" w:lineRule="exact"/>
              <w:jc w:val="center"/>
              <w:textAlignment w:val="auto"/>
              <w:rPr>
                <w:rFonts w:cs="宋体"/>
                <w:bCs/>
                <w:color w:val="auto"/>
                <w:kern w:val="2"/>
                <w:sz w:val="21"/>
                <w:szCs w:val="21"/>
              </w:rPr>
            </w:pPr>
            <w:r>
              <w:rPr>
                <w:rFonts w:hint="eastAsia" w:cs="宋体"/>
                <w:bCs/>
                <w:color w:val="auto"/>
                <w:sz w:val="21"/>
                <w:szCs w:val="21"/>
              </w:rPr>
              <w:t>7.5.2</w:t>
            </w:r>
          </w:p>
        </w:tc>
        <w:tc>
          <w:tcPr>
            <w:tcW w:w="7304" w:type="dxa"/>
            <w:tcBorders>
              <w:bottom w:val="single" w:color="auto" w:sz="4" w:space="0"/>
            </w:tcBorders>
            <w:vAlign w:val="center"/>
          </w:tcPr>
          <w:p w14:paraId="5F49F596">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kern w:val="2"/>
                <w:sz w:val="21"/>
                <w:szCs w:val="21"/>
                <w:highlight w:val="none"/>
              </w:rPr>
            </w:pPr>
            <w:r>
              <w:rPr>
                <w:rFonts w:hint="eastAsia" w:cs="宋体"/>
                <w:bCs/>
                <w:color w:val="auto"/>
                <w:kern w:val="2"/>
                <w:sz w:val="21"/>
                <w:szCs w:val="21"/>
              </w:rPr>
              <w:t>因承包人原因造成工期延误，逾期竣工违约金的计算方法为：</w:t>
            </w:r>
            <w:r>
              <w:rPr>
                <w:rFonts w:hint="eastAsia" w:cs="宋体"/>
                <w:bCs/>
                <w:color w:val="auto"/>
                <w:kern w:val="2"/>
                <w:sz w:val="21"/>
                <w:szCs w:val="21"/>
                <w:highlight w:val="none"/>
                <w:u w:val="single"/>
              </w:rPr>
              <w:t>每</w:t>
            </w:r>
            <w:r>
              <w:rPr>
                <w:rFonts w:hint="eastAsia" w:cs="宋体"/>
                <w:bCs/>
                <w:color w:val="auto"/>
                <w:kern w:val="2"/>
                <w:sz w:val="21"/>
                <w:szCs w:val="21"/>
                <w:highlight w:val="none"/>
                <w:u w:val="single"/>
                <w:lang w:val="en-US" w:eastAsia="zh-CN"/>
              </w:rPr>
              <w:t>延迟</w:t>
            </w:r>
            <w:r>
              <w:rPr>
                <w:rFonts w:hint="eastAsia" w:cs="宋体"/>
                <w:bCs/>
                <w:color w:val="auto"/>
                <w:kern w:val="2"/>
                <w:sz w:val="21"/>
                <w:szCs w:val="21"/>
                <w:highlight w:val="none"/>
                <w:u w:val="single"/>
              </w:rPr>
              <w:t>一天，</w:t>
            </w:r>
            <w:r>
              <w:rPr>
                <w:rFonts w:hint="eastAsia" w:cs="宋体"/>
                <w:bCs/>
                <w:color w:val="auto"/>
                <w:kern w:val="2"/>
                <w:sz w:val="21"/>
                <w:szCs w:val="21"/>
                <w:highlight w:val="none"/>
                <w:u w:val="single"/>
                <w:lang w:val="en-US" w:eastAsia="zh-CN"/>
              </w:rPr>
              <w:t>按1000元/天处以违约金</w:t>
            </w:r>
            <w:r>
              <w:rPr>
                <w:rFonts w:hint="eastAsia" w:cs="宋体"/>
                <w:bCs/>
                <w:color w:val="auto"/>
                <w:kern w:val="2"/>
                <w:sz w:val="21"/>
                <w:szCs w:val="21"/>
                <w:highlight w:val="none"/>
                <w:u w:val="single"/>
              </w:rPr>
              <w:t>；工程延期28天以上的，发包人有权解除合同，并追究连带损失</w:t>
            </w:r>
            <w:r>
              <w:rPr>
                <w:rFonts w:hint="eastAsia" w:cs="宋体"/>
                <w:bCs/>
                <w:color w:val="auto"/>
                <w:kern w:val="2"/>
                <w:sz w:val="21"/>
                <w:szCs w:val="21"/>
                <w:highlight w:val="none"/>
              </w:rPr>
              <w:t>。</w:t>
            </w:r>
          </w:p>
          <w:p w14:paraId="5F4532D8">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kern w:val="2"/>
                <w:sz w:val="21"/>
                <w:szCs w:val="21"/>
              </w:rPr>
            </w:pPr>
            <w:r>
              <w:rPr>
                <w:rFonts w:hint="eastAsia" w:cs="宋体"/>
                <w:bCs/>
                <w:color w:val="auto"/>
                <w:kern w:val="2"/>
                <w:sz w:val="21"/>
                <w:szCs w:val="21"/>
                <w:highlight w:val="none"/>
              </w:rPr>
              <w:t>因承包人原因造成工期延误，逾期竣工违约金的上限：</w:t>
            </w:r>
            <w:r>
              <w:rPr>
                <w:rFonts w:hint="eastAsia" w:cs="宋体"/>
                <w:bCs/>
                <w:color w:val="auto"/>
                <w:kern w:val="2"/>
                <w:sz w:val="21"/>
                <w:szCs w:val="21"/>
                <w:highlight w:val="none"/>
                <w:u w:val="single"/>
              </w:rPr>
              <w:t xml:space="preserve"> </w:t>
            </w:r>
            <w:r>
              <w:rPr>
                <w:rFonts w:hint="eastAsia" w:cs="宋体"/>
                <w:bCs/>
                <w:color w:val="auto"/>
                <w:kern w:val="2"/>
                <w:sz w:val="21"/>
                <w:szCs w:val="21"/>
                <w:highlight w:val="none"/>
                <w:u w:val="single"/>
                <w:lang w:val="en-US" w:eastAsia="zh-CN"/>
              </w:rPr>
              <w:t>/</w:t>
            </w:r>
            <w:r>
              <w:rPr>
                <w:rFonts w:hint="eastAsia" w:cs="宋体"/>
                <w:bCs/>
                <w:color w:val="auto"/>
                <w:kern w:val="2"/>
                <w:sz w:val="21"/>
                <w:szCs w:val="21"/>
                <w:highlight w:val="none"/>
                <w:u w:val="single"/>
              </w:rPr>
              <w:t xml:space="preserve"> </w:t>
            </w:r>
            <w:r>
              <w:rPr>
                <w:rFonts w:hint="eastAsia" w:cs="宋体"/>
                <w:bCs/>
                <w:color w:val="auto"/>
                <w:kern w:val="2"/>
                <w:sz w:val="21"/>
                <w:szCs w:val="21"/>
                <w:highlight w:val="none"/>
              </w:rPr>
              <w:t>。</w:t>
            </w:r>
          </w:p>
        </w:tc>
      </w:tr>
      <w:tr w14:paraId="5F203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9" w:type="dxa"/>
            <w:vAlign w:val="center"/>
          </w:tcPr>
          <w:p w14:paraId="4C989AF2">
            <w:pPr>
              <w:pageBreakBefore w:val="0"/>
              <w:widowControl w:val="0"/>
              <w:numPr>
                <w:ilvl w:val="0"/>
                <w:numId w:val="0"/>
              </w:numPr>
              <w:kinsoku/>
              <w:wordWrap/>
              <w:overflowPunct/>
              <w:topLinePunct w:val="0"/>
              <w:autoSpaceDE/>
              <w:autoSpaceDN/>
              <w:bidi w:val="0"/>
              <w:snapToGrid w:val="0"/>
              <w:spacing w:beforeAutospacing="0" w:line="400" w:lineRule="exact"/>
              <w:ind w:leftChars="0"/>
              <w:jc w:val="center"/>
              <w:textAlignment w:val="auto"/>
              <w:rPr>
                <w:rFonts w:hint="eastAsia" w:eastAsia="宋体" w:cs="宋体"/>
                <w:bCs/>
                <w:color w:val="auto"/>
                <w:kern w:val="2"/>
                <w:sz w:val="21"/>
                <w:szCs w:val="21"/>
                <w:lang w:eastAsia="zh-CN"/>
              </w:rPr>
            </w:pPr>
            <w:r>
              <w:rPr>
                <w:rFonts w:hint="eastAsia" w:cs="宋体"/>
                <w:bCs/>
                <w:color w:val="auto"/>
                <w:kern w:val="2"/>
                <w:sz w:val="21"/>
                <w:szCs w:val="21"/>
                <w:lang w:val="en-US" w:eastAsia="zh-CN"/>
              </w:rPr>
              <w:t>6</w:t>
            </w:r>
          </w:p>
        </w:tc>
        <w:tc>
          <w:tcPr>
            <w:tcW w:w="1111" w:type="dxa"/>
            <w:vAlign w:val="center"/>
          </w:tcPr>
          <w:p w14:paraId="1D055255">
            <w:pPr>
              <w:pageBreakBefore w:val="0"/>
              <w:widowControl w:val="0"/>
              <w:kinsoku/>
              <w:wordWrap/>
              <w:overflowPunct/>
              <w:topLinePunct w:val="0"/>
              <w:autoSpaceDE/>
              <w:autoSpaceDN/>
              <w:bidi w:val="0"/>
              <w:snapToGrid w:val="0"/>
              <w:spacing w:beforeAutospacing="0" w:line="400" w:lineRule="exact"/>
              <w:jc w:val="center"/>
              <w:textAlignment w:val="auto"/>
              <w:rPr>
                <w:rFonts w:cs="宋体"/>
                <w:bCs/>
                <w:color w:val="auto"/>
                <w:kern w:val="2"/>
                <w:sz w:val="21"/>
                <w:szCs w:val="21"/>
              </w:rPr>
            </w:pPr>
            <w:r>
              <w:rPr>
                <w:rFonts w:hint="eastAsia" w:cs="宋体"/>
                <w:bCs/>
                <w:color w:val="auto"/>
                <w:sz w:val="21"/>
                <w:szCs w:val="21"/>
              </w:rPr>
              <w:t>7.9.2</w:t>
            </w:r>
          </w:p>
        </w:tc>
        <w:tc>
          <w:tcPr>
            <w:tcW w:w="7304" w:type="dxa"/>
            <w:tcBorders>
              <w:bottom w:val="single" w:color="auto" w:sz="4" w:space="0"/>
            </w:tcBorders>
            <w:vAlign w:val="center"/>
          </w:tcPr>
          <w:p w14:paraId="3B9B3E39">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kern w:val="2"/>
                <w:sz w:val="21"/>
                <w:szCs w:val="21"/>
              </w:rPr>
            </w:pPr>
            <w:r>
              <w:rPr>
                <w:rFonts w:hint="eastAsia" w:cs="宋体"/>
                <w:color w:val="auto"/>
                <w:sz w:val="21"/>
                <w:szCs w:val="21"/>
              </w:rPr>
              <w:t>提前竣工的奖励：</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tc>
      </w:tr>
      <w:tr w14:paraId="05485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9" w:type="dxa"/>
            <w:vAlign w:val="center"/>
          </w:tcPr>
          <w:p w14:paraId="640A2FFA">
            <w:pPr>
              <w:pageBreakBefore w:val="0"/>
              <w:widowControl w:val="0"/>
              <w:numPr>
                <w:ilvl w:val="0"/>
                <w:numId w:val="0"/>
              </w:numPr>
              <w:kinsoku/>
              <w:wordWrap/>
              <w:overflowPunct/>
              <w:topLinePunct w:val="0"/>
              <w:autoSpaceDE/>
              <w:autoSpaceDN/>
              <w:bidi w:val="0"/>
              <w:snapToGrid w:val="0"/>
              <w:spacing w:beforeAutospacing="0" w:line="400" w:lineRule="exact"/>
              <w:ind w:leftChars="0"/>
              <w:jc w:val="center"/>
              <w:textAlignment w:val="auto"/>
              <w:rPr>
                <w:rFonts w:hint="eastAsia" w:eastAsia="宋体" w:cs="宋体"/>
                <w:bCs/>
                <w:color w:val="auto"/>
                <w:kern w:val="2"/>
                <w:sz w:val="21"/>
                <w:szCs w:val="21"/>
                <w:lang w:eastAsia="zh-CN"/>
              </w:rPr>
            </w:pPr>
            <w:r>
              <w:rPr>
                <w:rFonts w:hint="eastAsia" w:cs="宋体"/>
                <w:bCs/>
                <w:color w:val="auto"/>
                <w:kern w:val="2"/>
                <w:sz w:val="21"/>
                <w:szCs w:val="21"/>
                <w:lang w:val="en-US" w:eastAsia="zh-CN"/>
              </w:rPr>
              <w:t>7</w:t>
            </w:r>
          </w:p>
        </w:tc>
        <w:tc>
          <w:tcPr>
            <w:tcW w:w="1111" w:type="dxa"/>
            <w:vAlign w:val="center"/>
          </w:tcPr>
          <w:p w14:paraId="535D6F79">
            <w:pPr>
              <w:pageBreakBefore w:val="0"/>
              <w:widowControl w:val="0"/>
              <w:kinsoku/>
              <w:wordWrap/>
              <w:overflowPunct/>
              <w:topLinePunct w:val="0"/>
              <w:autoSpaceDE/>
              <w:autoSpaceDN/>
              <w:bidi w:val="0"/>
              <w:snapToGrid w:val="0"/>
              <w:spacing w:beforeAutospacing="0" w:line="400" w:lineRule="exact"/>
              <w:jc w:val="center"/>
              <w:textAlignment w:val="auto"/>
              <w:rPr>
                <w:rFonts w:cs="宋体"/>
                <w:bCs/>
                <w:color w:val="auto"/>
                <w:kern w:val="2"/>
                <w:sz w:val="21"/>
                <w:szCs w:val="21"/>
              </w:rPr>
            </w:pPr>
            <w:r>
              <w:rPr>
                <w:rFonts w:hint="eastAsia" w:cs="宋体"/>
                <w:bCs/>
                <w:color w:val="auto"/>
                <w:sz w:val="21"/>
                <w:szCs w:val="21"/>
              </w:rPr>
              <w:t>11.1</w:t>
            </w:r>
          </w:p>
        </w:tc>
        <w:tc>
          <w:tcPr>
            <w:tcW w:w="7304" w:type="dxa"/>
            <w:tcBorders>
              <w:bottom w:val="single" w:color="auto" w:sz="4" w:space="0"/>
            </w:tcBorders>
            <w:vAlign w:val="center"/>
          </w:tcPr>
          <w:p w14:paraId="3217FF89">
            <w:pPr>
              <w:pStyle w:val="33"/>
              <w:pageBreakBefore w:val="0"/>
              <w:widowControl w:val="0"/>
              <w:tabs>
                <w:tab w:val="clear" w:pos="4153"/>
                <w:tab w:val="clear" w:pos="8306"/>
              </w:tabs>
              <w:kinsoku/>
              <w:wordWrap/>
              <w:overflowPunct/>
              <w:topLinePunct w:val="0"/>
              <w:autoSpaceDE/>
              <w:autoSpaceDN/>
              <w:bidi w:val="0"/>
              <w:snapToGrid w:val="0"/>
              <w:spacing w:beforeAutospacing="0" w:line="400" w:lineRule="exact"/>
              <w:textAlignment w:val="auto"/>
              <w:rPr>
                <w:rFonts w:cs="宋体"/>
                <w:bCs/>
                <w:color w:val="auto"/>
                <w:kern w:val="2"/>
                <w:sz w:val="21"/>
                <w:szCs w:val="21"/>
              </w:rPr>
            </w:pPr>
            <w:r>
              <w:rPr>
                <w:rFonts w:hint="eastAsia" w:cs="宋体"/>
                <w:bCs/>
                <w:color w:val="auto"/>
                <w:kern w:val="2"/>
                <w:sz w:val="21"/>
                <w:szCs w:val="21"/>
              </w:rPr>
              <w:t>市场价格波动是否调整合同价格的约定：</w:t>
            </w:r>
            <w:r>
              <w:rPr>
                <w:rFonts w:hint="eastAsia" w:cs="宋体"/>
                <w:bCs/>
                <w:color w:val="auto"/>
                <w:kern w:val="2"/>
                <w:sz w:val="21"/>
                <w:szCs w:val="21"/>
                <w:u w:val="single"/>
              </w:rPr>
              <w:t xml:space="preserve"> </w:t>
            </w:r>
            <w:r>
              <w:rPr>
                <w:rFonts w:hint="eastAsia" w:cs="宋体"/>
                <w:bCs/>
                <w:color w:val="auto"/>
                <w:kern w:val="2"/>
                <w:sz w:val="21"/>
                <w:szCs w:val="21"/>
                <w:u w:val="single"/>
                <w:lang w:val="en-US" w:eastAsia="zh-CN"/>
              </w:rPr>
              <w:t>不调整</w:t>
            </w:r>
            <w:r>
              <w:rPr>
                <w:rFonts w:hint="eastAsia" w:cs="宋体"/>
                <w:bCs/>
                <w:color w:val="auto"/>
                <w:kern w:val="2"/>
                <w:sz w:val="21"/>
                <w:szCs w:val="21"/>
                <w:u w:val="single"/>
              </w:rPr>
              <w:t xml:space="preserve">  </w:t>
            </w:r>
            <w:r>
              <w:rPr>
                <w:rFonts w:hint="eastAsia" w:cs="宋体"/>
                <w:bCs/>
                <w:color w:val="auto"/>
                <w:kern w:val="2"/>
                <w:sz w:val="21"/>
                <w:szCs w:val="21"/>
              </w:rPr>
              <w:t>。</w:t>
            </w:r>
          </w:p>
        </w:tc>
      </w:tr>
      <w:tr w14:paraId="004D6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9" w:type="dxa"/>
            <w:vAlign w:val="center"/>
          </w:tcPr>
          <w:p w14:paraId="765033DE">
            <w:pPr>
              <w:pageBreakBefore w:val="0"/>
              <w:widowControl w:val="0"/>
              <w:numPr>
                <w:ilvl w:val="0"/>
                <w:numId w:val="0"/>
              </w:numPr>
              <w:kinsoku/>
              <w:wordWrap/>
              <w:overflowPunct/>
              <w:topLinePunct w:val="0"/>
              <w:autoSpaceDE/>
              <w:autoSpaceDN/>
              <w:bidi w:val="0"/>
              <w:snapToGrid w:val="0"/>
              <w:spacing w:beforeAutospacing="0" w:line="400" w:lineRule="exact"/>
              <w:ind w:leftChars="0"/>
              <w:jc w:val="center"/>
              <w:textAlignment w:val="auto"/>
              <w:rPr>
                <w:rFonts w:hint="eastAsia" w:eastAsia="宋体" w:cs="宋体"/>
                <w:bCs/>
                <w:color w:val="auto"/>
                <w:sz w:val="21"/>
                <w:szCs w:val="21"/>
                <w:lang w:eastAsia="zh-CN"/>
              </w:rPr>
            </w:pPr>
            <w:r>
              <w:rPr>
                <w:rFonts w:hint="eastAsia" w:cs="宋体"/>
                <w:bCs/>
                <w:color w:val="auto"/>
                <w:sz w:val="21"/>
                <w:szCs w:val="21"/>
                <w:lang w:val="en-US" w:eastAsia="zh-CN"/>
              </w:rPr>
              <w:t>8</w:t>
            </w:r>
          </w:p>
        </w:tc>
        <w:tc>
          <w:tcPr>
            <w:tcW w:w="1111" w:type="dxa"/>
            <w:vAlign w:val="center"/>
          </w:tcPr>
          <w:p w14:paraId="1C029203">
            <w:pPr>
              <w:pageBreakBefore w:val="0"/>
              <w:widowControl w:val="0"/>
              <w:kinsoku/>
              <w:wordWrap/>
              <w:overflowPunct/>
              <w:topLinePunct w:val="0"/>
              <w:autoSpaceDE/>
              <w:autoSpaceDN/>
              <w:bidi w:val="0"/>
              <w:snapToGrid w:val="0"/>
              <w:spacing w:beforeAutospacing="0" w:line="400" w:lineRule="exact"/>
              <w:jc w:val="center"/>
              <w:textAlignment w:val="auto"/>
              <w:rPr>
                <w:rFonts w:cs="宋体"/>
                <w:bCs/>
                <w:color w:val="auto"/>
                <w:sz w:val="21"/>
                <w:szCs w:val="21"/>
              </w:rPr>
            </w:pPr>
            <w:r>
              <w:rPr>
                <w:rFonts w:hint="eastAsia" w:cs="宋体"/>
                <w:bCs/>
                <w:color w:val="auto"/>
                <w:sz w:val="21"/>
                <w:szCs w:val="21"/>
              </w:rPr>
              <w:t>12.1</w:t>
            </w:r>
          </w:p>
        </w:tc>
        <w:tc>
          <w:tcPr>
            <w:tcW w:w="7304" w:type="dxa"/>
            <w:tcBorders>
              <w:bottom w:val="single" w:color="auto" w:sz="4" w:space="0"/>
            </w:tcBorders>
            <w:vAlign w:val="center"/>
          </w:tcPr>
          <w:p w14:paraId="3AAD497D">
            <w:pPr>
              <w:pStyle w:val="33"/>
              <w:pageBreakBefore w:val="0"/>
              <w:widowControl w:val="0"/>
              <w:tabs>
                <w:tab w:val="clear" w:pos="4153"/>
                <w:tab w:val="clear" w:pos="8306"/>
              </w:tabs>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合同价格形式</w:t>
            </w:r>
          </w:p>
          <w:p w14:paraId="0B2B559D">
            <w:pPr>
              <w:pStyle w:val="33"/>
              <w:pageBreakBefore w:val="0"/>
              <w:widowControl w:val="0"/>
              <w:tabs>
                <w:tab w:val="clear" w:pos="4153"/>
                <w:tab w:val="clear" w:pos="8306"/>
              </w:tabs>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(1)单价合同。</w:t>
            </w:r>
          </w:p>
          <w:p w14:paraId="16A10D3D">
            <w:pPr>
              <w:pStyle w:val="33"/>
              <w:pageBreakBefore w:val="0"/>
              <w:widowControl w:val="0"/>
              <w:tabs>
                <w:tab w:val="clear" w:pos="4153"/>
                <w:tab w:val="clear" w:pos="8306"/>
              </w:tabs>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综合单价包含的风险范围：</w:t>
            </w:r>
            <w:r>
              <w:rPr>
                <w:rFonts w:hint="eastAsia" w:cs="宋体"/>
                <w:bCs/>
                <w:color w:val="auto"/>
                <w:sz w:val="21"/>
                <w:szCs w:val="21"/>
                <w:u w:val="single"/>
              </w:rPr>
              <w:t xml:space="preserve"> 各种因素引起的材料价格（合同允许调差的材料除外）、 机械使用费、管理费、利润等 </w:t>
            </w:r>
            <w:r>
              <w:rPr>
                <w:rFonts w:hint="eastAsia" w:cs="宋体"/>
                <w:bCs/>
                <w:color w:val="auto"/>
                <w:sz w:val="21"/>
                <w:szCs w:val="21"/>
              </w:rPr>
              <w:t>。</w:t>
            </w:r>
          </w:p>
          <w:p w14:paraId="6C284A9E">
            <w:pPr>
              <w:pStyle w:val="33"/>
              <w:pageBreakBefore w:val="0"/>
              <w:widowControl w:val="0"/>
              <w:tabs>
                <w:tab w:val="clear" w:pos="4153"/>
                <w:tab w:val="clear" w:pos="8306"/>
              </w:tabs>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风险费用的计算方法：</w:t>
            </w:r>
            <w:r>
              <w:rPr>
                <w:rFonts w:hint="eastAsia" w:cs="宋体"/>
                <w:bCs/>
                <w:color w:val="auto"/>
                <w:sz w:val="21"/>
                <w:szCs w:val="21"/>
                <w:u w:val="single"/>
              </w:rPr>
              <w:t xml:space="preserve">              /                    </w:t>
            </w:r>
            <w:r>
              <w:rPr>
                <w:rFonts w:hint="eastAsia" w:cs="宋体"/>
                <w:bCs/>
                <w:color w:val="auto"/>
                <w:sz w:val="21"/>
                <w:szCs w:val="21"/>
              </w:rPr>
              <w:t>。</w:t>
            </w:r>
          </w:p>
          <w:p w14:paraId="59555482">
            <w:pPr>
              <w:pStyle w:val="33"/>
              <w:pageBreakBefore w:val="0"/>
              <w:widowControl w:val="0"/>
              <w:tabs>
                <w:tab w:val="clear" w:pos="4153"/>
                <w:tab w:val="clear" w:pos="8306"/>
              </w:tabs>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风险范围以外合同价格的调整方法：</w:t>
            </w:r>
            <w:r>
              <w:rPr>
                <w:rFonts w:hint="eastAsia" w:cs="宋体"/>
                <w:bCs/>
                <w:color w:val="auto"/>
                <w:sz w:val="21"/>
                <w:szCs w:val="21"/>
                <w:u w:val="single"/>
              </w:rPr>
              <w:t xml:space="preserve">     /                 </w:t>
            </w:r>
            <w:r>
              <w:rPr>
                <w:rFonts w:hint="eastAsia" w:cs="宋体"/>
                <w:bCs/>
                <w:color w:val="auto"/>
                <w:sz w:val="21"/>
                <w:szCs w:val="21"/>
              </w:rPr>
              <w:t>。</w:t>
            </w:r>
          </w:p>
          <w:p w14:paraId="17698816">
            <w:pPr>
              <w:pStyle w:val="33"/>
              <w:pageBreakBefore w:val="0"/>
              <w:widowControl w:val="0"/>
              <w:tabs>
                <w:tab w:val="clear" w:pos="4153"/>
                <w:tab w:val="clear" w:pos="8306"/>
              </w:tabs>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(2)总价合同。</w:t>
            </w:r>
          </w:p>
          <w:p w14:paraId="76364F3C">
            <w:pPr>
              <w:pStyle w:val="33"/>
              <w:pageBreakBefore w:val="0"/>
              <w:widowControl w:val="0"/>
              <w:tabs>
                <w:tab w:val="clear" w:pos="4153"/>
                <w:tab w:val="clear" w:pos="8306"/>
              </w:tabs>
              <w:kinsoku/>
              <w:wordWrap/>
              <w:overflowPunct/>
              <w:topLinePunct w:val="0"/>
              <w:autoSpaceDE/>
              <w:autoSpaceDN/>
              <w:bidi w:val="0"/>
              <w:snapToGrid w:val="0"/>
              <w:spacing w:beforeAutospacing="0" w:line="400" w:lineRule="exact"/>
              <w:textAlignment w:val="auto"/>
              <w:rPr>
                <w:rFonts w:hint="eastAsia" w:eastAsia="宋体" w:cs="宋体"/>
                <w:bCs/>
                <w:color w:val="auto"/>
                <w:sz w:val="21"/>
                <w:szCs w:val="21"/>
                <w:lang w:val="en-US" w:eastAsia="zh-CN"/>
              </w:rPr>
            </w:pPr>
            <w:r>
              <w:rPr>
                <w:rFonts w:hint="eastAsia" w:cs="宋体"/>
                <w:bCs/>
                <w:color w:val="auto"/>
                <w:sz w:val="21"/>
                <w:szCs w:val="21"/>
              </w:rPr>
              <w:t>总价包含的风险范围：</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u w:val="none"/>
                <w:lang w:eastAsia="zh-CN"/>
              </w:rPr>
              <w:t>。</w:t>
            </w:r>
          </w:p>
          <w:p w14:paraId="454C6977">
            <w:pPr>
              <w:pStyle w:val="33"/>
              <w:pageBreakBefore w:val="0"/>
              <w:widowControl w:val="0"/>
              <w:tabs>
                <w:tab w:val="clear" w:pos="4153"/>
                <w:tab w:val="clear" w:pos="8306"/>
              </w:tabs>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风险费用的计算方法：</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p w14:paraId="7DF76E6C">
            <w:pPr>
              <w:pStyle w:val="33"/>
              <w:pageBreakBefore w:val="0"/>
              <w:widowControl w:val="0"/>
              <w:tabs>
                <w:tab w:val="clear" w:pos="4153"/>
                <w:tab w:val="clear" w:pos="8306"/>
              </w:tabs>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风险范围以外合同价格的调整方法：</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p w14:paraId="26E06AE8">
            <w:pPr>
              <w:pStyle w:val="33"/>
              <w:pageBreakBefore w:val="0"/>
              <w:widowControl w:val="0"/>
              <w:tabs>
                <w:tab w:val="clear" w:pos="4153"/>
                <w:tab w:val="clear" w:pos="8306"/>
              </w:tabs>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（3）其他价格方式：</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tc>
      </w:tr>
      <w:tr w14:paraId="3E50F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9" w:type="dxa"/>
            <w:vAlign w:val="center"/>
          </w:tcPr>
          <w:p w14:paraId="4D4F1B9F">
            <w:pPr>
              <w:pageBreakBefore w:val="0"/>
              <w:widowControl w:val="0"/>
              <w:numPr>
                <w:ilvl w:val="0"/>
                <w:numId w:val="0"/>
              </w:numPr>
              <w:kinsoku/>
              <w:wordWrap/>
              <w:overflowPunct/>
              <w:topLinePunct w:val="0"/>
              <w:autoSpaceDE/>
              <w:autoSpaceDN/>
              <w:bidi w:val="0"/>
              <w:snapToGrid w:val="0"/>
              <w:spacing w:beforeAutospacing="0" w:line="400" w:lineRule="exact"/>
              <w:ind w:leftChars="0"/>
              <w:jc w:val="center"/>
              <w:textAlignment w:val="auto"/>
              <w:rPr>
                <w:rFonts w:hint="eastAsia" w:eastAsia="宋体" w:cs="宋体"/>
                <w:bCs/>
                <w:color w:val="auto"/>
                <w:kern w:val="2"/>
                <w:sz w:val="21"/>
                <w:szCs w:val="21"/>
                <w:lang w:eastAsia="zh-CN"/>
              </w:rPr>
            </w:pPr>
            <w:r>
              <w:rPr>
                <w:rFonts w:hint="eastAsia" w:cs="宋体"/>
                <w:bCs/>
                <w:color w:val="auto"/>
                <w:kern w:val="2"/>
                <w:sz w:val="21"/>
                <w:szCs w:val="21"/>
                <w:lang w:val="en-US" w:eastAsia="zh-CN"/>
              </w:rPr>
              <w:t>9</w:t>
            </w:r>
          </w:p>
        </w:tc>
        <w:tc>
          <w:tcPr>
            <w:tcW w:w="1111" w:type="dxa"/>
            <w:vAlign w:val="center"/>
          </w:tcPr>
          <w:p w14:paraId="3FE3E207">
            <w:pPr>
              <w:pageBreakBefore w:val="0"/>
              <w:widowControl w:val="0"/>
              <w:kinsoku/>
              <w:wordWrap/>
              <w:overflowPunct/>
              <w:topLinePunct w:val="0"/>
              <w:autoSpaceDE/>
              <w:autoSpaceDN/>
              <w:bidi w:val="0"/>
              <w:snapToGrid w:val="0"/>
              <w:spacing w:beforeAutospacing="0" w:line="400" w:lineRule="exact"/>
              <w:jc w:val="center"/>
              <w:textAlignment w:val="auto"/>
              <w:rPr>
                <w:rFonts w:cs="宋体"/>
                <w:bCs/>
                <w:color w:val="auto"/>
                <w:kern w:val="2"/>
                <w:sz w:val="21"/>
                <w:szCs w:val="21"/>
              </w:rPr>
            </w:pPr>
            <w:r>
              <w:rPr>
                <w:rFonts w:hint="eastAsia" w:cs="宋体"/>
                <w:bCs/>
                <w:color w:val="auto"/>
                <w:sz w:val="21"/>
                <w:szCs w:val="21"/>
              </w:rPr>
              <w:t xml:space="preserve">12.2.1 </w:t>
            </w:r>
          </w:p>
        </w:tc>
        <w:tc>
          <w:tcPr>
            <w:tcW w:w="7304" w:type="dxa"/>
            <w:tcBorders>
              <w:bottom w:val="single" w:color="auto" w:sz="4" w:space="0"/>
            </w:tcBorders>
            <w:vAlign w:val="center"/>
          </w:tcPr>
          <w:p w14:paraId="739955BF">
            <w:pPr>
              <w:pageBreakBefore w:val="0"/>
              <w:widowControl w:val="0"/>
              <w:kinsoku/>
              <w:wordWrap/>
              <w:overflowPunct/>
              <w:topLinePunct w:val="0"/>
              <w:autoSpaceDE/>
              <w:autoSpaceDN/>
              <w:bidi w:val="0"/>
              <w:adjustRightInd w:val="0"/>
              <w:snapToGrid w:val="0"/>
              <w:spacing w:beforeAutospacing="0" w:line="400" w:lineRule="exact"/>
              <w:textAlignment w:val="auto"/>
              <w:rPr>
                <w:rFonts w:cs="宋体"/>
                <w:bCs/>
                <w:color w:val="auto"/>
                <w:sz w:val="21"/>
                <w:szCs w:val="21"/>
              </w:rPr>
            </w:pPr>
            <w:r>
              <w:rPr>
                <w:rFonts w:hint="eastAsia" w:cs="宋体"/>
                <w:bCs/>
                <w:color w:val="auto"/>
                <w:sz w:val="21"/>
                <w:szCs w:val="21"/>
              </w:rPr>
              <w:t>预付款的支付</w:t>
            </w:r>
          </w:p>
          <w:p w14:paraId="25D98357">
            <w:pPr>
              <w:pageBreakBefore w:val="0"/>
              <w:widowControl w:val="0"/>
              <w:kinsoku/>
              <w:wordWrap/>
              <w:overflowPunct/>
              <w:topLinePunct w:val="0"/>
              <w:autoSpaceDE/>
              <w:autoSpaceDN/>
              <w:bidi w:val="0"/>
              <w:adjustRightInd w:val="0"/>
              <w:snapToGrid w:val="0"/>
              <w:spacing w:beforeAutospacing="0" w:line="400" w:lineRule="exact"/>
              <w:textAlignment w:val="auto"/>
              <w:rPr>
                <w:rFonts w:hint="default" w:eastAsia="宋体" w:cs="宋体"/>
                <w:bCs/>
                <w:color w:val="auto"/>
                <w:sz w:val="21"/>
                <w:szCs w:val="21"/>
                <w:lang w:val="en-US" w:eastAsia="zh-CN"/>
              </w:rPr>
            </w:pPr>
            <w:r>
              <w:rPr>
                <w:rFonts w:hint="eastAsia" w:cs="宋体"/>
                <w:bCs/>
                <w:color w:val="auto"/>
                <w:sz w:val="21"/>
                <w:szCs w:val="21"/>
              </w:rPr>
              <w:t>预付款支付比例或金额：</w:t>
            </w:r>
            <w:r>
              <w:rPr>
                <w:rFonts w:hint="eastAsia" w:cs="宋体"/>
                <w:bCs/>
                <w:color w:val="auto"/>
                <w:sz w:val="21"/>
                <w:szCs w:val="21"/>
                <w:u w:val="single"/>
              </w:rPr>
              <w:t xml:space="preserve"> </w:t>
            </w:r>
            <w:r>
              <w:rPr>
                <w:rFonts w:hint="eastAsia" w:cs="宋体"/>
                <w:bCs/>
                <w:color w:val="auto"/>
                <w:sz w:val="21"/>
                <w:szCs w:val="21"/>
                <w:u w:val="single"/>
                <w:lang w:val="en-US" w:eastAsia="zh-CN"/>
              </w:rPr>
              <w:t xml:space="preserve">   /  </w:t>
            </w:r>
          </w:p>
          <w:p w14:paraId="6CC8CB26">
            <w:pPr>
              <w:pageBreakBefore w:val="0"/>
              <w:widowControl w:val="0"/>
              <w:kinsoku/>
              <w:wordWrap/>
              <w:overflowPunct/>
              <w:topLinePunct w:val="0"/>
              <w:autoSpaceDE/>
              <w:autoSpaceDN/>
              <w:bidi w:val="0"/>
              <w:adjustRightInd w:val="0"/>
              <w:snapToGrid w:val="0"/>
              <w:spacing w:beforeAutospacing="0" w:line="400" w:lineRule="exact"/>
              <w:textAlignment w:val="auto"/>
              <w:rPr>
                <w:rFonts w:hint="default" w:eastAsia="宋体" w:cs="宋体"/>
                <w:bCs/>
                <w:color w:val="auto"/>
                <w:sz w:val="21"/>
                <w:szCs w:val="21"/>
                <w:lang w:val="en-US" w:eastAsia="zh-CN"/>
              </w:rPr>
            </w:pPr>
            <w:r>
              <w:rPr>
                <w:rFonts w:hint="eastAsia" w:cs="宋体"/>
                <w:bCs/>
                <w:color w:val="auto"/>
                <w:sz w:val="21"/>
                <w:szCs w:val="21"/>
              </w:rPr>
              <w:t>预付款支付期限：</w:t>
            </w:r>
            <w:r>
              <w:rPr>
                <w:rFonts w:hint="eastAsia" w:cs="宋体"/>
                <w:bCs/>
                <w:color w:val="auto"/>
                <w:sz w:val="21"/>
                <w:szCs w:val="21"/>
                <w:u w:val="single"/>
                <w:lang w:val="en-US" w:eastAsia="zh-CN"/>
              </w:rPr>
              <w:t xml:space="preserve">   /  </w:t>
            </w:r>
          </w:p>
          <w:p w14:paraId="1FD06F66">
            <w:pPr>
              <w:pageBreakBefore w:val="0"/>
              <w:widowControl w:val="0"/>
              <w:kinsoku/>
              <w:wordWrap/>
              <w:overflowPunct/>
              <w:topLinePunct w:val="0"/>
              <w:autoSpaceDE/>
              <w:autoSpaceDN/>
              <w:bidi w:val="0"/>
              <w:adjustRightInd w:val="0"/>
              <w:snapToGrid w:val="0"/>
              <w:spacing w:beforeAutospacing="0" w:line="400" w:lineRule="exact"/>
              <w:textAlignment w:val="auto"/>
              <w:rPr>
                <w:rFonts w:cs="宋体"/>
                <w:bCs/>
                <w:color w:val="auto"/>
                <w:kern w:val="2"/>
                <w:sz w:val="21"/>
                <w:szCs w:val="21"/>
              </w:rPr>
            </w:pPr>
            <w:r>
              <w:rPr>
                <w:rFonts w:hint="eastAsia" w:cs="宋体"/>
                <w:bCs/>
                <w:color w:val="auto"/>
                <w:sz w:val="21"/>
                <w:szCs w:val="21"/>
              </w:rPr>
              <w:t>预付款扣回的方式：</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p>
        </w:tc>
      </w:tr>
      <w:tr w14:paraId="6918D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 w:hRule="atLeast"/>
          <w:jc w:val="center"/>
        </w:trPr>
        <w:tc>
          <w:tcPr>
            <w:tcW w:w="629" w:type="dxa"/>
            <w:vAlign w:val="center"/>
          </w:tcPr>
          <w:p w14:paraId="1F62FCBA">
            <w:pPr>
              <w:pageBreakBefore w:val="0"/>
              <w:widowControl w:val="0"/>
              <w:numPr>
                <w:ilvl w:val="0"/>
                <w:numId w:val="0"/>
              </w:numPr>
              <w:kinsoku/>
              <w:wordWrap/>
              <w:overflowPunct/>
              <w:topLinePunct w:val="0"/>
              <w:autoSpaceDE/>
              <w:autoSpaceDN/>
              <w:bidi w:val="0"/>
              <w:snapToGrid w:val="0"/>
              <w:spacing w:beforeAutospacing="0" w:line="400" w:lineRule="exact"/>
              <w:ind w:leftChars="0"/>
              <w:jc w:val="center"/>
              <w:textAlignment w:val="auto"/>
              <w:rPr>
                <w:rFonts w:hint="default" w:eastAsia="宋体" w:cs="宋体"/>
                <w:bCs/>
                <w:color w:val="auto"/>
                <w:kern w:val="2"/>
                <w:sz w:val="21"/>
                <w:szCs w:val="21"/>
                <w:lang w:val="en-US" w:eastAsia="zh-CN"/>
              </w:rPr>
            </w:pPr>
            <w:r>
              <w:rPr>
                <w:rFonts w:hint="eastAsia" w:cs="宋体"/>
                <w:bCs/>
                <w:color w:val="auto"/>
                <w:kern w:val="2"/>
                <w:sz w:val="21"/>
                <w:szCs w:val="21"/>
                <w:lang w:val="en-US" w:eastAsia="zh-CN"/>
              </w:rPr>
              <w:t>10</w:t>
            </w:r>
          </w:p>
        </w:tc>
        <w:tc>
          <w:tcPr>
            <w:tcW w:w="1111" w:type="dxa"/>
            <w:vAlign w:val="center"/>
          </w:tcPr>
          <w:p w14:paraId="43E1A527">
            <w:pPr>
              <w:pageBreakBefore w:val="0"/>
              <w:widowControl w:val="0"/>
              <w:kinsoku/>
              <w:wordWrap/>
              <w:overflowPunct/>
              <w:topLinePunct w:val="0"/>
              <w:autoSpaceDE/>
              <w:autoSpaceDN/>
              <w:bidi w:val="0"/>
              <w:snapToGrid w:val="0"/>
              <w:spacing w:beforeAutospacing="0" w:line="400" w:lineRule="exact"/>
              <w:jc w:val="center"/>
              <w:textAlignment w:val="auto"/>
              <w:rPr>
                <w:rFonts w:cs="宋体"/>
                <w:bCs/>
                <w:color w:val="auto"/>
                <w:kern w:val="2"/>
                <w:sz w:val="21"/>
                <w:szCs w:val="21"/>
              </w:rPr>
            </w:pPr>
            <w:r>
              <w:rPr>
                <w:rFonts w:hint="eastAsia" w:cs="宋体"/>
                <w:bCs/>
                <w:color w:val="auto"/>
                <w:sz w:val="21"/>
                <w:szCs w:val="21"/>
              </w:rPr>
              <w:t>12.2.2</w:t>
            </w:r>
          </w:p>
        </w:tc>
        <w:tc>
          <w:tcPr>
            <w:tcW w:w="7304" w:type="dxa"/>
            <w:tcBorders>
              <w:bottom w:val="single" w:color="auto" w:sz="4" w:space="0"/>
            </w:tcBorders>
            <w:vAlign w:val="center"/>
          </w:tcPr>
          <w:p w14:paraId="566EFF36">
            <w:pPr>
              <w:pageBreakBefore w:val="0"/>
              <w:widowControl w:val="0"/>
              <w:kinsoku/>
              <w:wordWrap/>
              <w:overflowPunct/>
              <w:topLinePunct w:val="0"/>
              <w:autoSpaceDE/>
              <w:autoSpaceDN/>
              <w:bidi w:val="0"/>
              <w:adjustRightInd w:val="0"/>
              <w:snapToGrid w:val="0"/>
              <w:spacing w:beforeAutospacing="0" w:line="400" w:lineRule="exact"/>
              <w:textAlignment w:val="auto"/>
              <w:rPr>
                <w:rFonts w:cs="宋体"/>
                <w:bCs/>
                <w:color w:val="auto"/>
                <w:sz w:val="21"/>
                <w:szCs w:val="21"/>
              </w:rPr>
            </w:pPr>
            <w:r>
              <w:rPr>
                <w:rFonts w:hint="eastAsia" w:cs="宋体"/>
                <w:bCs/>
                <w:color w:val="auto"/>
                <w:sz w:val="21"/>
                <w:szCs w:val="21"/>
              </w:rPr>
              <w:t>预付款担保</w:t>
            </w:r>
          </w:p>
          <w:p w14:paraId="329D1C94">
            <w:pPr>
              <w:pageBreakBefore w:val="0"/>
              <w:widowControl w:val="0"/>
              <w:kinsoku/>
              <w:wordWrap/>
              <w:overflowPunct/>
              <w:topLinePunct w:val="0"/>
              <w:autoSpaceDE/>
              <w:autoSpaceDN/>
              <w:bidi w:val="0"/>
              <w:adjustRightInd w:val="0"/>
              <w:snapToGrid w:val="0"/>
              <w:spacing w:beforeAutospacing="0" w:line="400" w:lineRule="exact"/>
              <w:textAlignment w:val="auto"/>
              <w:rPr>
                <w:rFonts w:hint="default" w:eastAsia="宋体" w:cs="宋体"/>
                <w:bCs/>
                <w:color w:val="auto"/>
                <w:sz w:val="21"/>
                <w:szCs w:val="21"/>
                <w:lang w:val="en-US" w:eastAsia="zh-CN"/>
              </w:rPr>
            </w:pPr>
            <w:r>
              <w:rPr>
                <w:rFonts w:hint="eastAsia" w:cs="宋体"/>
                <w:bCs/>
                <w:color w:val="auto"/>
                <w:sz w:val="21"/>
                <w:szCs w:val="21"/>
              </w:rPr>
              <w:t>承包人提交预付款担保的期限：</w:t>
            </w:r>
            <w:r>
              <w:rPr>
                <w:rFonts w:hint="eastAsia" w:cs="宋体"/>
                <w:bCs/>
                <w:color w:val="auto"/>
                <w:sz w:val="21"/>
                <w:szCs w:val="21"/>
                <w:u w:val="single"/>
                <w:lang w:val="en-US" w:eastAsia="zh-CN"/>
              </w:rPr>
              <w:t xml:space="preserve">  /  </w:t>
            </w:r>
          </w:p>
          <w:p w14:paraId="7B13375D">
            <w:pPr>
              <w:pageBreakBefore w:val="0"/>
              <w:widowControl w:val="0"/>
              <w:kinsoku/>
              <w:wordWrap/>
              <w:overflowPunct/>
              <w:topLinePunct w:val="0"/>
              <w:autoSpaceDE/>
              <w:autoSpaceDN/>
              <w:bidi w:val="0"/>
              <w:adjustRightInd w:val="0"/>
              <w:snapToGrid w:val="0"/>
              <w:spacing w:beforeAutospacing="0" w:line="400" w:lineRule="exact"/>
              <w:textAlignment w:val="auto"/>
              <w:rPr>
                <w:rFonts w:hint="default" w:eastAsia="宋体" w:cs="宋体"/>
                <w:bCs/>
                <w:color w:val="auto"/>
                <w:kern w:val="2"/>
                <w:sz w:val="21"/>
                <w:szCs w:val="21"/>
                <w:lang w:val="en-US" w:eastAsia="zh-CN"/>
              </w:rPr>
            </w:pPr>
            <w:r>
              <w:rPr>
                <w:rFonts w:hint="eastAsia" w:cs="宋体"/>
                <w:bCs/>
                <w:color w:val="auto"/>
                <w:sz w:val="21"/>
                <w:szCs w:val="21"/>
              </w:rPr>
              <w:t>预付款担保的形式为：</w:t>
            </w:r>
            <w:r>
              <w:rPr>
                <w:rFonts w:hint="eastAsia" w:cs="宋体"/>
                <w:bCs/>
                <w:color w:val="auto"/>
                <w:sz w:val="21"/>
                <w:szCs w:val="21"/>
                <w:u w:val="single"/>
                <w:lang w:val="en-US" w:eastAsia="zh-CN"/>
              </w:rPr>
              <w:t xml:space="preserve">  /  </w:t>
            </w:r>
          </w:p>
        </w:tc>
      </w:tr>
      <w:tr w14:paraId="19BBE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9" w:type="dxa"/>
            <w:vAlign w:val="center"/>
          </w:tcPr>
          <w:p w14:paraId="1097AAA2">
            <w:pPr>
              <w:pageBreakBefore w:val="0"/>
              <w:widowControl w:val="0"/>
              <w:numPr>
                <w:ilvl w:val="0"/>
                <w:numId w:val="0"/>
              </w:numPr>
              <w:kinsoku/>
              <w:wordWrap/>
              <w:overflowPunct/>
              <w:topLinePunct w:val="0"/>
              <w:autoSpaceDE/>
              <w:autoSpaceDN/>
              <w:bidi w:val="0"/>
              <w:snapToGrid w:val="0"/>
              <w:spacing w:beforeAutospacing="0" w:line="400" w:lineRule="exact"/>
              <w:ind w:leftChars="0"/>
              <w:jc w:val="center"/>
              <w:textAlignment w:val="auto"/>
              <w:rPr>
                <w:rFonts w:hint="default" w:eastAsia="宋体" w:cs="宋体"/>
                <w:bCs/>
                <w:color w:val="auto"/>
                <w:kern w:val="2"/>
                <w:sz w:val="21"/>
                <w:szCs w:val="21"/>
                <w:lang w:val="en-US" w:eastAsia="zh-CN"/>
              </w:rPr>
            </w:pPr>
            <w:r>
              <w:rPr>
                <w:rFonts w:hint="eastAsia" w:cs="宋体"/>
                <w:bCs/>
                <w:color w:val="auto"/>
                <w:kern w:val="2"/>
                <w:sz w:val="21"/>
                <w:szCs w:val="21"/>
                <w:lang w:val="en-US" w:eastAsia="zh-CN"/>
              </w:rPr>
              <w:t>11</w:t>
            </w:r>
          </w:p>
        </w:tc>
        <w:tc>
          <w:tcPr>
            <w:tcW w:w="1111" w:type="dxa"/>
            <w:vAlign w:val="center"/>
          </w:tcPr>
          <w:p w14:paraId="2BF6860F">
            <w:pPr>
              <w:pageBreakBefore w:val="0"/>
              <w:widowControl w:val="0"/>
              <w:kinsoku/>
              <w:wordWrap/>
              <w:overflowPunct/>
              <w:topLinePunct w:val="0"/>
              <w:autoSpaceDE/>
              <w:autoSpaceDN/>
              <w:bidi w:val="0"/>
              <w:snapToGrid w:val="0"/>
              <w:spacing w:beforeAutospacing="0" w:line="400" w:lineRule="exact"/>
              <w:jc w:val="center"/>
              <w:textAlignment w:val="auto"/>
              <w:rPr>
                <w:rFonts w:cs="宋体"/>
                <w:bCs/>
                <w:color w:val="auto"/>
                <w:sz w:val="21"/>
                <w:szCs w:val="21"/>
              </w:rPr>
            </w:pPr>
            <w:r>
              <w:rPr>
                <w:rFonts w:hint="eastAsia" w:cs="宋体"/>
                <w:bCs/>
                <w:color w:val="auto"/>
                <w:sz w:val="21"/>
                <w:szCs w:val="21"/>
              </w:rPr>
              <w:t>12.4.1</w:t>
            </w:r>
          </w:p>
        </w:tc>
        <w:tc>
          <w:tcPr>
            <w:tcW w:w="7304" w:type="dxa"/>
            <w:tcBorders>
              <w:bottom w:val="single" w:color="auto" w:sz="4" w:space="0"/>
            </w:tcBorders>
            <w:vAlign w:val="center"/>
          </w:tcPr>
          <w:p w14:paraId="7C25C3CB">
            <w:pPr>
              <w:pageBreakBefore w:val="0"/>
              <w:widowControl w:val="0"/>
              <w:kinsoku/>
              <w:wordWrap/>
              <w:overflowPunct/>
              <w:topLinePunct w:val="0"/>
              <w:autoSpaceDE/>
              <w:autoSpaceDN/>
              <w:bidi w:val="0"/>
              <w:adjustRightInd w:val="0"/>
              <w:snapToGrid w:val="0"/>
              <w:spacing w:beforeAutospacing="0" w:line="400" w:lineRule="exact"/>
              <w:textAlignment w:val="auto"/>
              <w:rPr>
                <w:rFonts w:cs="宋体"/>
                <w:bCs/>
                <w:color w:val="auto"/>
                <w:sz w:val="21"/>
                <w:szCs w:val="21"/>
              </w:rPr>
            </w:pPr>
            <w:r>
              <w:rPr>
                <w:rFonts w:hint="eastAsia" w:cs="宋体"/>
                <w:bCs/>
                <w:color w:val="auto"/>
                <w:sz w:val="21"/>
                <w:szCs w:val="21"/>
              </w:rPr>
              <w:t>付款周期的约定</w:t>
            </w:r>
            <w:r>
              <w:rPr>
                <w:rFonts w:hint="eastAsia" w:cs="宋体"/>
                <w:b w:val="0"/>
                <w:bCs/>
                <w:color w:val="auto"/>
                <w:sz w:val="21"/>
                <w:szCs w:val="21"/>
                <w:u w:val="single"/>
              </w:rPr>
              <w:t>：</w:t>
            </w:r>
            <w:r>
              <w:rPr>
                <w:rFonts w:hint="eastAsia" w:cs="宋体"/>
                <w:b w:val="0"/>
                <w:bCs/>
                <w:color w:val="auto"/>
                <w:sz w:val="21"/>
                <w:szCs w:val="21"/>
                <w:u w:val="single"/>
                <w:lang w:val="en-US" w:eastAsia="zh-CN"/>
              </w:rPr>
              <w:t>工程竣工并验收合格</w:t>
            </w:r>
            <w:r>
              <w:rPr>
                <w:rFonts w:hint="eastAsia" w:cs="宋体"/>
                <w:b w:val="0"/>
                <w:bCs/>
                <w:color w:val="auto"/>
                <w:sz w:val="21"/>
                <w:szCs w:val="21"/>
                <w:u w:val="single"/>
              </w:rPr>
              <w:t>完成结算审核后付至结算审核价款的100%。同时承包人须提交结算审核价款的2%（作为工程质量保证金）至采购人处。质量保证金支持保函（银行保函、担保机构担保、保证保险）使用，保函有效期须与工程缺陷责任期截止时间保持一致。</w:t>
            </w:r>
          </w:p>
        </w:tc>
      </w:tr>
      <w:tr w14:paraId="29F29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9" w:type="dxa"/>
            <w:vAlign w:val="center"/>
          </w:tcPr>
          <w:p w14:paraId="17F34A24">
            <w:pPr>
              <w:pageBreakBefore w:val="0"/>
              <w:widowControl w:val="0"/>
              <w:numPr>
                <w:ilvl w:val="0"/>
                <w:numId w:val="0"/>
              </w:numPr>
              <w:kinsoku/>
              <w:wordWrap/>
              <w:overflowPunct/>
              <w:topLinePunct w:val="0"/>
              <w:autoSpaceDE/>
              <w:autoSpaceDN/>
              <w:bidi w:val="0"/>
              <w:snapToGrid w:val="0"/>
              <w:spacing w:beforeAutospacing="0" w:line="400" w:lineRule="exact"/>
              <w:ind w:leftChars="0"/>
              <w:jc w:val="center"/>
              <w:textAlignment w:val="auto"/>
              <w:rPr>
                <w:rFonts w:hint="default" w:eastAsia="宋体" w:cs="宋体"/>
                <w:bCs/>
                <w:color w:val="auto"/>
                <w:kern w:val="2"/>
                <w:sz w:val="21"/>
                <w:szCs w:val="21"/>
                <w:lang w:val="en-US" w:eastAsia="zh-CN"/>
              </w:rPr>
            </w:pPr>
            <w:r>
              <w:rPr>
                <w:rFonts w:hint="eastAsia" w:cs="宋体"/>
                <w:bCs/>
                <w:color w:val="auto"/>
                <w:kern w:val="2"/>
                <w:sz w:val="21"/>
                <w:szCs w:val="21"/>
                <w:lang w:val="en-US" w:eastAsia="zh-CN"/>
              </w:rPr>
              <w:t>12</w:t>
            </w:r>
          </w:p>
        </w:tc>
        <w:tc>
          <w:tcPr>
            <w:tcW w:w="1111" w:type="dxa"/>
            <w:vAlign w:val="center"/>
          </w:tcPr>
          <w:p w14:paraId="65AF51E9">
            <w:pPr>
              <w:pageBreakBefore w:val="0"/>
              <w:widowControl w:val="0"/>
              <w:kinsoku/>
              <w:wordWrap/>
              <w:overflowPunct/>
              <w:topLinePunct w:val="0"/>
              <w:autoSpaceDE/>
              <w:autoSpaceDN/>
              <w:bidi w:val="0"/>
              <w:snapToGrid w:val="0"/>
              <w:spacing w:beforeAutospacing="0" w:line="400" w:lineRule="exact"/>
              <w:jc w:val="center"/>
              <w:textAlignment w:val="auto"/>
              <w:rPr>
                <w:rFonts w:cs="宋体"/>
                <w:bCs/>
                <w:color w:val="auto"/>
                <w:kern w:val="2"/>
                <w:sz w:val="21"/>
                <w:szCs w:val="21"/>
              </w:rPr>
            </w:pPr>
            <w:r>
              <w:rPr>
                <w:rFonts w:hint="eastAsia" w:cs="宋体"/>
                <w:bCs/>
                <w:color w:val="auto"/>
                <w:sz w:val="21"/>
                <w:szCs w:val="21"/>
              </w:rPr>
              <w:t>15.2.1</w:t>
            </w:r>
          </w:p>
        </w:tc>
        <w:tc>
          <w:tcPr>
            <w:tcW w:w="7304" w:type="dxa"/>
            <w:vAlign w:val="center"/>
          </w:tcPr>
          <w:p w14:paraId="1F0C03A3">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kern w:val="2"/>
                <w:sz w:val="21"/>
                <w:szCs w:val="21"/>
              </w:rPr>
            </w:pPr>
            <w:r>
              <w:rPr>
                <w:rFonts w:hint="eastAsia" w:cs="宋体"/>
                <w:color w:val="auto"/>
                <w:sz w:val="21"/>
                <w:szCs w:val="21"/>
              </w:rPr>
              <w:t>缺陷责任期的具体期限：</w:t>
            </w:r>
            <w:r>
              <w:rPr>
                <w:rFonts w:hint="eastAsia" w:cs="宋体"/>
                <w:color w:val="auto"/>
                <w:sz w:val="21"/>
                <w:szCs w:val="21"/>
                <w:u w:val="single"/>
              </w:rPr>
              <w:t xml:space="preserve"> </w:t>
            </w:r>
            <w:r>
              <w:rPr>
                <w:rFonts w:hint="eastAsia" w:ascii="宋体" w:hAnsi="宋体" w:eastAsia="宋体" w:cs="宋体"/>
                <w:color w:val="auto"/>
                <w:sz w:val="21"/>
                <w:szCs w:val="21"/>
                <w:highlight w:val="none"/>
                <w:u w:val="single"/>
                <w:lang w:val="en-US" w:eastAsia="zh-CN"/>
              </w:rPr>
              <w:t>自验收合格之日起满</w:t>
            </w:r>
            <w:r>
              <w:rPr>
                <w:rFonts w:hint="eastAsia" w:cs="宋体"/>
                <w:color w:val="auto"/>
                <w:sz w:val="21"/>
                <w:szCs w:val="21"/>
                <w:highlight w:val="none"/>
                <w:u w:val="single"/>
                <w:lang w:val="en-US" w:eastAsia="zh-CN"/>
              </w:rPr>
              <w:t>2</w:t>
            </w:r>
            <w:r>
              <w:rPr>
                <w:rFonts w:hint="eastAsia" w:ascii="宋体" w:hAnsi="宋体" w:eastAsia="宋体" w:cs="宋体"/>
                <w:color w:val="auto"/>
                <w:sz w:val="21"/>
                <w:szCs w:val="21"/>
                <w:highlight w:val="none"/>
                <w:u w:val="single"/>
                <w:lang w:val="en-US" w:eastAsia="zh-CN"/>
              </w:rPr>
              <w:t>年。</w:t>
            </w:r>
          </w:p>
        </w:tc>
      </w:tr>
      <w:tr w14:paraId="3EDF8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9" w:hRule="atLeast"/>
          <w:jc w:val="center"/>
        </w:trPr>
        <w:tc>
          <w:tcPr>
            <w:tcW w:w="629" w:type="dxa"/>
            <w:vAlign w:val="center"/>
          </w:tcPr>
          <w:p w14:paraId="6A7283A8">
            <w:pPr>
              <w:pageBreakBefore w:val="0"/>
              <w:widowControl w:val="0"/>
              <w:numPr>
                <w:ilvl w:val="0"/>
                <w:numId w:val="0"/>
              </w:numPr>
              <w:kinsoku/>
              <w:wordWrap/>
              <w:overflowPunct/>
              <w:topLinePunct w:val="0"/>
              <w:autoSpaceDE/>
              <w:autoSpaceDN/>
              <w:bidi w:val="0"/>
              <w:snapToGrid w:val="0"/>
              <w:spacing w:beforeAutospacing="0" w:line="400" w:lineRule="exact"/>
              <w:ind w:leftChars="0"/>
              <w:jc w:val="center"/>
              <w:textAlignment w:val="auto"/>
              <w:rPr>
                <w:rFonts w:hint="default" w:eastAsia="宋体" w:cs="宋体"/>
                <w:bCs/>
                <w:color w:val="auto"/>
                <w:kern w:val="2"/>
                <w:sz w:val="21"/>
                <w:szCs w:val="21"/>
                <w:lang w:val="en-US" w:eastAsia="zh-CN"/>
              </w:rPr>
            </w:pPr>
            <w:r>
              <w:rPr>
                <w:rFonts w:hint="eastAsia" w:cs="宋体"/>
                <w:bCs/>
                <w:color w:val="auto"/>
                <w:kern w:val="2"/>
                <w:sz w:val="21"/>
                <w:szCs w:val="21"/>
                <w:lang w:val="en-US" w:eastAsia="zh-CN"/>
              </w:rPr>
              <w:t>13</w:t>
            </w:r>
          </w:p>
        </w:tc>
        <w:tc>
          <w:tcPr>
            <w:tcW w:w="1111" w:type="dxa"/>
            <w:vAlign w:val="center"/>
          </w:tcPr>
          <w:p w14:paraId="374FB625">
            <w:pPr>
              <w:pageBreakBefore w:val="0"/>
              <w:widowControl w:val="0"/>
              <w:kinsoku/>
              <w:wordWrap/>
              <w:overflowPunct/>
              <w:topLinePunct w:val="0"/>
              <w:autoSpaceDE/>
              <w:autoSpaceDN/>
              <w:bidi w:val="0"/>
              <w:snapToGrid w:val="0"/>
              <w:spacing w:beforeAutospacing="0" w:line="400" w:lineRule="exact"/>
              <w:jc w:val="center"/>
              <w:textAlignment w:val="auto"/>
              <w:rPr>
                <w:rFonts w:cs="宋体"/>
                <w:bCs/>
                <w:color w:val="auto"/>
                <w:kern w:val="2"/>
                <w:sz w:val="21"/>
                <w:szCs w:val="21"/>
              </w:rPr>
            </w:pPr>
            <w:r>
              <w:rPr>
                <w:rFonts w:hint="eastAsia" w:cs="宋体"/>
                <w:bCs/>
                <w:color w:val="auto"/>
                <w:sz w:val="21"/>
                <w:szCs w:val="21"/>
              </w:rPr>
              <w:t>15.3.1</w:t>
            </w:r>
          </w:p>
        </w:tc>
        <w:tc>
          <w:tcPr>
            <w:tcW w:w="7304" w:type="dxa"/>
            <w:vAlign w:val="center"/>
          </w:tcPr>
          <w:p w14:paraId="76214A0B">
            <w:pPr>
              <w:pageBreakBefore w:val="0"/>
              <w:widowControl w:val="0"/>
              <w:kinsoku/>
              <w:wordWrap/>
              <w:overflowPunct/>
              <w:topLinePunct w:val="0"/>
              <w:autoSpaceDE/>
              <w:autoSpaceDN/>
              <w:bidi w:val="0"/>
              <w:adjustRightInd w:val="0"/>
              <w:snapToGrid w:val="0"/>
              <w:spacing w:beforeAutospacing="0" w:line="400" w:lineRule="exact"/>
              <w:textAlignment w:val="auto"/>
              <w:rPr>
                <w:rFonts w:cs="宋体"/>
                <w:color w:val="auto"/>
                <w:sz w:val="21"/>
                <w:szCs w:val="21"/>
              </w:rPr>
            </w:pPr>
            <w:r>
              <w:rPr>
                <w:rFonts w:hint="eastAsia" w:cs="宋体"/>
                <w:color w:val="auto"/>
                <w:sz w:val="21"/>
                <w:szCs w:val="21"/>
              </w:rPr>
              <w:t>质量保证金可采用以下任意一种方式：</w:t>
            </w:r>
          </w:p>
          <w:p w14:paraId="08BD522E">
            <w:pPr>
              <w:pageBreakBefore w:val="0"/>
              <w:widowControl w:val="0"/>
              <w:kinsoku/>
              <w:wordWrap/>
              <w:overflowPunct/>
              <w:topLinePunct w:val="0"/>
              <w:autoSpaceDE/>
              <w:autoSpaceDN/>
              <w:bidi w:val="0"/>
              <w:adjustRightInd w:val="0"/>
              <w:snapToGrid w:val="0"/>
              <w:spacing w:beforeAutospacing="0" w:line="400" w:lineRule="exact"/>
              <w:textAlignment w:val="auto"/>
              <w:rPr>
                <w:rFonts w:cs="宋体"/>
                <w:color w:val="auto"/>
                <w:sz w:val="21"/>
                <w:szCs w:val="21"/>
              </w:rPr>
            </w:pPr>
            <w:r>
              <w:rPr>
                <w:rFonts w:hint="eastAsia" w:cs="宋体"/>
                <w:color w:val="auto"/>
                <w:sz w:val="21"/>
                <w:szCs w:val="21"/>
              </w:rPr>
              <w:t>（1）由银行业金融机构、工程担保公司、保险机构出具银行保函、工程质量保险等担保方式，担保/保证金额为：</w:t>
            </w:r>
            <w:r>
              <w:rPr>
                <w:rFonts w:hint="eastAsia" w:cs="宋体"/>
                <w:color w:val="auto"/>
                <w:sz w:val="21"/>
                <w:szCs w:val="21"/>
                <w:u w:val="single"/>
              </w:rPr>
              <w:t xml:space="preserve"> </w:t>
            </w:r>
            <w:r>
              <w:rPr>
                <w:rFonts w:hint="eastAsia" w:cs="宋体"/>
                <w:bCs/>
                <w:color w:val="auto"/>
                <w:sz w:val="21"/>
                <w:szCs w:val="21"/>
                <w:u w:val="single"/>
              </w:rPr>
              <w:t>结算审核价款的2%</w:t>
            </w:r>
            <w:r>
              <w:rPr>
                <w:rFonts w:hint="eastAsia" w:cs="宋体"/>
                <w:color w:val="auto"/>
                <w:sz w:val="21"/>
                <w:szCs w:val="21"/>
                <w:u w:val="single"/>
              </w:rPr>
              <w:t xml:space="preserve"> ；</w:t>
            </w:r>
          </w:p>
          <w:p w14:paraId="4A31068D">
            <w:pPr>
              <w:pageBreakBefore w:val="0"/>
              <w:widowControl w:val="0"/>
              <w:kinsoku/>
              <w:wordWrap/>
              <w:overflowPunct/>
              <w:topLinePunct w:val="0"/>
              <w:autoSpaceDE/>
              <w:autoSpaceDN/>
              <w:bidi w:val="0"/>
              <w:adjustRightInd w:val="0"/>
              <w:snapToGrid w:val="0"/>
              <w:spacing w:beforeAutospacing="0" w:line="400" w:lineRule="exact"/>
              <w:textAlignment w:val="auto"/>
              <w:rPr>
                <w:rFonts w:cs="宋体"/>
                <w:color w:val="auto"/>
                <w:sz w:val="21"/>
                <w:szCs w:val="21"/>
              </w:rPr>
            </w:pPr>
            <w:r>
              <w:rPr>
                <w:rFonts w:hint="eastAsia" w:cs="宋体"/>
                <w:color w:val="auto"/>
                <w:sz w:val="21"/>
                <w:szCs w:val="21"/>
              </w:rPr>
              <w:t xml:space="preserve">（2） </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p>
          <w:p w14:paraId="3F98359F">
            <w:pPr>
              <w:pageBreakBefore w:val="0"/>
              <w:widowControl w:val="0"/>
              <w:kinsoku/>
              <w:wordWrap/>
              <w:overflowPunct/>
              <w:topLinePunct w:val="0"/>
              <w:autoSpaceDE/>
              <w:autoSpaceDN/>
              <w:bidi w:val="0"/>
              <w:adjustRightInd w:val="0"/>
              <w:snapToGrid w:val="0"/>
              <w:spacing w:beforeAutospacing="0" w:line="400" w:lineRule="exact"/>
              <w:textAlignment w:val="auto"/>
              <w:rPr>
                <w:rFonts w:cs="宋体"/>
                <w:color w:val="auto"/>
                <w:sz w:val="21"/>
                <w:szCs w:val="21"/>
              </w:rPr>
            </w:pPr>
            <w:r>
              <w:rPr>
                <w:rFonts w:hint="eastAsia" w:cs="宋体"/>
                <w:color w:val="auto"/>
                <w:sz w:val="21"/>
                <w:szCs w:val="21"/>
              </w:rPr>
              <w:t>（3）其他方式：</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p>
          <w:p w14:paraId="54B43237">
            <w:pPr>
              <w:pStyle w:val="5"/>
              <w:pageBreakBefore w:val="0"/>
              <w:widowControl w:val="0"/>
              <w:kinsoku/>
              <w:wordWrap/>
              <w:overflowPunct/>
              <w:topLinePunct w:val="0"/>
              <w:autoSpaceDE/>
              <w:autoSpaceDN/>
              <w:bidi w:val="0"/>
              <w:snapToGrid w:val="0"/>
              <w:spacing w:before="0" w:beforeAutospacing="0" w:after="0" w:line="400" w:lineRule="exact"/>
              <w:textAlignment w:val="auto"/>
              <w:rPr>
                <w:rFonts w:cs="宋体"/>
                <w:bCs w:val="0"/>
                <w:color w:val="auto"/>
                <w:kern w:val="2"/>
                <w:sz w:val="21"/>
                <w:szCs w:val="21"/>
              </w:rPr>
            </w:pPr>
            <w:r>
              <w:rPr>
                <w:rFonts w:hint="eastAsia" w:cs="宋体"/>
                <w:bCs w:val="0"/>
                <w:color w:val="auto"/>
                <w:sz w:val="21"/>
                <w:szCs w:val="21"/>
              </w:rPr>
              <w:t>注：以现金形式提交质量保证金的（含从工程款中以扣留方式提交的），同时退还银行同期活期存款利息。</w:t>
            </w:r>
          </w:p>
        </w:tc>
      </w:tr>
    </w:tbl>
    <w:p w14:paraId="3E80EA54">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r>
        <w:rPr>
          <w:rFonts w:hint="eastAsia" w:cs="宋体"/>
          <w:color w:val="auto"/>
          <w:sz w:val="21"/>
          <w:szCs w:val="21"/>
        </w:rPr>
        <w:br w:type="page"/>
      </w:r>
      <w:r>
        <w:rPr>
          <w:rFonts w:hint="eastAsia" w:cs="宋体"/>
          <w:color w:val="auto"/>
          <w:sz w:val="21"/>
          <w:szCs w:val="21"/>
        </w:rPr>
        <w:t>1</w:t>
      </w:r>
      <w:bookmarkStart w:id="56" w:name="_Toc297120456"/>
      <w:bookmarkStart w:id="57" w:name="_Toc296890984"/>
      <w:bookmarkStart w:id="58" w:name="_Toc296503156"/>
      <w:bookmarkStart w:id="59" w:name="_Toc297048342"/>
      <w:bookmarkStart w:id="60" w:name="_Toc296944495"/>
      <w:bookmarkStart w:id="61" w:name="_Toc292559361"/>
      <w:bookmarkStart w:id="62" w:name="_Toc296347155"/>
      <w:bookmarkStart w:id="63" w:name="_Toc292559866"/>
      <w:bookmarkStart w:id="64" w:name="_Toc296346657"/>
      <w:bookmarkStart w:id="65" w:name="_Toc296891196"/>
      <w:r>
        <w:rPr>
          <w:rFonts w:hint="eastAsia" w:cs="宋体"/>
          <w:color w:val="auto"/>
          <w:sz w:val="21"/>
          <w:szCs w:val="21"/>
        </w:rPr>
        <w:t>. 一般约定</w:t>
      </w:r>
    </w:p>
    <w:bookmarkEnd w:id="56"/>
    <w:bookmarkEnd w:id="57"/>
    <w:bookmarkEnd w:id="58"/>
    <w:bookmarkEnd w:id="59"/>
    <w:bookmarkEnd w:id="60"/>
    <w:bookmarkEnd w:id="61"/>
    <w:bookmarkEnd w:id="62"/>
    <w:bookmarkEnd w:id="63"/>
    <w:bookmarkEnd w:id="64"/>
    <w:bookmarkEnd w:id="65"/>
    <w:p w14:paraId="395197BD">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1.1 词语定义与解释</w:t>
      </w:r>
    </w:p>
    <w:p w14:paraId="198FE8E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1.1.1 合同</w:t>
      </w:r>
    </w:p>
    <w:p w14:paraId="6C3F2B87">
      <w:pPr>
        <w:pageBreakBefore w:val="0"/>
        <w:widowControl w:val="0"/>
        <w:kinsoku/>
        <w:wordWrap/>
        <w:overflowPunct/>
        <w:topLinePunct w:val="0"/>
        <w:bidi w:val="0"/>
        <w:adjustRightInd w:val="0"/>
        <w:snapToGrid w:val="0"/>
        <w:spacing w:line="440" w:lineRule="exact"/>
        <w:ind w:firstLine="420" w:firstLineChars="200"/>
        <w:textAlignment w:val="auto"/>
        <w:rPr>
          <w:rFonts w:hint="eastAsia" w:cs="宋体"/>
          <w:color w:val="auto"/>
          <w:sz w:val="21"/>
          <w:szCs w:val="21"/>
          <w:u w:val="single"/>
        </w:rPr>
      </w:pPr>
      <w:r>
        <w:rPr>
          <w:rFonts w:hint="eastAsia" w:cs="宋体"/>
          <w:color w:val="auto"/>
          <w:sz w:val="21"/>
          <w:szCs w:val="21"/>
        </w:rPr>
        <w:t>1.1.1.10 其他合同文件包括：</w:t>
      </w:r>
      <w:r>
        <w:rPr>
          <w:rFonts w:hint="eastAsia" w:cs="宋体"/>
          <w:color w:val="auto"/>
          <w:sz w:val="21"/>
          <w:szCs w:val="21"/>
          <w:u w:val="single"/>
        </w:rPr>
        <w:t xml:space="preserve"> 本项目</w:t>
      </w:r>
      <w:r>
        <w:rPr>
          <w:rFonts w:hint="eastAsia" w:cs="宋体"/>
          <w:color w:val="auto"/>
          <w:sz w:val="21"/>
          <w:szCs w:val="21"/>
          <w:u w:val="single"/>
          <w:lang w:val="en-US" w:eastAsia="zh-CN"/>
        </w:rPr>
        <w:t>谈判</w:t>
      </w:r>
      <w:r>
        <w:rPr>
          <w:rFonts w:hint="eastAsia" w:cs="宋体"/>
          <w:color w:val="auto"/>
          <w:sz w:val="21"/>
          <w:szCs w:val="21"/>
          <w:u w:val="single"/>
        </w:rPr>
        <w:t>文件、在合同订立及履行过程中形成的与合</w:t>
      </w:r>
    </w:p>
    <w:p w14:paraId="44121FE4">
      <w:pPr>
        <w:pageBreakBefore w:val="0"/>
        <w:widowControl w:val="0"/>
        <w:kinsoku/>
        <w:wordWrap/>
        <w:overflowPunct/>
        <w:topLinePunct w:val="0"/>
        <w:bidi w:val="0"/>
        <w:adjustRightInd w:val="0"/>
        <w:snapToGrid w:val="0"/>
        <w:spacing w:line="440" w:lineRule="exact"/>
        <w:ind w:firstLine="420" w:firstLineChars="200"/>
        <w:textAlignment w:val="auto"/>
        <w:rPr>
          <w:rFonts w:hint="eastAsia" w:eastAsia="宋体" w:cs="宋体"/>
          <w:color w:val="auto"/>
          <w:sz w:val="21"/>
          <w:szCs w:val="21"/>
          <w:u w:val="single"/>
          <w:lang w:eastAsia="zh-CN"/>
        </w:rPr>
      </w:pPr>
      <w:r>
        <w:rPr>
          <w:rFonts w:hint="eastAsia" w:cs="宋体"/>
          <w:color w:val="auto"/>
          <w:sz w:val="21"/>
          <w:szCs w:val="21"/>
          <w:u w:val="single"/>
        </w:rPr>
        <w:t>同有关的文件均构成合同文件组成部分</w:t>
      </w:r>
      <w:r>
        <w:rPr>
          <w:rFonts w:hint="eastAsia" w:cs="宋体"/>
          <w:color w:val="auto"/>
          <w:sz w:val="21"/>
          <w:szCs w:val="21"/>
          <w:u w:val="single"/>
          <w:lang w:eastAsia="zh-CN"/>
        </w:rPr>
        <w:t>。</w:t>
      </w:r>
    </w:p>
    <w:p w14:paraId="199EE5C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1.1.2 合同当事人及其他相关方</w:t>
      </w:r>
    </w:p>
    <w:p w14:paraId="3562A6E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1.1.2.4 监理人：</w:t>
      </w:r>
    </w:p>
    <w:p w14:paraId="26D5290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名    称：</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w:t>
      </w:r>
      <w:r>
        <w:rPr>
          <w:rFonts w:hint="eastAsia" w:cs="宋体"/>
          <w:color w:val="auto"/>
          <w:sz w:val="21"/>
          <w:szCs w:val="21"/>
        </w:rPr>
        <w:t>；</w:t>
      </w:r>
    </w:p>
    <w:p w14:paraId="278DD08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资质类别和等级：</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w:t>
      </w:r>
      <w:r>
        <w:rPr>
          <w:rFonts w:hint="eastAsia" w:cs="宋体"/>
          <w:color w:val="auto"/>
          <w:sz w:val="21"/>
          <w:szCs w:val="21"/>
        </w:rPr>
        <w:t>；</w:t>
      </w:r>
    </w:p>
    <w:p w14:paraId="24D9764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联系电话：</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 xml:space="preserve"> </w:t>
      </w:r>
      <w:r>
        <w:rPr>
          <w:rFonts w:hint="eastAsia" w:cs="宋体"/>
          <w:color w:val="auto"/>
          <w:sz w:val="21"/>
          <w:szCs w:val="21"/>
        </w:rPr>
        <w:t>；</w:t>
      </w:r>
    </w:p>
    <w:p w14:paraId="3E61636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电子信箱：</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w:t>
      </w:r>
      <w:r>
        <w:rPr>
          <w:rFonts w:hint="eastAsia" w:cs="宋体"/>
          <w:color w:val="auto"/>
          <w:sz w:val="21"/>
          <w:szCs w:val="21"/>
        </w:rPr>
        <w:t>；</w:t>
      </w:r>
    </w:p>
    <w:p w14:paraId="0EB130E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通信地址：</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w:t>
      </w:r>
      <w:r>
        <w:rPr>
          <w:rFonts w:hint="eastAsia" w:cs="宋体"/>
          <w:color w:val="auto"/>
          <w:sz w:val="21"/>
          <w:szCs w:val="21"/>
        </w:rPr>
        <w:t>。</w:t>
      </w:r>
    </w:p>
    <w:p w14:paraId="43A4ABC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1.1.2.5 设计人：</w:t>
      </w:r>
    </w:p>
    <w:p w14:paraId="2244E12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名    称：</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2BCBC8A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资质类别和等级：</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54A3140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联系电话：</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w:t>
      </w:r>
      <w:r>
        <w:rPr>
          <w:rFonts w:hint="eastAsia" w:cs="宋体"/>
          <w:color w:val="auto"/>
          <w:sz w:val="21"/>
          <w:szCs w:val="21"/>
        </w:rPr>
        <w:t>；</w:t>
      </w:r>
    </w:p>
    <w:p w14:paraId="76C3661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电子信箱：</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4D349935">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通信地址：</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20BBCFC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1.1.3 工程和设备</w:t>
      </w:r>
    </w:p>
    <w:p w14:paraId="549C5A4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1.1.3.7 作为施工现场组成部分的其他场所包括：</w:t>
      </w:r>
      <w:r>
        <w:rPr>
          <w:rFonts w:hint="eastAsia" w:cs="宋体"/>
          <w:color w:val="auto"/>
          <w:sz w:val="21"/>
          <w:szCs w:val="21"/>
          <w:u w:val="single"/>
        </w:rPr>
        <w:t xml:space="preserve">  </w:t>
      </w:r>
      <w:r>
        <w:rPr>
          <w:rFonts w:hint="eastAsia" w:cs="宋体"/>
          <w:color w:val="auto"/>
          <w:sz w:val="21"/>
          <w:szCs w:val="21"/>
        </w:rPr>
        <w:t>。</w:t>
      </w:r>
    </w:p>
    <w:p w14:paraId="45DFE1E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1.1.3.9 永久占地包括：</w:t>
      </w:r>
      <w:r>
        <w:rPr>
          <w:rFonts w:hint="eastAsia" w:cs="宋体"/>
          <w:color w:val="auto"/>
          <w:sz w:val="21"/>
          <w:szCs w:val="21"/>
          <w:u w:val="single"/>
        </w:rPr>
        <w:t xml:space="preserve">    </w:t>
      </w:r>
      <w:r>
        <w:rPr>
          <w:rFonts w:hint="eastAsia" w:cs="宋体"/>
          <w:color w:val="auto"/>
          <w:sz w:val="21"/>
          <w:szCs w:val="21"/>
        </w:rPr>
        <w:t>。</w:t>
      </w:r>
    </w:p>
    <w:p w14:paraId="7689CCB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1.1.3.10 临时占地包括：</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 xml:space="preserve"> </w:t>
      </w:r>
      <w:r>
        <w:rPr>
          <w:rFonts w:hint="eastAsia" w:cs="宋体"/>
          <w:color w:val="auto"/>
          <w:sz w:val="21"/>
          <w:szCs w:val="21"/>
        </w:rPr>
        <w:t>。</w:t>
      </w:r>
    </w:p>
    <w:p w14:paraId="38FE9BFF">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 xml:space="preserve">1.3 法律 </w:t>
      </w:r>
    </w:p>
    <w:p w14:paraId="776BB70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适用于合同的其他规范性文件：</w:t>
      </w:r>
      <w:r>
        <w:rPr>
          <w:rFonts w:hint="eastAsia" w:cs="宋体"/>
          <w:color w:val="auto"/>
          <w:sz w:val="21"/>
          <w:szCs w:val="21"/>
          <w:u w:val="single"/>
        </w:rPr>
        <w:t>《中华人民共和国民法典》、《中华人民共和国建筑法》、《中华人民共和国政府采购法》、《中华人民共和国招标投标法》、《建设工程质量管理条例》、《建设工程安全生产管理条例》等国家及工程所在地现行有效的法律法规和规章</w:t>
      </w:r>
      <w:r>
        <w:rPr>
          <w:rFonts w:hint="eastAsia" w:cs="宋体"/>
          <w:color w:val="auto"/>
          <w:sz w:val="21"/>
          <w:szCs w:val="21"/>
        </w:rPr>
        <w:t>。</w:t>
      </w:r>
    </w:p>
    <w:p w14:paraId="543448AF">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1.4 标准和规范</w:t>
      </w:r>
    </w:p>
    <w:p w14:paraId="3E807B7F">
      <w:pPr>
        <w:pageBreakBefore w:val="0"/>
        <w:widowControl w:val="0"/>
        <w:kinsoku/>
        <w:wordWrap/>
        <w:overflowPunct/>
        <w:topLinePunct w:val="0"/>
        <w:bidi w:val="0"/>
        <w:adjustRightInd w:val="0"/>
        <w:snapToGrid w:val="0"/>
        <w:spacing w:line="440" w:lineRule="exact"/>
        <w:ind w:firstLine="420" w:firstLineChars="200"/>
        <w:textAlignment w:val="auto"/>
        <w:rPr>
          <w:rFonts w:hint="eastAsia" w:cs="宋体"/>
          <w:color w:val="auto"/>
          <w:sz w:val="21"/>
          <w:szCs w:val="21"/>
          <w:u w:val="single"/>
        </w:rPr>
      </w:pPr>
      <w:r>
        <w:rPr>
          <w:rFonts w:hint="eastAsia" w:cs="宋体"/>
          <w:color w:val="auto"/>
          <w:sz w:val="21"/>
          <w:szCs w:val="21"/>
        </w:rPr>
        <w:t>1.4.1 适用于工程的标准规范包括：</w:t>
      </w:r>
      <w:r>
        <w:rPr>
          <w:rFonts w:hint="eastAsia" w:cs="宋体"/>
          <w:color w:val="auto"/>
          <w:sz w:val="21"/>
          <w:szCs w:val="21"/>
          <w:u w:val="single"/>
        </w:rPr>
        <w:t xml:space="preserve"> 中华人民共和国住房和城乡建设部等部门及省、</w:t>
      </w:r>
    </w:p>
    <w:p w14:paraId="2D1AF19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u w:val="single"/>
        </w:rPr>
        <w:t>市发布的有关文件</w:t>
      </w:r>
      <w:r>
        <w:rPr>
          <w:rFonts w:hint="eastAsia" w:cs="宋体"/>
          <w:color w:val="auto"/>
          <w:sz w:val="21"/>
          <w:szCs w:val="21"/>
        </w:rPr>
        <w:t>。</w:t>
      </w:r>
    </w:p>
    <w:p w14:paraId="2325C04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1.4.2 发包人提供国外标准、规范的名称：</w:t>
      </w:r>
      <w:r>
        <w:rPr>
          <w:rFonts w:hint="eastAsia" w:cs="宋体"/>
          <w:color w:val="auto"/>
          <w:sz w:val="21"/>
          <w:szCs w:val="21"/>
          <w:u w:val="single"/>
        </w:rPr>
        <w:t xml:space="preserve">  承包人自备国内现行适用的标准、规范</w:t>
      </w:r>
      <w:r>
        <w:rPr>
          <w:rFonts w:hint="eastAsia" w:cs="宋体"/>
          <w:color w:val="auto"/>
          <w:sz w:val="21"/>
          <w:szCs w:val="21"/>
        </w:rPr>
        <w:t>；</w:t>
      </w:r>
    </w:p>
    <w:p w14:paraId="2C653B3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发包人提供国外标准、规范的份数：</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7F5E7BF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发包人提供国外标准、规范的时间：</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2080BC8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1.4.3 发包人对工程的技术标准和功能要求的特殊要求：</w:t>
      </w:r>
      <w:r>
        <w:rPr>
          <w:rFonts w:hint="eastAsia" w:cs="宋体"/>
          <w:color w:val="auto"/>
          <w:sz w:val="21"/>
          <w:szCs w:val="21"/>
          <w:u w:val="single"/>
        </w:rPr>
        <w:t xml:space="preserve"> 按现行规范执行  </w:t>
      </w:r>
      <w:r>
        <w:rPr>
          <w:rFonts w:hint="eastAsia" w:cs="宋体"/>
          <w:color w:val="auto"/>
          <w:sz w:val="21"/>
          <w:szCs w:val="21"/>
        </w:rPr>
        <w:t>。</w:t>
      </w:r>
    </w:p>
    <w:p w14:paraId="27E66B89">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1.5 合同文件的优先顺序</w:t>
      </w:r>
    </w:p>
    <w:p w14:paraId="02A497B4">
      <w:pPr>
        <w:pageBreakBefore w:val="0"/>
        <w:widowControl w:val="0"/>
        <w:kinsoku/>
        <w:wordWrap/>
        <w:overflowPunct/>
        <w:topLinePunct w:val="0"/>
        <w:bidi w:val="0"/>
        <w:adjustRightInd w:val="0"/>
        <w:snapToGrid w:val="0"/>
        <w:spacing w:line="440" w:lineRule="exact"/>
        <w:ind w:firstLine="420" w:firstLineChars="200"/>
        <w:textAlignment w:val="auto"/>
        <w:rPr>
          <w:rFonts w:hint="eastAsia" w:eastAsia="宋体" w:cs="宋体"/>
          <w:b/>
          <w:color w:val="auto"/>
          <w:sz w:val="21"/>
          <w:szCs w:val="21"/>
          <w:u w:val="single"/>
          <w:lang w:eastAsia="zh-CN"/>
        </w:rPr>
      </w:pPr>
      <w:r>
        <w:rPr>
          <w:rFonts w:hint="eastAsia" w:cs="宋体"/>
          <w:color w:val="auto"/>
          <w:sz w:val="21"/>
          <w:szCs w:val="21"/>
        </w:rPr>
        <w:t>合同文件组成及优先顺序为：</w:t>
      </w:r>
      <w:r>
        <w:rPr>
          <w:rFonts w:hint="eastAsia" w:cs="宋体"/>
          <w:color w:val="auto"/>
          <w:sz w:val="21"/>
          <w:szCs w:val="21"/>
          <w:u w:val="single"/>
        </w:rPr>
        <w:t xml:space="preserve">  </w:t>
      </w:r>
      <w:r>
        <w:rPr>
          <w:rFonts w:hint="eastAsia" w:cs="宋体"/>
          <w:color w:val="auto"/>
          <w:sz w:val="21"/>
          <w:szCs w:val="21"/>
          <w:u w:val="single"/>
          <w:lang w:val="en-US" w:eastAsia="zh-CN"/>
        </w:rPr>
        <w:t>按通用条款执行</w:t>
      </w:r>
      <w:r>
        <w:rPr>
          <w:rFonts w:hint="eastAsia" w:cs="宋体"/>
          <w:color w:val="auto"/>
          <w:sz w:val="21"/>
          <w:szCs w:val="21"/>
          <w:u w:val="single"/>
        </w:rPr>
        <w:t xml:space="preserve"> </w:t>
      </w:r>
      <w:r>
        <w:rPr>
          <w:rFonts w:hint="eastAsia" w:cs="宋体"/>
          <w:color w:val="auto"/>
          <w:sz w:val="21"/>
          <w:szCs w:val="21"/>
          <w:u w:val="none"/>
          <w:lang w:eastAsia="zh-CN"/>
        </w:rPr>
        <w:t>。</w:t>
      </w:r>
    </w:p>
    <w:p w14:paraId="4A467B6B">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1.6 图纸和承包人文件</w:t>
      </w:r>
      <w:r>
        <w:rPr>
          <w:rFonts w:hint="eastAsia" w:cs="宋体"/>
          <w:bCs/>
          <w:color w:val="auto"/>
          <w:sz w:val="21"/>
          <w:szCs w:val="21"/>
        </w:rPr>
        <w:tab/>
      </w:r>
    </w:p>
    <w:p w14:paraId="3426B305">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1.6.1 图纸的提供和交底</w:t>
      </w:r>
    </w:p>
    <w:p w14:paraId="020DA3A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发包人向承包人提供图纸的期限：</w:t>
      </w:r>
      <w:r>
        <w:rPr>
          <w:rFonts w:hint="eastAsia" w:cs="宋体"/>
          <w:color w:val="auto"/>
          <w:sz w:val="21"/>
          <w:szCs w:val="21"/>
          <w:u w:val="single"/>
        </w:rPr>
        <w:t xml:space="preserve">          </w:t>
      </w:r>
      <w:r>
        <w:rPr>
          <w:rFonts w:hint="eastAsia" w:cs="宋体"/>
          <w:color w:val="auto"/>
          <w:sz w:val="21"/>
          <w:szCs w:val="21"/>
        </w:rPr>
        <w:t>；</w:t>
      </w:r>
    </w:p>
    <w:p w14:paraId="5559C1D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发包人向承包人提供图纸的数量：</w:t>
      </w:r>
      <w:r>
        <w:rPr>
          <w:rFonts w:hint="eastAsia" w:cs="宋体"/>
          <w:color w:val="auto"/>
          <w:sz w:val="21"/>
          <w:szCs w:val="21"/>
          <w:u w:val="single"/>
        </w:rPr>
        <w:t xml:space="preserve">提供 </w:t>
      </w:r>
      <w:r>
        <w:rPr>
          <w:rFonts w:hint="eastAsia" w:cs="宋体"/>
          <w:color w:val="auto"/>
          <w:sz w:val="21"/>
          <w:szCs w:val="21"/>
          <w:u w:val="single"/>
          <w:lang w:val="en-US" w:eastAsia="zh-CN"/>
        </w:rPr>
        <w:t>/</w:t>
      </w:r>
      <w:r>
        <w:rPr>
          <w:rFonts w:hint="eastAsia" w:cs="宋体"/>
          <w:color w:val="auto"/>
          <w:sz w:val="21"/>
          <w:szCs w:val="21"/>
          <w:u w:val="single"/>
        </w:rPr>
        <w:t xml:space="preserve"> 套（含竣工图 </w:t>
      </w:r>
      <w:r>
        <w:rPr>
          <w:rFonts w:hint="eastAsia" w:cs="宋体"/>
          <w:color w:val="auto"/>
          <w:sz w:val="21"/>
          <w:szCs w:val="21"/>
          <w:u w:val="single"/>
          <w:lang w:val="en-US" w:eastAsia="zh-CN"/>
        </w:rPr>
        <w:t>/</w:t>
      </w:r>
      <w:r>
        <w:rPr>
          <w:rFonts w:hint="eastAsia" w:cs="宋体"/>
          <w:color w:val="auto"/>
          <w:sz w:val="21"/>
          <w:szCs w:val="21"/>
          <w:u w:val="single"/>
        </w:rPr>
        <w:t xml:space="preserve"> 套），不足的由承包人自行复制，费用自理；</w:t>
      </w:r>
    </w:p>
    <w:p w14:paraId="6F0CABB5">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发包人向承包人提供图纸的内容：</w:t>
      </w:r>
      <w:r>
        <w:rPr>
          <w:rFonts w:hint="eastAsia" w:cs="宋体"/>
          <w:color w:val="auto"/>
          <w:sz w:val="21"/>
          <w:szCs w:val="21"/>
          <w:u w:val="single"/>
        </w:rPr>
        <w:t xml:space="preserve">          </w:t>
      </w:r>
      <w:r>
        <w:rPr>
          <w:rFonts w:hint="eastAsia" w:cs="宋体"/>
          <w:color w:val="auto"/>
          <w:sz w:val="21"/>
          <w:szCs w:val="21"/>
        </w:rPr>
        <w:t>。</w:t>
      </w:r>
    </w:p>
    <w:p w14:paraId="638F306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1.6.4 承包人文件</w:t>
      </w:r>
    </w:p>
    <w:p w14:paraId="245498B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需要由承包人提供的文件，包括：</w:t>
      </w:r>
      <w:r>
        <w:rPr>
          <w:rFonts w:hint="eastAsia" w:cs="宋体"/>
          <w:color w:val="auto"/>
          <w:sz w:val="21"/>
          <w:szCs w:val="21"/>
          <w:u w:val="single"/>
        </w:rPr>
        <w:t xml:space="preserve">          </w:t>
      </w:r>
      <w:r>
        <w:rPr>
          <w:rFonts w:hint="eastAsia" w:cs="宋体"/>
          <w:color w:val="auto"/>
          <w:sz w:val="21"/>
          <w:szCs w:val="21"/>
        </w:rPr>
        <w:t>；</w:t>
      </w:r>
    </w:p>
    <w:p w14:paraId="400B1085">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承包人提供的文件的期限为：</w:t>
      </w:r>
      <w:r>
        <w:rPr>
          <w:rFonts w:hint="eastAsia" w:cs="宋体"/>
          <w:color w:val="auto"/>
          <w:sz w:val="21"/>
          <w:szCs w:val="21"/>
          <w:u w:val="single"/>
        </w:rPr>
        <w:t xml:space="preserve">          </w:t>
      </w:r>
      <w:r>
        <w:rPr>
          <w:rFonts w:hint="eastAsia" w:cs="宋体"/>
          <w:color w:val="auto"/>
          <w:sz w:val="21"/>
          <w:szCs w:val="21"/>
        </w:rPr>
        <w:t>；</w:t>
      </w:r>
    </w:p>
    <w:p w14:paraId="69CA40D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承包人提供的文件的数量为：</w:t>
      </w:r>
      <w:r>
        <w:rPr>
          <w:rFonts w:hint="eastAsia" w:cs="宋体"/>
          <w:color w:val="auto"/>
          <w:sz w:val="21"/>
          <w:szCs w:val="21"/>
          <w:u w:val="single"/>
        </w:rPr>
        <w:t xml:space="preserve">          </w:t>
      </w:r>
      <w:r>
        <w:rPr>
          <w:rFonts w:hint="eastAsia" w:cs="宋体"/>
          <w:color w:val="auto"/>
          <w:sz w:val="21"/>
          <w:szCs w:val="21"/>
        </w:rPr>
        <w:t>；</w:t>
      </w:r>
    </w:p>
    <w:p w14:paraId="54400A63">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承包人提供的文件的形式为：</w:t>
      </w:r>
      <w:r>
        <w:rPr>
          <w:rFonts w:hint="eastAsia" w:cs="宋体"/>
          <w:color w:val="auto"/>
          <w:sz w:val="21"/>
          <w:szCs w:val="21"/>
          <w:u w:val="single"/>
        </w:rPr>
        <w:t xml:space="preserve">          </w:t>
      </w:r>
      <w:r>
        <w:rPr>
          <w:rFonts w:hint="eastAsia" w:cs="宋体"/>
          <w:color w:val="auto"/>
          <w:sz w:val="21"/>
          <w:szCs w:val="21"/>
        </w:rPr>
        <w:t>；</w:t>
      </w:r>
    </w:p>
    <w:p w14:paraId="4D9CA23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发包人审批承包人文件的期限：</w:t>
      </w:r>
      <w:r>
        <w:rPr>
          <w:rFonts w:hint="eastAsia" w:cs="宋体"/>
          <w:color w:val="auto"/>
          <w:sz w:val="21"/>
          <w:szCs w:val="21"/>
          <w:u w:val="single"/>
        </w:rPr>
        <w:t xml:space="preserve">          </w:t>
      </w:r>
      <w:r>
        <w:rPr>
          <w:rFonts w:hint="eastAsia" w:cs="宋体"/>
          <w:color w:val="auto"/>
          <w:sz w:val="21"/>
          <w:szCs w:val="21"/>
        </w:rPr>
        <w:t>。</w:t>
      </w:r>
    </w:p>
    <w:p w14:paraId="08DD1D8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1.6.5 图纸和承包人文件的保管</w:t>
      </w:r>
    </w:p>
    <w:p w14:paraId="71EABCD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关于图纸和承包人文件保管的约定：</w:t>
      </w:r>
      <w:r>
        <w:rPr>
          <w:rFonts w:hint="eastAsia" w:cs="宋体"/>
          <w:color w:val="auto"/>
          <w:sz w:val="21"/>
          <w:szCs w:val="21"/>
          <w:u w:val="single"/>
          <w:lang w:val="en-US" w:eastAsia="zh-CN"/>
        </w:rPr>
        <w:t xml:space="preserve">  按通用条款执行</w:t>
      </w:r>
      <w:r>
        <w:rPr>
          <w:rFonts w:hint="eastAsia" w:cs="宋体"/>
          <w:color w:val="auto"/>
          <w:sz w:val="21"/>
          <w:szCs w:val="21"/>
          <w:u w:val="single"/>
        </w:rPr>
        <w:t xml:space="preserve"> </w:t>
      </w:r>
      <w:r>
        <w:rPr>
          <w:rFonts w:hint="eastAsia" w:cs="宋体"/>
          <w:color w:val="auto"/>
          <w:sz w:val="21"/>
          <w:szCs w:val="21"/>
        </w:rPr>
        <w:t>。</w:t>
      </w:r>
    </w:p>
    <w:p w14:paraId="25662ABE">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1.7 联络</w:t>
      </w:r>
    </w:p>
    <w:p w14:paraId="30F0F17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1.7.1 发包人和承包人应当在</w:t>
      </w:r>
      <w:r>
        <w:rPr>
          <w:rFonts w:hint="eastAsia" w:cs="宋体"/>
          <w:color w:val="auto"/>
          <w:sz w:val="21"/>
          <w:szCs w:val="21"/>
          <w:u w:val="single"/>
        </w:rPr>
        <w:t>7</w:t>
      </w:r>
      <w:r>
        <w:rPr>
          <w:rFonts w:hint="eastAsia" w:cs="宋体"/>
          <w:color w:val="auto"/>
          <w:sz w:val="21"/>
          <w:szCs w:val="21"/>
        </w:rPr>
        <w:t>天内将与合同有关的通知、批准、证明、证书、指示、指令、要求、请求、同意、意见、确定和决定等书面函件送达对方当事人。</w:t>
      </w:r>
    </w:p>
    <w:p w14:paraId="3FF4E4F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1.7.2 发包人接收文件的地点：</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 xml:space="preserve"> </w:t>
      </w:r>
      <w:r>
        <w:rPr>
          <w:rFonts w:hint="eastAsia" w:cs="宋体"/>
          <w:color w:val="auto"/>
          <w:sz w:val="21"/>
          <w:szCs w:val="21"/>
        </w:rPr>
        <w:t>；</w:t>
      </w:r>
    </w:p>
    <w:p w14:paraId="62E7FBE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发包人指定的接收人为：</w:t>
      </w:r>
      <w:r>
        <w:rPr>
          <w:rFonts w:hint="eastAsia" w:cs="宋体"/>
          <w:color w:val="auto"/>
          <w:sz w:val="21"/>
          <w:szCs w:val="21"/>
          <w:u w:val="single"/>
        </w:rPr>
        <w:t xml:space="preserve"> </w:t>
      </w:r>
      <w:r>
        <w:rPr>
          <w:rFonts w:hint="eastAsia" w:cs="宋体"/>
          <w:color w:val="auto"/>
          <w:sz w:val="21"/>
          <w:szCs w:val="21"/>
          <w:u w:val="single"/>
          <w:lang w:val="en-US" w:eastAsia="zh-CN"/>
        </w:rPr>
        <w:t>发包人代表</w:t>
      </w:r>
      <w:r>
        <w:rPr>
          <w:rFonts w:hint="eastAsia" w:cs="宋体"/>
          <w:color w:val="auto"/>
          <w:sz w:val="21"/>
          <w:szCs w:val="21"/>
          <w:u w:val="single"/>
        </w:rPr>
        <w:t xml:space="preserve">  </w:t>
      </w:r>
      <w:r>
        <w:rPr>
          <w:rFonts w:hint="eastAsia" w:cs="宋体"/>
          <w:color w:val="auto"/>
          <w:sz w:val="21"/>
          <w:szCs w:val="21"/>
        </w:rPr>
        <w:t>。</w:t>
      </w:r>
    </w:p>
    <w:p w14:paraId="128C5AE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承包人接收文件的地点：</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 xml:space="preserve"> </w:t>
      </w:r>
      <w:r>
        <w:rPr>
          <w:rFonts w:hint="eastAsia" w:cs="宋体"/>
          <w:color w:val="auto"/>
          <w:sz w:val="21"/>
          <w:szCs w:val="21"/>
        </w:rPr>
        <w:t>；</w:t>
      </w:r>
    </w:p>
    <w:p w14:paraId="380E045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承包人指定的接收人为：</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 xml:space="preserve"> </w:t>
      </w:r>
      <w:r>
        <w:rPr>
          <w:rFonts w:hint="eastAsia" w:cs="宋体"/>
          <w:color w:val="auto"/>
          <w:sz w:val="21"/>
          <w:szCs w:val="21"/>
        </w:rPr>
        <w:t>。</w:t>
      </w:r>
    </w:p>
    <w:p w14:paraId="2650518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监理人接收文件的地点：</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rPr>
        <w:t>；</w:t>
      </w:r>
    </w:p>
    <w:p w14:paraId="31689F5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监理人指定的接收人为：</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 xml:space="preserve"> </w:t>
      </w:r>
      <w:r>
        <w:rPr>
          <w:rFonts w:hint="eastAsia" w:cs="宋体"/>
          <w:color w:val="auto"/>
          <w:sz w:val="21"/>
          <w:szCs w:val="21"/>
        </w:rPr>
        <w:t>。</w:t>
      </w:r>
    </w:p>
    <w:p w14:paraId="43AE3616">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1.10 交通运输</w:t>
      </w:r>
    </w:p>
    <w:p w14:paraId="57F2D95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w:t>
      </w:r>
      <w:bookmarkStart w:id="66" w:name="_Toc312677986"/>
      <w:bookmarkStart w:id="67" w:name="_Toc303539100"/>
      <w:bookmarkStart w:id="68" w:name="_Toc318581155"/>
      <w:bookmarkStart w:id="69" w:name="_Toc300934943"/>
      <w:bookmarkStart w:id="70" w:name="_Toc304295521"/>
      <w:r>
        <w:rPr>
          <w:rFonts w:hint="eastAsia" w:cs="宋体"/>
          <w:color w:val="auto"/>
          <w:sz w:val="21"/>
          <w:szCs w:val="21"/>
        </w:rPr>
        <w:t>.10.1 出入现场的权利</w:t>
      </w:r>
    </w:p>
    <w:p w14:paraId="6D946305">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关于出入现场的权利的约定：</w:t>
      </w:r>
      <w:r>
        <w:rPr>
          <w:rFonts w:hint="eastAsia" w:cs="宋体"/>
          <w:color w:val="auto"/>
          <w:sz w:val="21"/>
          <w:szCs w:val="21"/>
          <w:u w:val="single"/>
        </w:rPr>
        <w:t xml:space="preserve">          </w:t>
      </w:r>
      <w:r>
        <w:rPr>
          <w:rFonts w:hint="eastAsia" w:cs="宋体"/>
          <w:color w:val="auto"/>
          <w:sz w:val="21"/>
          <w:szCs w:val="21"/>
        </w:rPr>
        <w:t>。</w:t>
      </w:r>
    </w:p>
    <w:bookmarkEnd w:id="66"/>
    <w:bookmarkEnd w:id="67"/>
    <w:bookmarkEnd w:id="68"/>
    <w:bookmarkEnd w:id="69"/>
    <w:bookmarkEnd w:id="70"/>
    <w:p w14:paraId="17FDA5A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w:t>
      </w:r>
      <w:bookmarkStart w:id="71" w:name="_Toc300934944"/>
      <w:bookmarkStart w:id="72" w:name="_Toc303539101"/>
      <w:bookmarkStart w:id="73" w:name="_Toc312677987"/>
      <w:bookmarkStart w:id="74" w:name="_Toc318581156"/>
      <w:bookmarkStart w:id="75" w:name="_Toc304295522"/>
      <w:r>
        <w:rPr>
          <w:rFonts w:hint="eastAsia" w:cs="宋体"/>
          <w:color w:val="auto"/>
          <w:sz w:val="21"/>
          <w:szCs w:val="21"/>
        </w:rPr>
        <w:t>.10.3 场内交通</w:t>
      </w:r>
    </w:p>
    <w:p w14:paraId="04C852C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关于场外交通和场内交通的边界的约定：</w:t>
      </w:r>
      <w:r>
        <w:rPr>
          <w:rFonts w:hint="eastAsia" w:cs="宋体"/>
          <w:color w:val="auto"/>
          <w:sz w:val="21"/>
          <w:szCs w:val="21"/>
          <w:u w:val="single"/>
        </w:rPr>
        <w:t xml:space="preserve">          </w:t>
      </w:r>
      <w:r>
        <w:rPr>
          <w:rFonts w:hint="eastAsia" w:cs="宋体"/>
          <w:color w:val="auto"/>
          <w:sz w:val="21"/>
          <w:szCs w:val="21"/>
        </w:rPr>
        <w:t>。</w:t>
      </w:r>
    </w:p>
    <w:p w14:paraId="2CEE1EE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关于发包人向承包人免费提供满足工程施工需要的场内道路和交通设施的约定：</w:t>
      </w:r>
      <w:r>
        <w:rPr>
          <w:rFonts w:hint="eastAsia" w:cs="宋体"/>
          <w:color w:val="auto"/>
          <w:sz w:val="21"/>
          <w:szCs w:val="21"/>
          <w:u w:val="single"/>
        </w:rPr>
        <w:t xml:space="preserve">      </w:t>
      </w:r>
      <w:r>
        <w:rPr>
          <w:rFonts w:hint="eastAsia" w:cs="宋体"/>
          <w:color w:val="auto"/>
          <w:sz w:val="21"/>
          <w:szCs w:val="21"/>
        </w:rPr>
        <w:t>。</w:t>
      </w:r>
      <w:bookmarkEnd w:id="71"/>
      <w:bookmarkEnd w:id="72"/>
      <w:bookmarkEnd w:id="73"/>
      <w:bookmarkEnd w:id="74"/>
      <w:bookmarkEnd w:id="75"/>
      <w:bookmarkStart w:id="76" w:name="_Toc318581157"/>
    </w:p>
    <w:p w14:paraId="231D95E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1.10.4 超大件和超重件的运输</w:t>
      </w:r>
    </w:p>
    <w:p w14:paraId="4F82A42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运输超大件或超重件所需的道路和桥梁临时加固改造费用和其他有关费用由</w:t>
      </w:r>
      <w:r>
        <w:rPr>
          <w:rFonts w:hint="eastAsia" w:cs="宋体"/>
          <w:color w:val="auto"/>
          <w:sz w:val="21"/>
          <w:szCs w:val="21"/>
          <w:u w:val="single"/>
          <w:lang w:val="en-US" w:eastAsia="zh-CN"/>
        </w:rPr>
        <w:t xml:space="preserve"> 承包方 </w:t>
      </w:r>
      <w:r>
        <w:rPr>
          <w:rFonts w:hint="eastAsia" w:cs="宋体"/>
          <w:color w:val="auto"/>
          <w:sz w:val="21"/>
          <w:szCs w:val="21"/>
        </w:rPr>
        <w:t>承担。</w:t>
      </w:r>
    </w:p>
    <w:bookmarkEnd w:id="76"/>
    <w:p w14:paraId="734C8E04">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1.11 知识产权</w:t>
      </w:r>
    </w:p>
    <w:p w14:paraId="28EFFD55">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1.11.1 关于发包人提供给承包人的图纸、发包人为实施工程自行编制或委托编制的技术规范以及反映发包人关于合同要求或其他类似性质的文件的著作权的归属：</w:t>
      </w:r>
      <w:r>
        <w:rPr>
          <w:rFonts w:hint="eastAsia" w:cs="宋体"/>
          <w:color w:val="auto"/>
          <w:sz w:val="21"/>
          <w:szCs w:val="21"/>
          <w:u w:val="single"/>
        </w:rPr>
        <w:t xml:space="preserve"> </w:t>
      </w:r>
      <w:r>
        <w:rPr>
          <w:rFonts w:hint="eastAsia" w:cs="宋体"/>
          <w:color w:val="auto"/>
          <w:sz w:val="21"/>
          <w:szCs w:val="21"/>
          <w:u w:val="single"/>
          <w:lang w:val="en-US" w:eastAsia="zh-CN"/>
        </w:rPr>
        <w:t>发包人</w:t>
      </w:r>
      <w:r>
        <w:rPr>
          <w:rFonts w:hint="eastAsia" w:cs="宋体"/>
          <w:color w:val="auto"/>
          <w:sz w:val="21"/>
          <w:szCs w:val="21"/>
        </w:rPr>
        <w:t>。</w:t>
      </w:r>
    </w:p>
    <w:p w14:paraId="235659B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关于发包人提供的上述文件的使用限制的要求：</w:t>
      </w:r>
      <w:r>
        <w:rPr>
          <w:rFonts w:hint="eastAsia" w:cs="宋体"/>
          <w:color w:val="auto"/>
          <w:sz w:val="21"/>
          <w:szCs w:val="21"/>
          <w:u w:val="single"/>
          <w:lang w:val="en-US" w:eastAsia="zh-CN"/>
        </w:rPr>
        <w:t xml:space="preserve"> </w:t>
      </w:r>
      <w:r>
        <w:rPr>
          <w:rFonts w:hint="eastAsia" w:ascii="宋体" w:hAnsi="宋体" w:eastAsia="宋体" w:cs="宋体"/>
          <w:color w:val="auto"/>
          <w:sz w:val="21"/>
          <w:szCs w:val="21"/>
          <w:highlight w:val="none"/>
          <w:u w:val="single"/>
        </w:rPr>
        <w:t>未经发包人同意不得复制，不得向承包人以外的人员泄漏有关内容</w:t>
      </w:r>
      <w:r>
        <w:rPr>
          <w:rFonts w:hint="eastAsia" w:cs="宋体"/>
          <w:color w:val="auto"/>
          <w:sz w:val="21"/>
          <w:szCs w:val="21"/>
        </w:rPr>
        <w:t>。</w:t>
      </w:r>
    </w:p>
    <w:p w14:paraId="457F755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1.11.2 关于承包人为实施工程所编制文件的著作权的归属：</w:t>
      </w:r>
      <w:r>
        <w:rPr>
          <w:rFonts w:hint="eastAsia" w:cs="宋体"/>
          <w:color w:val="auto"/>
          <w:sz w:val="21"/>
          <w:szCs w:val="21"/>
          <w:u w:val="single"/>
        </w:rPr>
        <w:t xml:space="preserve"> </w:t>
      </w:r>
      <w:r>
        <w:rPr>
          <w:rFonts w:hint="eastAsia" w:cs="宋体"/>
          <w:color w:val="auto"/>
          <w:sz w:val="21"/>
          <w:szCs w:val="21"/>
          <w:u w:val="single"/>
          <w:lang w:val="en-US" w:eastAsia="zh-CN"/>
        </w:rPr>
        <w:t xml:space="preserve"> 发包人</w:t>
      </w:r>
      <w:r>
        <w:rPr>
          <w:rFonts w:hint="eastAsia" w:cs="宋体"/>
          <w:color w:val="auto"/>
          <w:sz w:val="21"/>
          <w:szCs w:val="21"/>
        </w:rPr>
        <w:t>。</w:t>
      </w:r>
    </w:p>
    <w:p w14:paraId="0EC6E2F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关于承包人提供的上述文件的使用限制的要求：</w:t>
      </w:r>
      <w:r>
        <w:rPr>
          <w:rFonts w:hint="eastAsia" w:cs="宋体"/>
          <w:color w:val="auto"/>
          <w:sz w:val="21"/>
          <w:szCs w:val="21"/>
          <w:u w:val="single"/>
          <w:lang w:val="en-US" w:eastAsia="zh-CN"/>
        </w:rPr>
        <w:t xml:space="preserve">    /   </w:t>
      </w:r>
      <w:r>
        <w:rPr>
          <w:rFonts w:hint="eastAsia" w:cs="宋体"/>
          <w:color w:val="auto"/>
          <w:sz w:val="21"/>
          <w:szCs w:val="21"/>
          <w:u w:val="single"/>
        </w:rPr>
        <w:t xml:space="preserve"> </w:t>
      </w:r>
      <w:r>
        <w:rPr>
          <w:rFonts w:hint="eastAsia" w:cs="宋体"/>
          <w:color w:val="auto"/>
          <w:sz w:val="21"/>
          <w:szCs w:val="21"/>
        </w:rPr>
        <w:t>。</w:t>
      </w:r>
    </w:p>
    <w:p w14:paraId="780597E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1.11.4 承包人在施工过程中所采用的专利、专有技术、技术秘密的使用费的承担方式：</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33FA5FB2">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1.13 工程量清单错误的修正</w:t>
      </w:r>
    </w:p>
    <w:p w14:paraId="31E971E5">
      <w:pPr>
        <w:pageBreakBefore w:val="0"/>
        <w:widowControl w:val="0"/>
        <w:kinsoku/>
        <w:wordWrap/>
        <w:overflowPunct/>
        <w:topLinePunct w:val="0"/>
        <w:bidi w:val="0"/>
        <w:adjustRightInd w:val="0"/>
        <w:snapToGrid w:val="0"/>
        <w:spacing w:line="440" w:lineRule="exact"/>
        <w:ind w:firstLine="420" w:firstLineChars="200"/>
        <w:textAlignment w:val="auto"/>
        <w:rPr>
          <w:rFonts w:hint="eastAsia" w:cs="宋体"/>
          <w:b/>
          <w:bCs/>
          <w:i/>
          <w:iCs/>
          <w:color w:val="auto"/>
          <w:kern w:val="2"/>
          <w:sz w:val="21"/>
          <w:szCs w:val="21"/>
        </w:rPr>
      </w:pPr>
      <w:r>
        <w:rPr>
          <w:rFonts w:hint="eastAsia" w:cs="宋体"/>
          <w:color w:val="auto"/>
          <w:sz w:val="21"/>
          <w:szCs w:val="21"/>
        </w:rPr>
        <w:t>出现工程量清单错误时，是否调整合同价格：</w:t>
      </w:r>
      <w:r>
        <w:rPr>
          <w:rFonts w:hint="eastAsia" w:cs="宋体"/>
          <w:color w:val="auto"/>
          <w:sz w:val="21"/>
          <w:szCs w:val="21"/>
          <w:u w:val="single"/>
        </w:rPr>
        <w:t xml:space="preserve"> </w:t>
      </w:r>
      <w:r>
        <w:rPr>
          <w:rFonts w:hint="eastAsia" w:cs="宋体"/>
          <w:color w:val="auto"/>
          <w:sz w:val="21"/>
          <w:szCs w:val="21"/>
          <w:u w:val="single"/>
          <w:lang w:val="en-US" w:eastAsia="zh-CN"/>
        </w:rPr>
        <w:t xml:space="preserve"> 允许调整</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none"/>
          <w:lang w:eastAsia="zh-CN"/>
        </w:rPr>
        <w:t>。</w:t>
      </w:r>
      <w:r>
        <w:rPr>
          <w:rFonts w:hint="eastAsia" w:cs="宋体"/>
          <w:b/>
          <w:bCs/>
          <w:i/>
          <w:iCs/>
          <w:color w:val="auto"/>
          <w:kern w:val="2"/>
          <w:sz w:val="21"/>
          <w:szCs w:val="21"/>
        </w:rPr>
        <w:t xml:space="preserve">  </w:t>
      </w:r>
    </w:p>
    <w:p w14:paraId="30B72DB3">
      <w:pPr>
        <w:pageBreakBefore w:val="0"/>
        <w:widowControl w:val="0"/>
        <w:kinsoku/>
        <w:wordWrap/>
        <w:overflowPunct/>
        <w:topLinePunct w:val="0"/>
        <w:bidi w:val="0"/>
        <w:adjustRightInd w:val="0"/>
        <w:snapToGrid w:val="0"/>
        <w:spacing w:line="440" w:lineRule="exact"/>
        <w:ind w:firstLine="420" w:firstLineChars="200"/>
        <w:textAlignment w:val="auto"/>
        <w:rPr>
          <w:rFonts w:hint="eastAsia" w:eastAsia="宋体" w:cs="宋体"/>
          <w:b/>
          <w:bCs/>
          <w:i/>
          <w:iCs/>
          <w:color w:val="auto"/>
          <w:kern w:val="2"/>
          <w:sz w:val="21"/>
          <w:szCs w:val="21"/>
          <w:shd w:val="clear" w:color="FFFFFF" w:fill="D9D9D9"/>
          <w:lang w:val="en-US" w:eastAsia="zh-CN"/>
        </w:rPr>
      </w:pPr>
      <w:r>
        <w:rPr>
          <w:rFonts w:hint="eastAsia" w:cs="宋体"/>
          <w:color w:val="auto"/>
          <w:sz w:val="21"/>
          <w:szCs w:val="21"/>
        </w:rPr>
        <w:t>允许调整合同价格的工程量偏差范围：</w:t>
      </w:r>
      <w:r>
        <w:rPr>
          <w:rFonts w:hint="eastAsia" w:cs="宋体"/>
          <w:color w:val="auto"/>
          <w:sz w:val="21"/>
          <w:szCs w:val="21"/>
          <w:u w:val="single"/>
        </w:rPr>
        <w:t xml:space="preserve"> </w:t>
      </w:r>
      <w:r>
        <w:rPr>
          <w:rFonts w:hint="eastAsia" w:cs="宋体"/>
          <w:color w:val="auto"/>
          <w:sz w:val="21"/>
          <w:szCs w:val="21"/>
          <w:u w:val="single"/>
          <w:lang w:val="en-US" w:eastAsia="zh-CN"/>
        </w:rPr>
        <w:t>按实计量调整</w:t>
      </w:r>
      <w:r>
        <w:rPr>
          <w:rFonts w:hint="eastAsia" w:cs="宋体"/>
          <w:color w:val="auto"/>
          <w:sz w:val="21"/>
          <w:szCs w:val="21"/>
          <w:u w:val="single"/>
        </w:rPr>
        <w:t xml:space="preserve"> </w:t>
      </w:r>
      <w:r>
        <w:rPr>
          <w:rFonts w:hint="eastAsia" w:cs="宋体"/>
          <w:color w:val="auto"/>
          <w:sz w:val="21"/>
          <w:szCs w:val="21"/>
          <w:u w:val="none"/>
          <w:lang w:eastAsia="zh-CN"/>
        </w:rPr>
        <w:t>。</w:t>
      </w:r>
    </w:p>
    <w:p w14:paraId="50F32450">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77" w:name="_Toc351203634"/>
      <w:r>
        <w:rPr>
          <w:rFonts w:hint="eastAsia" w:cs="宋体"/>
          <w:color w:val="auto"/>
          <w:sz w:val="21"/>
          <w:szCs w:val="21"/>
        </w:rPr>
        <w:t>2</w:t>
      </w:r>
      <w:bookmarkStart w:id="78" w:name="_Toc292559362"/>
      <w:bookmarkStart w:id="79" w:name="_Toc296347156"/>
      <w:bookmarkStart w:id="80" w:name="_Toc296503157"/>
      <w:bookmarkStart w:id="81" w:name="_Toc296944496"/>
      <w:bookmarkStart w:id="82" w:name="_Toc297048343"/>
      <w:bookmarkStart w:id="83" w:name="_Toc296890985"/>
      <w:bookmarkStart w:id="84" w:name="_Toc296346658"/>
      <w:bookmarkStart w:id="85" w:name="_Toc292559867"/>
      <w:bookmarkStart w:id="86" w:name="_Toc297120457"/>
      <w:bookmarkStart w:id="87" w:name="_Toc296891197"/>
      <w:r>
        <w:rPr>
          <w:rFonts w:hint="eastAsia" w:cs="宋体"/>
          <w:color w:val="auto"/>
          <w:sz w:val="21"/>
          <w:szCs w:val="21"/>
        </w:rPr>
        <w:t>. 发包人</w:t>
      </w:r>
      <w:bookmarkEnd w:id="77"/>
    </w:p>
    <w:bookmarkEnd w:id="78"/>
    <w:bookmarkEnd w:id="79"/>
    <w:bookmarkEnd w:id="80"/>
    <w:bookmarkEnd w:id="81"/>
    <w:bookmarkEnd w:id="82"/>
    <w:bookmarkEnd w:id="83"/>
    <w:bookmarkEnd w:id="84"/>
    <w:bookmarkEnd w:id="85"/>
    <w:bookmarkEnd w:id="86"/>
    <w:bookmarkEnd w:id="87"/>
    <w:p w14:paraId="1CBD9D0D">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2.2 发包人代表</w:t>
      </w:r>
    </w:p>
    <w:p w14:paraId="6D61EFC5">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发包人代表：</w:t>
      </w:r>
    </w:p>
    <w:p w14:paraId="2968246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姓    名：</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 xml:space="preserve">          </w:t>
      </w:r>
      <w:r>
        <w:rPr>
          <w:rFonts w:hint="eastAsia" w:cs="宋体"/>
          <w:color w:val="auto"/>
          <w:sz w:val="21"/>
          <w:szCs w:val="21"/>
        </w:rPr>
        <w:t>；</w:t>
      </w:r>
    </w:p>
    <w:p w14:paraId="1F6A351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身份证号：</w:t>
      </w:r>
      <w:r>
        <w:rPr>
          <w:rFonts w:hint="eastAsia" w:cs="宋体"/>
          <w:color w:val="auto"/>
          <w:sz w:val="21"/>
          <w:szCs w:val="21"/>
          <w:u w:val="single"/>
        </w:rPr>
        <w:t xml:space="preserve">                          </w:t>
      </w:r>
      <w:r>
        <w:rPr>
          <w:rFonts w:hint="eastAsia" w:cs="宋体"/>
          <w:color w:val="auto"/>
          <w:sz w:val="21"/>
          <w:szCs w:val="21"/>
        </w:rPr>
        <w:t>；</w:t>
      </w:r>
    </w:p>
    <w:p w14:paraId="35CBD30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职    务：</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 xml:space="preserve">            </w:t>
      </w:r>
      <w:r>
        <w:rPr>
          <w:rFonts w:hint="eastAsia" w:cs="宋体"/>
          <w:color w:val="auto"/>
          <w:sz w:val="21"/>
          <w:szCs w:val="21"/>
        </w:rPr>
        <w:t>；</w:t>
      </w:r>
    </w:p>
    <w:p w14:paraId="178D79B5">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联系电话：</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 xml:space="preserve">         </w:t>
      </w:r>
      <w:r>
        <w:rPr>
          <w:rFonts w:hint="eastAsia" w:cs="宋体"/>
          <w:color w:val="auto"/>
          <w:sz w:val="21"/>
          <w:szCs w:val="21"/>
        </w:rPr>
        <w:t>；</w:t>
      </w:r>
    </w:p>
    <w:p w14:paraId="26CC2F4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电子信箱：</w:t>
      </w:r>
      <w:r>
        <w:rPr>
          <w:rFonts w:hint="eastAsia" w:cs="宋体"/>
          <w:color w:val="auto"/>
          <w:sz w:val="21"/>
          <w:szCs w:val="21"/>
          <w:u w:val="single"/>
        </w:rPr>
        <w:t xml:space="preserve">                          </w:t>
      </w:r>
      <w:r>
        <w:rPr>
          <w:rFonts w:hint="eastAsia" w:cs="宋体"/>
          <w:color w:val="auto"/>
          <w:sz w:val="21"/>
          <w:szCs w:val="21"/>
        </w:rPr>
        <w:t>；</w:t>
      </w:r>
    </w:p>
    <w:p w14:paraId="74F6E43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通信地址：</w:t>
      </w:r>
      <w:r>
        <w:rPr>
          <w:rFonts w:hint="eastAsia" w:cs="宋体"/>
          <w:color w:val="auto"/>
          <w:sz w:val="21"/>
          <w:szCs w:val="21"/>
          <w:u w:val="single"/>
        </w:rPr>
        <w:t xml:space="preserve">                          </w:t>
      </w:r>
      <w:r>
        <w:rPr>
          <w:rFonts w:hint="eastAsia" w:cs="宋体"/>
          <w:color w:val="auto"/>
          <w:sz w:val="21"/>
          <w:szCs w:val="21"/>
        </w:rPr>
        <w:t>。</w:t>
      </w:r>
    </w:p>
    <w:p w14:paraId="73255E37">
      <w:pPr>
        <w:pageBreakBefore w:val="0"/>
        <w:widowControl w:val="0"/>
        <w:kinsoku/>
        <w:wordWrap/>
        <w:overflowPunct/>
        <w:topLinePunct w:val="0"/>
        <w:bidi w:val="0"/>
        <w:adjustRightInd w:val="0"/>
        <w:snapToGrid w:val="0"/>
        <w:spacing w:line="440" w:lineRule="exact"/>
        <w:ind w:firstLine="420" w:firstLineChars="200"/>
        <w:textAlignment w:val="auto"/>
        <w:rPr>
          <w:rFonts w:cs="宋体"/>
          <w:b/>
          <w:strike/>
          <w:color w:val="auto"/>
          <w:sz w:val="21"/>
          <w:szCs w:val="21"/>
        </w:rPr>
      </w:pPr>
      <w:r>
        <w:rPr>
          <w:rFonts w:hint="eastAsia" w:cs="宋体"/>
          <w:color w:val="auto"/>
          <w:sz w:val="21"/>
          <w:szCs w:val="21"/>
        </w:rPr>
        <w:t>发包人对发包人代表的授权范围如下：</w:t>
      </w:r>
      <w:r>
        <w:rPr>
          <w:rFonts w:hint="eastAsia" w:cs="宋体"/>
          <w:color w:val="auto"/>
          <w:sz w:val="21"/>
          <w:szCs w:val="21"/>
          <w:u w:val="single"/>
        </w:rPr>
        <w:t xml:space="preserve"> 施工组织设计和总进度计划的审批权；工程变更、签证的确认权；发布开工令、停工令、复工令权；工程款的审查权和支付权；特殊及重要施工工艺和材料发包及指定分包权；建筑材料价格的确认权；合同的解释；等等 </w:t>
      </w:r>
      <w:r>
        <w:rPr>
          <w:rFonts w:hint="eastAsia" w:cs="宋体"/>
          <w:color w:val="auto"/>
          <w:sz w:val="21"/>
          <w:szCs w:val="21"/>
        </w:rPr>
        <w:t>。</w:t>
      </w:r>
    </w:p>
    <w:p w14:paraId="6EB16FA8">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2.4 施工现场、施工条件和基础资料的提供</w:t>
      </w:r>
    </w:p>
    <w:p w14:paraId="3EF564E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2.4.1 提供施工现场</w:t>
      </w:r>
    </w:p>
    <w:p w14:paraId="5B3DBE9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关于发包人移交施工现场的期限要求：</w:t>
      </w:r>
      <w:r>
        <w:rPr>
          <w:rFonts w:hint="eastAsia" w:cs="宋体"/>
          <w:color w:val="auto"/>
          <w:sz w:val="21"/>
          <w:szCs w:val="21"/>
          <w:u w:val="single"/>
        </w:rPr>
        <w:t xml:space="preserve">        </w:t>
      </w:r>
      <w:r>
        <w:rPr>
          <w:rFonts w:hint="eastAsia" w:cs="宋体"/>
          <w:color w:val="auto"/>
          <w:sz w:val="21"/>
          <w:szCs w:val="21"/>
        </w:rPr>
        <w:t>。</w:t>
      </w:r>
    </w:p>
    <w:p w14:paraId="43155EB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2.4.2 提供施工条件</w:t>
      </w:r>
    </w:p>
    <w:p w14:paraId="44C5864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关于发包人应负责提供施工所需要的条件，包括：</w:t>
      </w:r>
      <w:r>
        <w:rPr>
          <w:rFonts w:hint="eastAsia" w:cs="宋体"/>
          <w:color w:val="auto"/>
          <w:sz w:val="21"/>
          <w:szCs w:val="21"/>
          <w:u w:val="single"/>
        </w:rPr>
        <w:t xml:space="preserve">        </w:t>
      </w:r>
      <w:r>
        <w:rPr>
          <w:rFonts w:hint="eastAsia" w:cs="宋体"/>
          <w:color w:val="auto"/>
          <w:sz w:val="21"/>
          <w:szCs w:val="21"/>
        </w:rPr>
        <w:t>。</w:t>
      </w:r>
    </w:p>
    <w:p w14:paraId="7130792C">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2.5 资金来源证明及支付担保</w:t>
      </w:r>
    </w:p>
    <w:p w14:paraId="4017AE4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发包人提供资金来源证明的期限要求：</w:t>
      </w:r>
      <w:r>
        <w:rPr>
          <w:rFonts w:hint="eastAsia" w:cs="宋体"/>
          <w:color w:val="auto"/>
          <w:sz w:val="21"/>
          <w:szCs w:val="21"/>
          <w:u w:val="single"/>
        </w:rPr>
        <w:t>见《专用合同条款数据表》</w:t>
      </w:r>
      <w:r>
        <w:rPr>
          <w:rFonts w:hint="eastAsia" w:cs="宋体"/>
          <w:color w:val="auto"/>
          <w:sz w:val="21"/>
          <w:szCs w:val="21"/>
        </w:rPr>
        <w:t>。</w:t>
      </w:r>
    </w:p>
    <w:p w14:paraId="454C209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发包人是否提供支付担保：</w:t>
      </w:r>
      <w:r>
        <w:rPr>
          <w:rFonts w:hint="eastAsia" w:cs="宋体"/>
          <w:color w:val="auto"/>
          <w:sz w:val="21"/>
          <w:szCs w:val="21"/>
          <w:u w:val="single"/>
        </w:rPr>
        <w:t>见《专用合同条款数据表》</w:t>
      </w:r>
      <w:r>
        <w:rPr>
          <w:rFonts w:hint="eastAsia" w:cs="宋体"/>
          <w:color w:val="auto"/>
          <w:sz w:val="21"/>
          <w:szCs w:val="21"/>
        </w:rPr>
        <w:t>。</w:t>
      </w:r>
    </w:p>
    <w:p w14:paraId="531A931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发包人提供支付担保的形式：</w:t>
      </w:r>
      <w:r>
        <w:rPr>
          <w:rFonts w:hint="eastAsia" w:cs="宋体"/>
          <w:color w:val="auto"/>
          <w:sz w:val="21"/>
          <w:szCs w:val="21"/>
          <w:u w:val="single"/>
        </w:rPr>
        <w:t>见《专用合同条款数据表》</w:t>
      </w:r>
      <w:r>
        <w:rPr>
          <w:rFonts w:hint="eastAsia" w:cs="宋体"/>
          <w:color w:val="auto"/>
          <w:sz w:val="21"/>
          <w:szCs w:val="21"/>
        </w:rPr>
        <w:t>。</w:t>
      </w:r>
    </w:p>
    <w:p w14:paraId="7B681FBD">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88" w:name="_Toc351203635"/>
      <w:r>
        <w:rPr>
          <w:rFonts w:hint="eastAsia" w:cs="宋体"/>
          <w:color w:val="auto"/>
          <w:sz w:val="21"/>
          <w:szCs w:val="21"/>
        </w:rPr>
        <w:t>3</w:t>
      </w:r>
      <w:bookmarkStart w:id="89" w:name="_Toc297048344"/>
      <w:bookmarkStart w:id="90" w:name="_Toc296347157"/>
      <w:bookmarkStart w:id="91" w:name="_Toc296503158"/>
      <w:bookmarkStart w:id="92" w:name="_Toc296346659"/>
      <w:bookmarkStart w:id="93" w:name="_Toc292559363"/>
      <w:bookmarkStart w:id="94" w:name="_Toc297120458"/>
      <w:bookmarkStart w:id="95" w:name="_Toc296891198"/>
      <w:bookmarkStart w:id="96" w:name="_Toc292559868"/>
      <w:bookmarkStart w:id="97" w:name="_Toc296890986"/>
      <w:bookmarkStart w:id="98" w:name="_Toc296944497"/>
      <w:r>
        <w:rPr>
          <w:rFonts w:hint="eastAsia" w:cs="宋体"/>
          <w:color w:val="auto"/>
          <w:sz w:val="21"/>
          <w:szCs w:val="21"/>
        </w:rPr>
        <w:t>. 承包人</w:t>
      </w:r>
      <w:bookmarkEnd w:id="88"/>
    </w:p>
    <w:bookmarkEnd w:id="89"/>
    <w:bookmarkEnd w:id="90"/>
    <w:bookmarkEnd w:id="91"/>
    <w:bookmarkEnd w:id="92"/>
    <w:bookmarkEnd w:id="93"/>
    <w:bookmarkEnd w:id="94"/>
    <w:bookmarkEnd w:id="95"/>
    <w:bookmarkEnd w:id="96"/>
    <w:bookmarkEnd w:id="97"/>
    <w:bookmarkEnd w:id="98"/>
    <w:p w14:paraId="115B2DBF">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3.1 承包人的一般义务</w:t>
      </w:r>
    </w:p>
    <w:p w14:paraId="36380A5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（9）承包人提交的竣工资料的内容：</w:t>
      </w:r>
      <w:r>
        <w:rPr>
          <w:rFonts w:hint="eastAsia" w:cs="宋体"/>
          <w:color w:val="auto"/>
          <w:sz w:val="21"/>
          <w:szCs w:val="21"/>
          <w:u w:val="single"/>
          <w:lang w:val="en-US" w:eastAsia="zh-CN"/>
        </w:rPr>
        <w:t xml:space="preserve">     /        </w:t>
      </w:r>
      <w:r>
        <w:rPr>
          <w:rFonts w:hint="eastAsia" w:cs="宋体"/>
          <w:color w:val="auto"/>
          <w:sz w:val="21"/>
          <w:szCs w:val="21"/>
        </w:rPr>
        <w:t>。</w:t>
      </w:r>
    </w:p>
    <w:p w14:paraId="5AFDEC4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承包人需要提交的竣工资料套数：</w:t>
      </w:r>
      <w:r>
        <w:rPr>
          <w:rFonts w:hint="eastAsia" w:cs="宋体"/>
          <w:color w:val="auto"/>
          <w:sz w:val="21"/>
          <w:szCs w:val="21"/>
          <w:u w:val="single"/>
        </w:rPr>
        <w:t xml:space="preserve">按甲方要求执行 </w:t>
      </w:r>
      <w:r>
        <w:rPr>
          <w:rFonts w:hint="eastAsia" w:cs="宋体"/>
          <w:color w:val="auto"/>
          <w:sz w:val="21"/>
          <w:szCs w:val="21"/>
        </w:rPr>
        <w:t>。</w:t>
      </w:r>
    </w:p>
    <w:p w14:paraId="11ADFB63">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承包人提交的竣工资料的费用承担：</w:t>
      </w:r>
      <w:r>
        <w:rPr>
          <w:rFonts w:hint="eastAsia" w:cs="宋体"/>
          <w:color w:val="auto"/>
          <w:sz w:val="21"/>
          <w:szCs w:val="21"/>
          <w:u w:val="single"/>
        </w:rPr>
        <w:t>承包人承担</w:t>
      </w:r>
      <w:r>
        <w:rPr>
          <w:rFonts w:hint="eastAsia" w:cs="宋体"/>
          <w:color w:val="auto"/>
          <w:sz w:val="21"/>
          <w:szCs w:val="21"/>
        </w:rPr>
        <w:t>。</w:t>
      </w:r>
    </w:p>
    <w:p w14:paraId="591E89D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承包人提交的竣工资料移交时间：</w:t>
      </w:r>
      <w:r>
        <w:rPr>
          <w:rFonts w:hint="eastAsia" w:cs="宋体"/>
          <w:color w:val="auto"/>
          <w:sz w:val="21"/>
          <w:szCs w:val="21"/>
          <w:u w:val="single"/>
        </w:rPr>
        <w:t xml:space="preserve"> 竣工验收合格后三十天内 </w:t>
      </w:r>
      <w:r>
        <w:rPr>
          <w:rFonts w:hint="eastAsia" w:cs="宋体"/>
          <w:color w:val="auto"/>
          <w:sz w:val="21"/>
          <w:szCs w:val="21"/>
        </w:rPr>
        <w:t>。</w:t>
      </w:r>
    </w:p>
    <w:p w14:paraId="4A07B9F5">
      <w:pPr>
        <w:pageBreakBefore w:val="0"/>
        <w:widowControl w:val="0"/>
        <w:kinsoku/>
        <w:wordWrap/>
        <w:overflowPunct/>
        <w:topLinePunct w:val="0"/>
        <w:bidi w:val="0"/>
        <w:adjustRightInd w:val="0"/>
        <w:snapToGrid w:val="0"/>
        <w:spacing w:line="440" w:lineRule="exact"/>
        <w:ind w:firstLine="420" w:firstLineChars="200"/>
        <w:textAlignment w:val="auto"/>
        <w:rPr>
          <w:rFonts w:hint="eastAsia" w:cs="宋体"/>
          <w:color w:val="auto"/>
          <w:sz w:val="21"/>
          <w:szCs w:val="21"/>
          <w:u w:val="single"/>
        </w:rPr>
      </w:pPr>
      <w:r>
        <w:rPr>
          <w:rFonts w:hint="eastAsia" w:cs="宋体"/>
          <w:color w:val="auto"/>
          <w:sz w:val="21"/>
          <w:szCs w:val="21"/>
        </w:rPr>
        <w:t>承包人提交的竣工资料形式要求：</w:t>
      </w:r>
      <w:r>
        <w:rPr>
          <w:rFonts w:hint="eastAsia" w:cs="宋体"/>
          <w:color w:val="auto"/>
          <w:sz w:val="21"/>
          <w:szCs w:val="21"/>
          <w:u w:val="single"/>
        </w:rPr>
        <w:t xml:space="preserve"> 书面材料及电子版，结算款支付前施工方须提供一</w:t>
      </w:r>
    </w:p>
    <w:p w14:paraId="495F41F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u w:val="single"/>
        </w:rPr>
        <w:t xml:space="preserve">份竣工验收资料和结算资料一致的电子档案（PDF 格式）一份 </w:t>
      </w:r>
      <w:r>
        <w:rPr>
          <w:rFonts w:hint="eastAsia" w:cs="宋体"/>
          <w:color w:val="auto"/>
          <w:sz w:val="21"/>
          <w:szCs w:val="21"/>
        </w:rPr>
        <w:t>。</w:t>
      </w:r>
    </w:p>
    <w:p w14:paraId="6102614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（10）承包人应履行的其他义务：</w:t>
      </w:r>
      <w:r>
        <w:rPr>
          <w:rFonts w:hint="eastAsia" w:cs="宋体"/>
          <w:color w:val="auto"/>
          <w:sz w:val="21"/>
          <w:szCs w:val="21"/>
          <w:u w:val="single"/>
        </w:rPr>
        <w:t xml:space="preserve"> 按通用条款执行</w:t>
      </w:r>
      <w:r>
        <w:rPr>
          <w:rFonts w:hint="eastAsia" w:cs="宋体"/>
          <w:color w:val="auto"/>
          <w:sz w:val="21"/>
          <w:szCs w:val="21"/>
        </w:rPr>
        <w:t>。</w:t>
      </w:r>
    </w:p>
    <w:p w14:paraId="72BA65E5">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3.2 项目经理</w:t>
      </w:r>
    </w:p>
    <w:p w14:paraId="763D0DB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3.2.1 项目经理：</w:t>
      </w:r>
    </w:p>
    <w:p w14:paraId="77AC808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姓    名：</w:t>
      </w:r>
      <w:r>
        <w:rPr>
          <w:rFonts w:hint="eastAsia" w:cs="宋体"/>
          <w:color w:val="auto"/>
          <w:sz w:val="21"/>
          <w:szCs w:val="21"/>
          <w:u w:val="single"/>
        </w:rPr>
        <w:t>见《专用合同条款数据表》</w:t>
      </w:r>
      <w:r>
        <w:rPr>
          <w:rFonts w:hint="eastAsia" w:cs="宋体"/>
          <w:color w:val="auto"/>
          <w:sz w:val="21"/>
          <w:szCs w:val="21"/>
        </w:rPr>
        <w:t>；</w:t>
      </w:r>
    </w:p>
    <w:p w14:paraId="0323D26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身份证号：</w:t>
      </w:r>
      <w:r>
        <w:rPr>
          <w:rFonts w:hint="eastAsia" w:cs="宋体"/>
          <w:color w:val="auto"/>
          <w:sz w:val="21"/>
          <w:szCs w:val="21"/>
          <w:u w:val="single"/>
        </w:rPr>
        <w:t>见《专用合同条款数据表》</w:t>
      </w:r>
      <w:r>
        <w:rPr>
          <w:rFonts w:hint="eastAsia" w:cs="宋体"/>
          <w:color w:val="auto"/>
          <w:sz w:val="21"/>
          <w:szCs w:val="21"/>
        </w:rPr>
        <w:t>；</w:t>
      </w:r>
    </w:p>
    <w:p w14:paraId="7DE9B2E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建造师执业资格等级：</w:t>
      </w:r>
      <w:r>
        <w:rPr>
          <w:rFonts w:hint="eastAsia" w:cs="宋体"/>
          <w:color w:val="auto"/>
          <w:sz w:val="21"/>
          <w:szCs w:val="21"/>
          <w:u w:val="single"/>
        </w:rPr>
        <w:t>见《专用合同条款数据表》</w:t>
      </w:r>
      <w:r>
        <w:rPr>
          <w:rFonts w:hint="eastAsia" w:cs="宋体"/>
          <w:color w:val="auto"/>
          <w:sz w:val="21"/>
          <w:szCs w:val="21"/>
        </w:rPr>
        <w:t>；</w:t>
      </w:r>
    </w:p>
    <w:p w14:paraId="70F5A74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建造师注册证书号：</w:t>
      </w:r>
      <w:r>
        <w:rPr>
          <w:rFonts w:hint="eastAsia" w:cs="宋体"/>
          <w:color w:val="auto"/>
          <w:sz w:val="21"/>
          <w:szCs w:val="21"/>
          <w:u w:val="single"/>
        </w:rPr>
        <w:t>见《专用合同条款数据表》</w:t>
      </w:r>
      <w:r>
        <w:rPr>
          <w:rFonts w:hint="eastAsia" w:cs="宋体"/>
          <w:color w:val="auto"/>
          <w:sz w:val="21"/>
          <w:szCs w:val="21"/>
        </w:rPr>
        <w:t>；</w:t>
      </w:r>
    </w:p>
    <w:p w14:paraId="18F9358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建造师执业印章号：</w:t>
      </w:r>
      <w:r>
        <w:rPr>
          <w:rFonts w:hint="eastAsia" w:cs="宋体"/>
          <w:color w:val="auto"/>
          <w:sz w:val="21"/>
          <w:szCs w:val="21"/>
          <w:u w:val="single"/>
        </w:rPr>
        <w:t xml:space="preserve">                          </w:t>
      </w:r>
      <w:r>
        <w:rPr>
          <w:rFonts w:hint="eastAsia" w:cs="宋体"/>
          <w:color w:val="auto"/>
          <w:sz w:val="21"/>
          <w:szCs w:val="21"/>
        </w:rPr>
        <w:t>；</w:t>
      </w:r>
    </w:p>
    <w:p w14:paraId="0170EE3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安全生产考核合格证书号：</w:t>
      </w:r>
      <w:r>
        <w:rPr>
          <w:rFonts w:hint="eastAsia" w:cs="宋体"/>
          <w:color w:val="auto"/>
          <w:sz w:val="21"/>
          <w:szCs w:val="21"/>
          <w:u w:val="single"/>
        </w:rPr>
        <w:t xml:space="preserve">                    </w:t>
      </w:r>
      <w:r>
        <w:rPr>
          <w:rFonts w:hint="eastAsia" w:cs="宋体"/>
          <w:color w:val="auto"/>
          <w:sz w:val="21"/>
          <w:szCs w:val="21"/>
        </w:rPr>
        <w:t>；</w:t>
      </w:r>
    </w:p>
    <w:p w14:paraId="119BD99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联系电话：</w:t>
      </w:r>
      <w:r>
        <w:rPr>
          <w:rFonts w:hint="eastAsia" w:cs="宋体"/>
          <w:color w:val="auto"/>
          <w:sz w:val="21"/>
          <w:szCs w:val="21"/>
          <w:u w:val="single"/>
        </w:rPr>
        <w:t xml:space="preserve">                          </w:t>
      </w:r>
      <w:r>
        <w:rPr>
          <w:rFonts w:hint="eastAsia" w:cs="宋体"/>
          <w:color w:val="auto"/>
          <w:sz w:val="21"/>
          <w:szCs w:val="21"/>
        </w:rPr>
        <w:t>；</w:t>
      </w:r>
    </w:p>
    <w:p w14:paraId="3468F1E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电子信箱：</w:t>
      </w:r>
      <w:r>
        <w:rPr>
          <w:rFonts w:hint="eastAsia" w:cs="宋体"/>
          <w:color w:val="auto"/>
          <w:sz w:val="21"/>
          <w:szCs w:val="21"/>
          <w:u w:val="single"/>
        </w:rPr>
        <w:t xml:space="preserve">                          </w:t>
      </w:r>
      <w:r>
        <w:rPr>
          <w:rFonts w:hint="eastAsia" w:cs="宋体"/>
          <w:color w:val="auto"/>
          <w:sz w:val="21"/>
          <w:szCs w:val="21"/>
        </w:rPr>
        <w:t>；</w:t>
      </w:r>
    </w:p>
    <w:p w14:paraId="7551BD0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通信地址：</w:t>
      </w:r>
      <w:r>
        <w:rPr>
          <w:rFonts w:hint="eastAsia" w:cs="宋体"/>
          <w:color w:val="auto"/>
          <w:sz w:val="21"/>
          <w:szCs w:val="21"/>
          <w:u w:val="single"/>
        </w:rPr>
        <w:t xml:space="preserve">                          </w:t>
      </w:r>
      <w:r>
        <w:rPr>
          <w:rFonts w:hint="eastAsia" w:cs="宋体"/>
          <w:color w:val="auto"/>
          <w:sz w:val="21"/>
          <w:szCs w:val="21"/>
        </w:rPr>
        <w:t>；</w:t>
      </w:r>
    </w:p>
    <w:p w14:paraId="2A46CE5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承包人对项目经理的授权范围如下：</w:t>
      </w:r>
      <w:r>
        <w:rPr>
          <w:rFonts w:hint="eastAsia" w:cs="宋体"/>
          <w:color w:val="auto"/>
          <w:sz w:val="21"/>
          <w:szCs w:val="21"/>
          <w:u w:val="single"/>
        </w:rPr>
        <w:t>见《专用合同条款数据表》</w:t>
      </w:r>
      <w:r>
        <w:rPr>
          <w:rFonts w:hint="eastAsia" w:cs="宋体"/>
          <w:color w:val="auto"/>
          <w:sz w:val="21"/>
          <w:szCs w:val="21"/>
        </w:rPr>
        <w:t>。</w:t>
      </w:r>
    </w:p>
    <w:p w14:paraId="1FFFC3A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关于项目经理每月在施工现场的时间要求：</w:t>
      </w:r>
      <w:r>
        <w:rPr>
          <w:rFonts w:hint="eastAsia" w:cs="宋体"/>
          <w:color w:val="auto"/>
          <w:sz w:val="21"/>
          <w:szCs w:val="21"/>
          <w:u w:val="single"/>
        </w:rPr>
        <w:t>见《专用合同条款数据表》。</w:t>
      </w:r>
    </w:p>
    <w:p w14:paraId="16D50A8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承包人未提交劳动合同，以及没有为项目经理缴纳社会保险证明的违约责任：</w:t>
      </w:r>
      <w:r>
        <w:rPr>
          <w:rFonts w:hint="eastAsia" w:cs="宋体"/>
          <w:color w:val="auto"/>
          <w:sz w:val="21"/>
          <w:szCs w:val="21"/>
          <w:u w:val="single"/>
        </w:rPr>
        <w:t xml:space="preserve">            </w:t>
      </w:r>
      <w:r>
        <w:rPr>
          <w:rFonts w:hint="eastAsia" w:cs="宋体"/>
          <w:color w:val="auto"/>
          <w:sz w:val="21"/>
          <w:szCs w:val="21"/>
        </w:rPr>
        <w:t>。</w:t>
      </w:r>
    </w:p>
    <w:p w14:paraId="03B6AD9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项目经理未经批准，擅自离开施工现场的违约责任：</w:t>
      </w:r>
      <w:r>
        <w:rPr>
          <w:rFonts w:hint="eastAsia" w:cs="宋体"/>
          <w:color w:val="auto"/>
          <w:sz w:val="21"/>
          <w:szCs w:val="21"/>
          <w:u w:val="single"/>
        </w:rPr>
        <w:t>承包人未能按照承诺到岗尽职的，发包人将视情况严重程度对其作出相应处理，给予警告并发出整改通知。如仍未及时整改，发包人有权责令其停工整改直至解除合同。发包人还将停止支付工程款项，扣留任何未付的工程进度款项补偿发包人的有关损失或工期延误的损失，并就此向承包人索赔。</w:t>
      </w:r>
    </w:p>
    <w:p w14:paraId="51FD698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3.2.3 承包人擅自更换项目经理的违约责任：</w:t>
      </w:r>
    </w:p>
    <w:p w14:paraId="74EE846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u w:val="single"/>
        </w:rPr>
        <w:t>承包人不得擅自更换投标时所报项目经理，否则发包人有权解除合同，由此造成的损失由承包人自行承担，承包人还应赔偿由此造成发包人的全部损失。确需更换的须在签订合同后，报经发包人同意后按相关规定办理，更换后的人员不得低于承包人投标时所报人员资质和技术水平。</w:t>
      </w:r>
    </w:p>
    <w:p w14:paraId="1279533F">
      <w:pPr>
        <w:pageBreakBefore w:val="0"/>
        <w:widowControl w:val="0"/>
        <w:kinsoku/>
        <w:wordWrap/>
        <w:overflowPunct/>
        <w:topLinePunct w:val="0"/>
        <w:bidi w:val="0"/>
        <w:adjustRightInd w:val="0"/>
        <w:snapToGrid w:val="0"/>
        <w:spacing w:line="440" w:lineRule="exact"/>
        <w:ind w:firstLine="420" w:firstLineChars="200"/>
        <w:textAlignment w:val="auto"/>
        <w:rPr>
          <w:rFonts w:hint="eastAsia" w:cs="宋体"/>
          <w:color w:val="auto"/>
          <w:sz w:val="21"/>
          <w:szCs w:val="21"/>
          <w:u w:val="single"/>
        </w:rPr>
      </w:pPr>
      <w:r>
        <w:rPr>
          <w:rFonts w:hint="eastAsia" w:cs="宋体"/>
          <w:color w:val="auto"/>
          <w:sz w:val="21"/>
          <w:szCs w:val="21"/>
        </w:rPr>
        <w:t>3.2.4 承包人无正当理由拒绝更换项目经理的违约责任：</w:t>
      </w:r>
      <w:r>
        <w:rPr>
          <w:rFonts w:hint="eastAsia" w:cs="宋体"/>
          <w:color w:val="auto"/>
          <w:sz w:val="21"/>
          <w:szCs w:val="21"/>
          <w:u w:val="single"/>
        </w:rPr>
        <w:t>承包方项目负责人（建造师）、</w:t>
      </w:r>
    </w:p>
    <w:p w14:paraId="462C658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u w:val="single"/>
        </w:rPr>
        <w:t xml:space="preserve">项目技术负责人不满足岗位管理水平及技术水平等原因要求时，发包人和监理人可要求承包方更换，更换后人员不得低于承包人投标时所报人员资质和技术水平，并经发包人书面认可。如承包人拒不更换的，发包人有权要求承包人退场 </w:t>
      </w:r>
      <w:r>
        <w:rPr>
          <w:rFonts w:hint="eastAsia" w:cs="宋体"/>
          <w:color w:val="auto"/>
          <w:sz w:val="21"/>
          <w:szCs w:val="21"/>
        </w:rPr>
        <w:t>。</w:t>
      </w:r>
    </w:p>
    <w:p w14:paraId="68156AED">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3.3 承包人人员</w:t>
      </w:r>
    </w:p>
    <w:p w14:paraId="07DFC7D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3.3.1 承包人提交项目管理机构及施工现场管理人员安排报告的期限：</w:t>
      </w:r>
      <w:r>
        <w:rPr>
          <w:rFonts w:hint="eastAsia" w:ascii="宋体" w:hAnsi="宋体" w:cs="宋体"/>
          <w:color w:val="auto"/>
          <w:sz w:val="21"/>
          <w:szCs w:val="22"/>
          <w:highlight w:val="none"/>
          <w:u w:val="single"/>
        </w:rPr>
        <w:t>签订合同时</w:t>
      </w:r>
      <w:r>
        <w:rPr>
          <w:rFonts w:hint="eastAsia" w:cs="宋体"/>
          <w:color w:val="auto"/>
          <w:sz w:val="21"/>
          <w:szCs w:val="21"/>
        </w:rPr>
        <w:t>。</w:t>
      </w:r>
    </w:p>
    <w:p w14:paraId="44376608">
      <w:pPr>
        <w:pageBreakBefore w:val="0"/>
        <w:widowControl w:val="0"/>
        <w:kinsoku/>
        <w:wordWrap/>
        <w:overflowPunct/>
        <w:topLinePunct w:val="0"/>
        <w:bidi w:val="0"/>
        <w:adjustRightInd w:val="0"/>
        <w:snapToGrid w:val="0"/>
        <w:spacing w:line="440" w:lineRule="exact"/>
        <w:ind w:firstLine="420" w:firstLineChars="200"/>
        <w:textAlignment w:val="auto"/>
        <w:rPr>
          <w:rFonts w:hint="eastAsia" w:cs="宋体"/>
          <w:color w:val="auto"/>
          <w:sz w:val="21"/>
          <w:szCs w:val="21"/>
          <w:u w:val="single"/>
        </w:rPr>
      </w:pPr>
      <w:r>
        <w:rPr>
          <w:rFonts w:hint="eastAsia" w:cs="宋体"/>
          <w:color w:val="auto"/>
          <w:sz w:val="21"/>
          <w:szCs w:val="21"/>
        </w:rPr>
        <w:t>3.3.3 承包人无正当理由拒绝撤换主要施工管理人员的违约责任：</w:t>
      </w:r>
      <w:r>
        <w:rPr>
          <w:rFonts w:hint="eastAsia" w:cs="宋体"/>
          <w:color w:val="auto"/>
          <w:sz w:val="21"/>
          <w:szCs w:val="21"/>
          <w:u w:val="single"/>
        </w:rPr>
        <w:t>承包方主要施工管理</w:t>
      </w:r>
    </w:p>
    <w:p w14:paraId="0D296CD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u w:val="single"/>
        </w:rPr>
        <w:t>人员不满足岗位管理水平及技术水平等原因要求时，发包人和监理人可要求承包方更换，更换后人员不得低于承包人投标时所报人员资质和技术水平，并经发包人书面认可。如承包人拒不更换项目负责人（建造师），发包人有权要求承包人退场</w:t>
      </w:r>
      <w:r>
        <w:rPr>
          <w:rFonts w:hint="eastAsia" w:cs="宋体"/>
          <w:color w:val="auto"/>
          <w:sz w:val="21"/>
          <w:szCs w:val="21"/>
        </w:rPr>
        <w:t>。</w:t>
      </w:r>
    </w:p>
    <w:p w14:paraId="674AFB2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2"/>
          <w:szCs w:val="22"/>
          <w:u w:val="single"/>
        </w:rPr>
      </w:pPr>
      <w:r>
        <w:rPr>
          <w:rFonts w:hint="eastAsia" w:cs="宋体"/>
          <w:color w:val="auto"/>
          <w:sz w:val="21"/>
          <w:szCs w:val="21"/>
        </w:rPr>
        <w:t>3.3.4 承包人主要施工管理人员离开施工现场的批准要求：</w:t>
      </w:r>
      <w:r>
        <w:rPr>
          <w:rFonts w:hint="eastAsia" w:ascii="宋体" w:hAnsi="宋体"/>
          <w:color w:val="auto"/>
          <w:sz w:val="21"/>
          <w:szCs w:val="22"/>
          <w:highlight w:val="none"/>
          <w:u w:val="single"/>
        </w:rPr>
        <w:t>需离开时必须事先征得发包人和监理人同意后方可离开</w:t>
      </w:r>
      <w:r>
        <w:rPr>
          <w:rFonts w:hint="eastAsia" w:cs="宋体"/>
          <w:color w:val="auto"/>
          <w:sz w:val="22"/>
          <w:szCs w:val="22"/>
        </w:rPr>
        <w:t>。</w:t>
      </w:r>
    </w:p>
    <w:p w14:paraId="2C804B8F">
      <w:pPr>
        <w:pageBreakBefore w:val="0"/>
        <w:widowControl w:val="0"/>
        <w:kinsoku/>
        <w:wordWrap/>
        <w:overflowPunct/>
        <w:topLinePunct w:val="0"/>
        <w:bidi w:val="0"/>
        <w:adjustRightInd w:val="0"/>
        <w:snapToGrid w:val="0"/>
        <w:spacing w:line="440" w:lineRule="exact"/>
        <w:ind w:firstLine="424" w:firstLineChars="202"/>
        <w:textAlignment w:val="auto"/>
        <w:rPr>
          <w:rFonts w:cs="宋体"/>
          <w:color w:val="auto"/>
          <w:sz w:val="21"/>
          <w:szCs w:val="21"/>
        </w:rPr>
      </w:pPr>
      <w:r>
        <w:rPr>
          <w:rFonts w:hint="eastAsia" w:cs="宋体"/>
          <w:color w:val="auto"/>
          <w:sz w:val="21"/>
          <w:szCs w:val="21"/>
        </w:rPr>
        <w:t>3.3.5 承包人擅自更换主要施工管理人员的违约责任：</w:t>
      </w:r>
      <w:r>
        <w:rPr>
          <w:rFonts w:hint="eastAsia" w:cs="宋体"/>
          <w:color w:val="auto"/>
          <w:sz w:val="21"/>
          <w:szCs w:val="21"/>
          <w:u w:val="single"/>
        </w:rPr>
        <w:t>承包人不得擅自更换主要管理人员，否则发包人有权解除合同，由此造成的损失由承包人自行承担，承包人还应赔偿由此造成发包人的全部损失。确需更换的须在签订合同后，报经发包人同意后按相关规定办理，更换后的人员不得低于承包人投标时所报人员资质和技术水平。发包人如认为有必要，可要求对上述人员中的部分人员作出更好的调整。</w:t>
      </w:r>
    </w:p>
    <w:p w14:paraId="6911ED5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承包人主要施工管理人员擅自离开施工现场的违约责任：</w:t>
      </w:r>
      <w:r>
        <w:rPr>
          <w:rFonts w:hint="eastAsia" w:cs="宋体"/>
          <w:color w:val="auto"/>
          <w:sz w:val="21"/>
          <w:szCs w:val="21"/>
          <w:u w:val="single"/>
        </w:rPr>
        <w:t xml:space="preserve"> 擅自离开施工现场的，从当期工程款中扣除，每人每次</w:t>
      </w:r>
      <w:r>
        <w:rPr>
          <w:rFonts w:hint="eastAsia" w:cs="宋体"/>
          <w:color w:val="auto"/>
          <w:sz w:val="21"/>
          <w:szCs w:val="21"/>
          <w:u w:val="single"/>
          <w:lang w:val="en-US" w:eastAsia="zh-CN"/>
        </w:rPr>
        <w:t>5</w:t>
      </w:r>
      <w:r>
        <w:rPr>
          <w:rFonts w:hint="eastAsia" w:cs="宋体"/>
          <w:color w:val="auto"/>
          <w:sz w:val="21"/>
          <w:szCs w:val="21"/>
          <w:u w:val="single"/>
        </w:rPr>
        <w:t xml:space="preserve">000元违约金 </w:t>
      </w:r>
      <w:r>
        <w:rPr>
          <w:rFonts w:hint="eastAsia" w:cs="宋体"/>
          <w:color w:val="auto"/>
          <w:sz w:val="21"/>
          <w:szCs w:val="21"/>
        </w:rPr>
        <w:t>。</w:t>
      </w:r>
    </w:p>
    <w:p w14:paraId="01F957F4">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3</w:t>
      </w:r>
      <w:bookmarkStart w:id="99" w:name="_Toc296347158"/>
      <w:bookmarkStart w:id="100" w:name="_Toc300934945"/>
      <w:bookmarkStart w:id="101" w:name="_Toc304295523"/>
      <w:bookmarkStart w:id="102" w:name="_Toc297120459"/>
      <w:bookmarkStart w:id="103" w:name="_Toc292559869"/>
      <w:bookmarkStart w:id="104" w:name="_Toc303539102"/>
      <w:bookmarkStart w:id="105" w:name="_Toc292559364"/>
      <w:bookmarkStart w:id="106" w:name="_Toc297048345"/>
      <w:bookmarkStart w:id="107" w:name="_Toc296890987"/>
      <w:bookmarkStart w:id="108" w:name="_Toc296891199"/>
      <w:bookmarkStart w:id="109" w:name="_Toc296346660"/>
      <w:bookmarkStart w:id="110" w:name="_Toc296944498"/>
      <w:bookmarkStart w:id="111" w:name="_Toc297216151"/>
      <w:bookmarkStart w:id="112" w:name="_Toc297123492"/>
      <w:bookmarkStart w:id="113" w:name="_Toc312677988"/>
      <w:bookmarkStart w:id="114" w:name="_Toc296503159"/>
      <w:r>
        <w:rPr>
          <w:rFonts w:hint="eastAsia" w:cs="宋体"/>
          <w:bCs/>
          <w:color w:val="auto"/>
          <w:sz w:val="21"/>
          <w:szCs w:val="21"/>
        </w:rPr>
        <w:t>.5 分包</w:t>
      </w:r>
    </w:p>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14:paraId="34AF8503">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3</w:t>
      </w:r>
      <w:bookmarkStart w:id="115" w:name="_Toc297123493"/>
      <w:bookmarkStart w:id="116" w:name="_Toc296346661"/>
      <w:bookmarkStart w:id="117" w:name="_Toc292559870"/>
      <w:bookmarkStart w:id="118" w:name="_Toc296890988"/>
      <w:bookmarkStart w:id="119" w:name="_Toc296891200"/>
      <w:bookmarkStart w:id="120" w:name="_Toc296347159"/>
      <w:bookmarkStart w:id="121" w:name="_Toc304295524"/>
      <w:bookmarkStart w:id="122" w:name="_Toc296944499"/>
      <w:bookmarkStart w:id="123" w:name="_Toc292559365"/>
      <w:bookmarkStart w:id="124" w:name="_Toc297048346"/>
      <w:bookmarkStart w:id="125" w:name="_Toc296503160"/>
      <w:bookmarkStart w:id="126" w:name="_Toc297216152"/>
      <w:bookmarkStart w:id="127" w:name="_Toc303539103"/>
      <w:bookmarkStart w:id="128" w:name="_Toc297120460"/>
      <w:bookmarkStart w:id="129" w:name="_Toc300934946"/>
      <w:bookmarkStart w:id="130" w:name="_Toc312677989"/>
      <w:bookmarkStart w:id="131" w:name="_Toc318581158"/>
      <w:r>
        <w:rPr>
          <w:rFonts w:hint="eastAsia" w:cs="宋体"/>
          <w:color w:val="auto"/>
          <w:sz w:val="21"/>
          <w:szCs w:val="21"/>
        </w:rPr>
        <w:t>.5.1 分包的一般约定</w:t>
      </w:r>
    </w:p>
    <w:p w14:paraId="0D91430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禁止分包的工程包括：</w:t>
      </w:r>
      <w:r>
        <w:rPr>
          <w:rFonts w:hint="eastAsia" w:cs="宋体"/>
          <w:color w:val="auto"/>
          <w:sz w:val="21"/>
          <w:szCs w:val="21"/>
          <w:u w:val="single"/>
        </w:rPr>
        <w:t xml:space="preserve">          </w:t>
      </w:r>
      <w:r>
        <w:rPr>
          <w:rFonts w:hint="eastAsia" w:cs="宋体"/>
          <w:color w:val="auto"/>
          <w:sz w:val="21"/>
          <w:szCs w:val="21"/>
        </w:rPr>
        <w:t>。</w:t>
      </w:r>
    </w:p>
    <w:p w14:paraId="6568FF4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主体结构、关键性工作的范围：</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Start w:id="132" w:name="_Toc296346662"/>
      <w:bookmarkStart w:id="133" w:name="_Toc297048347"/>
      <w:bookmarkStart w:id="134" w:name="_Toc297216153"/>
      <w:bookmarkStart w:id="135" w:name="_Toc300934947"/>
      <w:bookmarkStart w:id="136" w:name="_Toc296891201"/>
      <w:bookmarkStart w:id="137" w:name="_Toc304295525"/>
      <w:bookmarkStart w:id="138" w:name="_Toc296347160"/>
      <w:bookmarkStart w:id="139" w:name="_Toc296944500"/>
      <w:bookmarkStart w:id="140" w:name="_Toc296890989"/>
      <w:bookmarkStart w:id="141" w:name="_Toc297123494"/>
      <w:bookmarkStart w:id="142" w:name="_Toc296503161"/>
      <w:bookmarkStart w:id="143" w:name="_Toc297120461"/>
      <w:bookmarkStart w:id="144" w:name="_Toc303539104"/>
      <w:r>
        <w:rPr>
          <w:rFonts w:hint="eastAsia" w:cs="宋体"/>
          <w:color w:val="auto"/>
          <w:sz w:val="21"/>
          <w:szCs w:val="21"/>
          <w:u w:val="single"/>
        </w:rPr>
        <w:t xml:space="preserve">          </w:t>
      </w:r>
      <w:r>
        <w:rPr>
          <w:rFonts w:hint="eastAsia" w:cs="宋体"/>
          <w:color w:val="auto"/>
          <w:sz w:val="21"/>
          <w:szCs w:val="21"/>
        </w:rPr>
        <w:t>。</w:t>
      </w:r>
    </w:p>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14:paraId="5442862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3</w:t>
      </w:r>
      <w:bookmarkStart w:id="145" w:name="_Toc318581159"/>
      <w:bookmarkStart w:id="146" w:name="_Toc312677990"/>
      <w:r>
        <w:rPr>
          <w:rFonts w:hint="eastAsia" w:cs="宋体"/>
          <w:color w:val="auto"/>
          <w:sz w:val="21"/>
          <w:szCs w:val="21"/>
        </w:rPr>
        <w:t>.5.2 分包的确定</w:t>
      </w:r>
    </w:p>
    <w:p w14:paraId="118471E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允许分包的专业工程包括：</w:t>
      </w:r>
      <w:r>
        <w:rPr>
          <w:rFonts w:hint="eastAsia" w:cs="宋体"/>
          <w:color w:val="auto"/>
          <w:sz w:val="21"/>
          <w:szCs w:val="21"/>
          <w:u w:val="single"/>
        </w:rPr>
        <w:t xml:space="preserve">          </w:t>
      </w:r>
      <w:r>
        <w:rPr>
          <w:rFonts w:hint="eastAsia" w:cs="宋体"/>
          <w:color w:val="auto"/>
          <w:sz w:val="21"/>
          <w:szCs w:val="21"/>
        </w:rPr>
        <w:t>。</w:t>
      </w:r>
    </w:p>
    <w:p w14:paraId="0B2A584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其他关于分包的约定：</w:t>
      </w:r>
      <w:r>
        <w:rPr>
          <w:rFonts w:hint="eastAsia" w:cs="宋体"/>
          <w:color w:val="auto"/>
          <w:sz w:val="21"/>
          <w:szCs w:val="21"/>
          <w:u w:val="single"/>
        </w:rPr>
        <w:t xml:space="preserve">          </w:t>
      </w:r>
      <w:r>
        <w:rPr>
          <w:rFonts w:hint="eastAsia" w:cs="宋体"/>
          <w:color w:val="auto"/>
          <w:sz w:val="21"/>
          <w:szCs w:val="21"/>
        </w:rPr>
        <w:t>。</w:t>
      </w:r>
    </w:p>
    <w:p w14:paraId="0D87AF3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3.5.4 分包合同价款</w:t>
      </w:r>
    </w:p>
    <w:p w14:paraId="39E4798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关于分包合同价款支付的约定：</w:t>
      </w:r>
      <w:r>
        <w:rPr>
          <w:rFonts w:hint="eastAsia" w:cs="宋体"/>
          <w:color w:val="auto"/>
          <w:sz w:val="21"/>
          <w:szCs w:val="21"/>
          <w:u w:val="single"/>
        </w:rPr>
        <w:t xml:space="preserve">          </w:t>
      </w:r>
      <w:r>
        <w:rPr>
          <w:rFonts w:hint="eastAsia" w:cs="宋体"/>
          <w:color w:val="auto"/>
          <w:sz w:val="21"/>
          <w:szCs w:val="21"/>
        </w:rPr>
        <w:t>。</w:t>
      </w:r>
    </w:p>
    <w:bookmarkEnd w:id="145"/>
    <w:bookmarkEnd w:id="146"/>
    <w:p w14:paraId="5147AF55">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3.6 工程照管与成品、半成品保护</w:t>
      </w:r>
    </w:p>
    <w:p w14:paraId="733F5E1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承包人负责照管工程及工程相关的材料、工程设备的起始时间：</w:t>
      </w:r>
      <w:r>
        <w:rPr>
          <w:rFonts w:hint="eastAsia" w:cs="宋体"/>
          <w:color w:val="auto"/>
          <w:sz w:val="21"/>
          <w:szCs w:val="21"/>
          <w:u w:val="single"/>
        </w:rPr>
        <w:t>自发包人向承包人移交施工现场之日起，承包人应负责照管工程及工程相关的材料、工程设备，直到颁发工程接收证书之日止。</w:t>
      </w:r>
    </w:p>
    <w:p w14:paraId="2B11A5AF">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3.7 履约保证金</w:t>
      </w:r>
    </w:p>
    <w:p w14:paraId="5859D84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承包人是否提供履约保证金：</w:t>
      </w:r>
      <w:r>
        <w:rPr>
          <w:rFonts w:hint="eastAsia" w:cs="宋体"/>
          <w:color w:val="auto"/>
          <w:sz w:val="21"/>
          <w:szCs w:val="21"/>
          <w:u w:val="single"/>
        </w:rPr>
        <w:t>见《专用合同条款数据表》</w:t>
      </w:r>
      <w:r>
        <w:rPr>
          <w:rFonts w:hint="eastAsia" w:cs="宋体"/>
          <w:color w:val="auto"/>
          <w:sz w:val="21"/>
          <w:szCs w:val="21"/>
        </w:rPr>
        <w:t>。</w:t>
      </w:r>
    </w:p>
    <w:p w14:paraId="59C49C64">
      <w:pPr>
        <w:pageBreakBefore w:val="0"/>
        <w:widowControl w:val="0"/>
        <w:kinsoku/>
        <w:wordWrap/>
        <w:overflowPunct/>
        <w:topLinePunct w:val="0"/>
        <w:bidi w:val="0"/>
        <w:adjustRightInd w:val="0"/>
        <w:snapToGrid w:val="0"/>
        <w:spacing w:line="440" w:lineRule="exact"/>
        <w:ind w:left="-70" w:leftChars="-35" w:firstLine="497" w:firstLineChars="237"/>
        <w:textAlignment w:val="auto"/>
        <w:rPr>
          <w:rFonts w:cs="宋体"/>
          <w:b/>
          <w:color w:val="auto"/>
          <w:sz w:val="21"/>
          <w:szCs w:val="21"/>
        </w:rPr>
      </w:pPr>
      <w:r>
        <w:rPr>
          <w:rFonts w:hint="eastAsia" w:cs="宋体"/>
          <w:color w:val="auto"/>
          <w:sz w:val="21"/>
          <w:szCs w:val="21"/>
        </w:rPr>
        <w:t>承包人提供履约保证金的形式：</w:t>
      </w:r>
      <w:r>
        <w:rPr>
          <w:rFonts w:hint="eastAsia" w:cs="宋体"/>
          <w:color w:val="auto"/>
          <w:sz w:val="21"/>
          <w:szCs w:val="21"/>
          <w:u w:val="single"/>
        </w:rPr>
        <w:t>见《专用合同条款数据表》</w:t>
      </w:r>
      <w:r>
        <w:rPr>
          <w:rFonts w:hint="eastAsia" w:cs="宋体"/>
          <w:color w:val="auto"/>
          <w:sz w:val="21"/>
          <w:szCs w:val="21"/>
        </w:rPr>
        <w:t>。</w:t>
      </w:r>
    </w:p>
    <w:p w14:paraId="0075219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履约保证金的金额：</w:t>
      </w:r>
      <w:r>
        <w:rPr>
          <w:rFonts w:hint="eastAsia" w:cs="宋体"/>
          <w:color w:val="auto"/>
          <w:sz w:val="21"/>
          <w:szCs w:val="21"/>
          <w:u w:val="single"/>
        </w:rPr>
        <w:t>见《专用合同条款数据表》</w:t>
      </w:r>
      <w:r>
        <w:rPr>
          <w:rFonts w:hint="eastAsia" w:cs="宋体"/>
          <w:color w:val="auto"/>
          <w:sz w:val="21"/>
          <w:szCs w:val="21"/>
        </w:rPr>
        <w:t>。</w:t>
      </w:r>
    </w:p>
    <w:p w14:paraId="18EF723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履约保证金提交期限的要求：</w:t>
      </w:r>
      <w:r>
        <w:rPr>
          <w:rFonts w:hint="eastAsia" w:cs="宋体"/>
          <w:color w:val="auto"/>
          <w:sz w:val="21"/>
          <w:szCs w:val="21"/>
          <w:u w:val="single"/>
        </w:rPr>
        <w:t>见《专用合同条款数据表》。</w:t>
      </w:r>
    </w:p>
    <w:p w14:paraId="11595BBF">
      <w:pPr>
        <w:pageBreakBefore w:val="0"/>
        <w:widowControl w:val="0"/>
        <w:kinsoku/>
        <w:wordWrap/>
        <w:overflowPunct/>
        <w:topLinePunct w:val="0"/>
        <w:bidi w:val="0"/>
        <w:adjustRightInd w:val="0"/>
        <w:snapToGrid w:val="0"/>
        <w:spacing w:line="440" w:lineRule="exact"/>
        <w:ind w:firstLine="420" w:firstLineChars="200"/>
        <w:textAlignment w:val="auto"/>
        <w:rPr>
          <w:rFonts w:cs="宋体"/>
          <w:strike/>
          <w:color w:val="auto"/>
          <w:sz w:val="21"/>
          <w:szCs w:val="21"/>
        </w:rPr>
      </w:pPr>
      <w:r>
        <w:rPr>
          <w:rFonts w:hint="eastAsia" w:cs="宋体"/>
          <w:bCs/>
          <w:snapToGrid w:val="0"/>
          <w:color w:val="auto"/>
          <w:sz w:val="21"/>
          <w:szCs w:val="21"/>
        </w:rPr>
        <w:t>履约保证金退还时限：</w:t>
      </w:r>
      <w:r>
        <w:rPr>
          <w:rFonts w:hint="eastAsia" w:cs="宋体"/>
          <w:color w:val="auto"/>
          <w:sz w:val="21"/>
          <w:szCs w:val="21"/>
          <w:u w:val="single"/>
        </w:rPr>
        <w:t>见《专用合同条款数据表》。</w:t>
      </w:r>
    </w:p>
    <w:p w14:paraId="4C894452">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147" w:name="_Toc351203636"/>
      <w:r>
        <w:rPr>
          <w:rFonts w:hint="eastAsia" w:cs="宋体"/>
          <w:color w:val="auto"/>
          <w:sz w:val="21"/>
          <w:szCs w:val="21"/>
        </w:rPr>
        <w:t>4</w:t>
      </w:r>
      <w:bookmarkStart w:id="148" w:name="_Toc296347161"/>
      <w:bookmarkStart w:id="149" w:name="_Toc297048348"/>
      <w:bookmarkStart w:id="150" w:name="_Toc292559366"/>
      <w:bookmarkStart w:id="151" w:name="_Toc296346663"/>
      <w:bookmarkStart w:id="152" w:name="_Toc267251413"/>
      <w:bookmarkStart w:id="153" w:name="_Toc297120462"/>
      <w:bookmarkStart w:id="154" w:name="_Toc292559871"/>
      <w:bookmarkStart w:id="155" w:name="_Toc296890990"/>
      <w:bookmarkStart w:id="156" w:name="_Toc296944501"/>
      <w:bookmarkStart w:id="157" w:name="_Toc296891202"/>
      <w:bookmarkStart w:id="158" w:name="_Toc296503162"/>
      <w:r>
        <w:rPr>
          <w:rFonts w:hint="eastAsia" w:cs="宋体"/>
          <w:color w:val="auto"/>
          <w:sz w:val="21"/>
          <w:szCs w:val="21"/>
        </w:rPr>
        <w:t>. 监</w:t>
      </w:r>
      <w:bookmarkEnd w:id="148"/>
      <w:bookmarkEnd w:id="149"/>
      <w:bookmarkEnd w:id="150"/>
      <w:bookmarkEnd w:id="151"/>
      <w:bookmarkEnd w:id="152"/>
      <w:bookmarkEnd w:id="153"/>
      <w:bookmarkEnd w:id="154"/>
      <w:bookmarkEnd w:id="155"/>
      <w:bookmarkEnd w:id="156"/>
      <w:bookmarkEnd w:id="157"/>
      <w:bookmarkEnd w:id="158"/>
      <w:r>
        <w:rPr>
          <w:rFonts w:hint="eastAsia" w:cs="宋体"/>
          <w:color w:val="auto"/>
          <w:sz w:val="21"/>
          <w:szCs w:val="21"/>
        </w:rPr>
        <w:t>理人</w:t>
      </w:r>
      <w:bookmarkEnd w:id="147"/>
    </w:p>
    <w:p w14:paraId="3C902982">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4.1 监理人的一般规定</w:t>
      </w:r>
    </w:p>
    <w:p w14:paraId="758BA9E7">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u w:val="single"/>
        </w:rPr>
      </w:pPr>
      <w:r>
        <w:rPr>
          <w:rFonts w:hint="eastAsia" w:cs="宋体"/>
          <w:color w:val="auto"/>
          <w:sz w:val="21"/>
          <w:szCs w:val="21"/>
        </w:rPr>
        <w:t>关于监理人的监理内容：</w:t>
      </w:r>
      <w:r>
        <w:rPr>
          <w:rFonts w:hint="eastAsia" w:cs="宋体"/>
          <w:color w:val="auto"/>
          <w:sz w:val="21"/>
          <w:szCs w:val="21"/>
          <w:u w:val="single"/>
        </w:rPr>
        <w:t xml:space="preserve"> 详见监理合同</w:t>
      </w:r>
      <w:r>
        <w:rPr>
          <w:rFonts w:hint="eastAsia" w:cs="宋体"/>
          <w:color w:val="auto"/>
          <w:sz w:val="21"/>
          <w:szCs w:val="21"/>
        </w:rPr>
        <w:t>。</w:t>
      </w:r>
    </w:p>
    <w:p w14:paraId="5678333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关于监理人的监理权限：</w:t>
      </w:r>
      <w:r>
        <w:rPr>
          <w:rFonts w:hint="eastAsia" w:cs="宋体"/>
          <w:color w:val="auto"/>
          <w:sz w:val="21"/>
          <w:szCs w:val="21"/>
          <w:u w:val="single"/>
        </w:rPr>
        <w:t xml:space="preserve"> 工程质量的监督权；工程上使用的材料和施工质量检验权、确认权；工程施工进度、安全的检查、监督权；工程款支付的审核权；向承包人提出施工组织设计和技术方案的建议权；发包人和承包人间的组织协调的主持权；撤换不合格的工程建设分包单位和注册建造师及有关人员的建议权；分包单位资质及能力的审查权及《建设工程监理规范》规定的法定职权等</w:t>
      </w:r>
      <w:r>
        <w:rPr>
          <w:rFonts w:hint="eastAsia" w:cs="宋体"/>
          <w:color w:val="auto"/>
          <w:sz w:val="21"/>
          <w:szCs w:val="21"/>
          <w:u w:val="none"/>
        </w:rPr>
        <w:t>。</w:t>
      </w:r>
    </w:p>
    <w:p w14:paraId="72A4E4B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关于监理人在施工现场的办公场所、生活场所的提供和费用承担的约定：</w:t>
      </w:r>
      <w:r>
        <w:rPr>
          <w:rFonts w:hint="eastAsia" w:cs="宋体"/>
          <w:color w:val="auto"/>
          <w:sz w:val="21"/>
          <w:szCs w:val="21"/>
          <w:u w:val="single"/>
        </w:rPr>
        <w:t>详见监理合同</w:t>
      </w:r>
      <w:r>
        <w:rPr>
          <w:rFonts w:hint="eastAsia" w:cs="宋体"/>
          <w:color w:val="auto"/>
          <w:sz w:val="21"/>
          <w:szCs w:val="21"/>
        </w:rPr>
        <w:t>。</w:t>
      </w:r>
    </w:p>
    <w:p w14:paraId="2EF3C042">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4.2 监理人员</w:t>
      </w:r>
    </w:p>
    <w:p w14:paraId="384E8B5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总监理工程师：</w:t>
      </w:r>
    </w:p>
    <w:p w14:paraId="31B1B68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姓    名：</w:t>
      </w:r>
      <w:r>
        <w:rPr>
          <w:rFonts w:hint="eastAsia" w:cs="宋体"/>
          <w:color w:val="auto"/>
          <w:sz w:val="21"/>
          <w:szCs w:val="21"/>
          <w:u w:val="single"/>
        </w:rPr>
        <w:t xml:space="preserve">                            </w:t>
      </w:r>
      <w:r>
        <w:rPr>
          <w:rFonts w:hint="eastAsia" w:cs="宋体"/>
          <w:color w:val="auto"/>
          <w:sz w:val="21"/>
          <w:szCs w:val="21"/>
        </w:rPr>
        <w:t>；</w:t>
      </w:r>
    </w:p>
    <w:p w14:paraId="507CDB8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职    务：</w:t>
      </w:r>
      <w:r>
        <w:rPr>
          <w:rFonts w:hint="eastAsia" w:cs="宋体"/>
          <w:color w:val="auto"/>
          <w:sz w:val="21"/>
          <w:szCs w:val="21"/>
          <w:u w:val="single"/>
        </w:rPr>
        <w:t xml:space="preserve">                            </w:t>
      </w:r>
      <w:r>
        <w:rPr>
          <w:rFonts w:hint="eastAsia" w:cs="宋体"/>
          <w:color w:val="auto"/>
          <w:sz w:val="21"/>
          <w:szCs w:val="21"/>
        </w:rPr>
        <w:t>；</w:t>
      </w:r>
    </w:p>
    <w:p w14:paraId="099CB6D3">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监理工程师执业资格证书号：</w:t>
      </w:r>
      <w:r>
        <w:rPr>
          <w:rFonts w:hint="eastAsia" w:cs="宋体"/>
          <w:color w:val="auto"/>
          <w:sz w:val="21"/>
          <w:szCs w:val="21"/>
          <w:u w:val="single"/>
        </w:rPr>
        <w:t xml:space="preserve">            </w:t>
      </w:r>
      <w:r>
        <w:rPr>
          <w:rFonts w:hint="eastAsia" w:cs="宋体"/>
          <w:color w:val="auto"/>
          <w:sz w:val="21"/>
          <w:szCs w:val="21"/>
        </w:rPr>
        <w:t>；</w:t>
      </w:r>
    </w:p>
    <w:p w14:paraId="5957C1E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联系电话：</w:t>
      </w:r>
      <w:r>
        <w:rPr>
          <w:rFonts w:hint="eastAsia" w:cs="宋体"/>
          <w:color w:val="auto"/>
          <w:sz w:val="21"/>
          <w:szCs w:val="21"/>
          <w:u w:val="single"/>
        </w:rPr>
        <w:t xml:space="preserve">                            </w:t>
      </w:r>
      <w:r>
        <w:rPr>
          <w:rFonts w:hint="eastAsia" w:cs="宋体"/>
          <w:color w:val="auto"/>
          <w:sz w:val="21"/>
          <w:szCs w:val="21"/>
        </w:rPr>
        <w:t>；</w:t>
      </w:r>
    </w:p>
    <w:p w14:paraId="5AA78D2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电子信箱：</w:t>
      </w:r>
      <w:r>
        <w:rPr>
          <w:rFonts w:hint="eastAsia" w:cs="宋体"/>
          <w:color w:val="auto"/>
          <w:sz w:val="21"/>
          <w:szCs w:val="21"/>
          <w:u w:val="single"/>
        </w:rPr>
        <w:t xml:space="preserve">                            </w:t>
      </w:r>
      <w:r>
        <w:rPr>
          <w:rFonts w:hint="eastAsia" w:cs="宋体"/>
          <w:color w:val="auto"/>
          <w:sz w:val="21"/>
          <w:szCs w:val="21"/>
        </w:rPr>
        <w:t>；</w:t>
      </w:r>
    </w:p>
    <w:p w14:paraId="2EAF389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通信地址：</w:t>
      </w:r>
      <w:r>
        <w:rPr>
          <w:rFonts w:hint="eastAsia" w:cs="宋体"/>
          <w:color w:val="auto"/>
          <w:sz w:val="21"/>
          <w:szCs w:val="21"/>
          <w:u w:val="single"/>
        </w:rPr>
        <w:t xml:space="preserve">                            </w:t>
      </w:r>
      <w:r>
        <w:rPr>
          <w:rFonts w:hint="eastAsia" w:cs="宋体"/>
          <w:color w:val="auto"/>
          <w:sz w:val="21"/>
          <w:szCs w:val="21"/>
        </w:rPr>
        <w:t>；</w:t>
      </w:r>
    </w:p>
    <w:p w14:paraId="62E857B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关于监理人的其他约定：</w:t>
      </w:r>
      <w:r>
        <w:rPr>
          <w:rFonts w:hint="eastAsia" w:cs="宋体"/>
          <w:color w:val="auto"/>
          <w:sz w:val="21"/>
          <w:szCs w:val="21"/>
          <w:u w:val="single"/>
        </w:rPr>
        <w:t xml:space="preserve">                </w:t>
      </w:r>
      <w:r>
        <w:rPr>
          <w:rFonts w:hint="eastAsia" w:cs="宋体"/>
          <w:color w:val="auto"/>
          <w:sz w:val="21"/>
          <w:szCs w:val="21"/>
        </w:rPr>
        <w:t>。</w:t>
      </w:r>
    </w:p>
    <w:p w14:paraId="0FCD0176">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4.4 商定或确定</w:t>
      </w:r>
    </w:p>
    <w:p w14:paraId="31DA74F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bookmarkStart w:id="159" w:name="_Toc267251418"/>
      <w:r>
        <w:rPr>
          <w:rFonts w:hint="eastAsia" w:cs="宋体"/>
          <w:color w:val="auto"/>
          <w:sz w:val="21"/>
          <w:szCs w:val="21"/>
        </w:rPr>
        <w:t>在发包人和承包人不能通过协商达成一致意见时，发包人授权监理人对以下事项进行确定：</w:t>
      </w:r>
    </w:p>
    <w:p w14:paraId="4E055B8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w:t>
      </w:r>
      <w:r>
        <w:rPr>
          <w:rFonts w:hint="eastAsia" w:cs="宋体"/>
          <w:color w:val="auto"/>
          <w:sz w:val="21"/>
          <w:szCs w:val="21"/>
          <w:u w:val="single"/>
        </w:rPr>
        <w:t xml:space="preserve">                            </w:t>
      </w:r>
      <w:r>
        <w:rPr>
          <w:rFonts w:hint="eastAsia" w:cs="宋体"/>
          <w:color w:val="auto"/>
          <w:sz w:val="21"/>
          <w:szCs w:val="21"/>
        </w:rPr>
        <w:t>；</w:t>
      </w:r>
    </w:p>
    <w:p w14:paraId="58E301D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w:t>
      </w:r>
      <w:r>
        <w:rPr>
          <w:rFonts w:hint="eastAsia" w:cs="宋体"/>
          <w:color w:val="auto"/>
          <w:sz w:val="21"/>
          <w:szCs w:val="21"/>
          <w:u w:val="single"/>
        </w:rPr>
        <w:t xml:space="preserve">                            </w:t>
      </w:r>
      <w:r>
        <w:rPr>
          <w:rFonts w:hint="eastAsia" w:cs="宋体"/>
          <w:color w:val="auto"/>
          <w:sz w:val="21"/>
          <w:szCs w:val="21"/>
        </w:rPr>
        <w:t>；</w:t>
      </w:r>
    </w:p>
    <w:p w14:paraId="0A3658F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（3）</w:t>
      </w:r>
      <w:r>
        <w:rPr>
          <w:rFonts w:hint="eastAsia" w:cs="宋体"/>
          <w:color w:val="auto"/>
          <w:sz w:val="21"/>
          <w:szCs w:val="21"/>
          <w:u w:val="single"/>
        </w:rPr>
        <w:t xml:space="preserve">                            </w:t>
      </w:r>
      <w:r>
        <w:rPr>
          <w:rFonts w:hint="eastAsia" w:cs="宋体"/>
          <w:color w:val="auto"/>
          <w:sz w:val="21"/>
          <w:szCs w:val="21"/>
        </w:rPr>
        <w:t>。</w:t>
      </w:r>
    </w:p>
    <w:p w14:paraId="44A7AA09">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160" w:name="_Toc351203637"/>
      <w:r>
        <w:rPr>
          <w:rFonts w:hint="eastAsia" w:cs="宋体"/>
          <w:color w:val="auto"/>
          <w:sz w:val="21"/>
          <w:szCs w:val="21"/>
        </w:rPr>
        <w:t>5</w:t>
      </w:r>
      <w:bookmarkEnd w:id="159"/>
      <w:bookmarkStart w:id="161" w:name="_Toc297048349"/>
      <w:bookmarkStart w:id="162" w:name="_Toc296891203"/>
      <w:bookmarkStart w:id="163" w:name="_Toc296944502"/>
      <w:bookmarkStart w:id="164" w:name="_Toc296890991"/>
      <w:bookmarkStart w:id="165" w:name="_Toc296346664"/>
      <w:bookmarkStart w:id="166" w:name="_Toc296503163"/>
      <w:bookmarkStart w:id="167" w:name="_Toc296347162"/>
      <w:bookmarkStart w:id="168" w:name="_Toc292559872"/>
      <w:bookmarkStart w:id="169" w:name="_Toc297120463"/>
      <w:bookmarkStart w:id="170" w:name="_Toc292559367"/>
      <w:r>
        <w:rPr>
          <w:rFonts w:hint="eastAsia" w:cs="宋体"/>
          <w:color w:val="auto"/>
          <w:sz w:val="21"/>
          <w:szCs w:val="21"/>
        </w:rPr>
        <w:t>. 工程质量</w:t>
      </w:r>
      <w:bookmarkEnd w:id="160"/>
    </w:p>
    <w:p w14:paraId="77935D67">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5.1 质量要求</w:t>
      </w:r>
    </w:p>
    <w:p w14:paraId="4957690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5</w:t>
      </w:r>
      <w:bookmarkStart w:id="171" w:name="_Toc297123496"/>
      <w:bookmarkStart w:id="172" w:name="_Toc304295527"/>
      <w:bookmarkStart w:id="173" w:name="_Toc297216155"/>
      <w:bookmarkStart w:id="174" w:name="_Toc312677997"/>
      <w:bookmarkStart w:id="175" w:name="_Toc303539106"/>
      <w:bookmarkStart w:id="176" w:name="_Toc300934949"/>
      <w:bookmarkStart w:id="177" w:name="_Toc318581164"/>
      <w:r>
        <w:rPr>
          <w:rFonts w:hint="eastAsia" w:cs="宋体"/>
          <w:color w:val="auto"/>
          <w:sz w:val="21"/>
          <w:szCs w:val="21"/>
        </w:rPr>
        <w:t>.1.1 特殊质量标准和要求：</w:t>
      </w:r>
      <w:r>
        <w:rPr>
          <w:rFonts w:hint="eastAsia" w:cs="宋体"/>
          <w:color w:val="auto"/>
          <w:sz w:val="21"/>
          <w:szCs w:val="21"/>
          <w:u w:val="single"/>
        </w:rPr>
        <w:t>见《专用合同条款数据表》</w:t>
      </w:r>
      <w:r>
        <w:rPr>
          <w:rFonts w:hint="eastAsia" w:cs="宋体"/>
          <w:color w:val="auto"/>
          <w:sz w:val="21"/>
          <w:szCs w:val="21"/>
        </w:rPr>
        <w:t>。</w:t>
      </w:r>
    </w:p>
    <w:p w14:paraId="6DFC29C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关于工程奖项的约定：</w:t>
      </w:r>
      <w:r>
        <w:rPr>
          <w:rFonts w:hint="eastAsia" w:cs="宋体"/>
          <w:color w:val="auto"/>
          <w:sz w:val="21"/>
          <w:szCs w:val="21"/>
          <w:u w:val="single"/>
        </w:rPr>
        <w:t>见《专用合同条款数据表》</w:t>
      </w:r>
      <w:r>
        <w:rPr>
          <w:rFonts w:hint="eastAsia" w:cs="宋体"/>
          <w:color w:val="auto"/>
          <w:sz w:val="21"/>
          <w:szCs w:val="21"/>
        </w:rPr>
        <w:t>。</w:t>
      </w:r>
    </w:p>
    <w:p w14:paraId="5A344579">
      <w:pPr>
        <w:pageBreakBefore w:val="0"/>
        <w:widowControl w:val="0"/>
        <w:kinsoku/>
        <w:wordWrap/>
        <w:overflowPunct/>
        <w:topLinePunct w:val="0"/>
        <w:bidi w:val="0"/>
        <w:snapToGrid w:val="0"/>
        <w:spacing w:line="440" w:lineRule="exact"/>
        <w:ind w:firstLine="420" w:firstLineChars="200"/>
        <w:jc w:val="left"/>
        <w:textAlignment w:val="auto"/>
        <w:rPr>
          <w:rFonts w:cs="宋体"/>
          <w:color w:val="auto"/>
          <w:sz w:val="21"/>
          <w:szCs w:val="21"/>
        </w:rPr>
      </w:pPr>
      <w:bookmarkStart w:id="178" w:name="_Toc351203638"/>
      <w:r>
        <w:rPr>
          <w:rFonts w:hint="eastAsia" w:cs="宋体"/>
          <w:color w:val="auto"/>
          <w:sz w:val="21"/>
          <w:szCs w:val="21"/>
        </w:rPr>
        <w:t>关于建造要求：</w:t>
      </w:r>
    </w:p>
    <w:p w14:paraId="5F0D361A">
      <w:pPr>
        <w:pStyle w:val="14"/>
        <w:pageBreakBefore w:val="0"/>
        <w:widowControl w:val="0"/>
        <w:kinsoku/>
        <w:wordWrap/>
        <w:overflowPunct/>
        <w:topLinePunct w:val="0"/>
        <w:bidi w:val="0"/>
        <w:snapToGrid w:val="0"/>
        <w:spacing w:line="440" w:lineRule="exact"/>
        <w:ind w:firstLine="480"/>
        <w:textAlignment w:val="auto"/>
        <w:rPr>
          <w:rFonts w:hAnsi="宋体" w:cs="宋体"/>
          <w:color w:val="auto"/>
          <w:sz w:val="21"/>
          <w:szCs w:val="21"/>
        </w:rPr>
      </w:pPr>
      <w:r>
        <w:rPr>
          <w:rFonts w:hint="eastAsia" w:hAnsi="宋体" w:cs="宋体"/>
          <w:color w:val="auto"/>
          <w:sz w:val="21"/>
          <w:szCs w:val="21"/>
        </w:rPr>
        <w:t>（1）绿色建筑等级要求：</w:t>
      </w:r>
      <w:r>
        <w:rPr>
          <w:rFonts w:hint="eastAsia" w:hAnsi="宋体" w:cs="宋体"/>
          <w:color w:val="auto"/>
          <w:sz w:val="21"/>
          <w:szCs w:val="21"/>
          <w:u w:val="single"/>
        </w:rPr>
        <w:t>见《专用合同条款数据表》</w:t>
      </w:r>
      <w:r>
        <w:rPr>
          <w:rFonts w:hint="eastAsia" w:hAnsi="宋体" w:cs="宋体"/>
          <w:color w:val="auto"/>
          <w:sz w:val="21"/>
          <w:szCs w:val="21"/>
        </w:rPr>
        <w:t>；</w:t>
      </w:r>
    </w:p>
    <w:p w14:paraId="09299A7E">
      <w:pPr>
        <w:pStyle w:val="14"/>
        <w:pageBreakBefore w:val="0"/>
        <w:widowControl w:val="0"/>
        <w:kinsoku/>
        <w:wordWrap/>
        <w:overflowPunct/>
        <w:topLinePunct w:val="0"/>
        <w:bidi w:val="0"/>
        <w:snapToGrid w:val="0"/>
        <w:spacing w:line="440" w:lineRule="exact"/>
        <w:ind w:firstLine="480"/>
        <w:textAlignment w:val="auto"/>
        <w:rPr>
          <w:rFonts w:hAnsi="宋体" w:cs="宋体"/>
          <w:color w:val="auto"/>
          <w:sz w:val="21"/>
          <w:szCs w:val="21"/>
        </w:rPr>
      </w:pPr>
      <w:r>
        <w:rPr>
          <w:rFonts w:hint="eastAsia" w:hAnsi="宋体" w:cs="宋体"/>
          <w:color w:val="auto"/>
          <w:sz w:val="21"/>
          <w:szCs w:val="21"/>
        </w:rPr>
        <w:t>（2）智慧工地管理要求：</w:t>
      </w:r>
      <w:r>
        <w:rPr>
          <w:rFonts w:hint="eastAsia" w:hAnsi="宋体" w:cs="宋体"/>
          <w:color w:val="auto"/>
          <w:sz w:val="21"/>
          <w:szCs w:val="21"/>
          <w:u w:val="single"/>
        </w:rPr>
        <w:t>见《专用合同条款数据表》</w:t>
      </w:r>
      <w:r>
        <w:rPr>
          <w:rFonts w:hint="eastAsia" w:hAnsi="宋体" w:cs="宋体"/>
          <w:color w:val="auto"/>
          <w:sz w:val="21"/>
          <w:szCs w:val="21"/>
        </w:rPr>
        <w:t>；</w:t>
      </w:r>
    </w:p>
    <w:p w14:paraId="571DAB5A">
      <w:pPr>
        <w:pStyle w:val="14"/>
        <w:pageBreakBefore w:val="0"/>
        <w:widowControl w:val="0"/>
        <w:kinsoku/>
        <w:wordWrap/>
        <w:overflowPunct/>
        <w:topLinePunct w:val="0"/>
        <w:bidi w:val="0"/>
        <w:snapToGrid w:val="0"/>
        <w:spacing w:line="440" w:lineRule="exact"/>
        <w:ind w:firstLine="480"/>
        <w:textAlignment w:val="auto"/>
        <w:rPr>
          <w:rFonts w:hAnsi="宋体" w:cs="宋体"/>
          <w:color w:val="auto"/>
          <w:sz w:val="21"/>
          <w:szCs w:val="21"/>
        </w:rPr>
      </w:pPr>
      <w:r>
        <w:rPr>
          <w:rFonts w:hint="eastAsia" w:hAnsi="宋体" w:cs="宋体"/>
          <w:color w:val="auto"/>
          <w:sz w:val="21"/>
          <w:szCs w:val="21"/>
        </w:rPr>
        <w:t>（3）建筑垃圾减量化目标：</w:t>
      </w:r>
      <w:r>
        <w:rPr>
          <w:rFonts w:hint="eastAsia" w:hAnsi="宋体" w:cs="宋体"/>
          <w:color w:val="auto"/>
          <w:sz w:val="21"/>
          <w:szCs w:val="21"/>
          <w:u w:val="single"/>
        </w:rPr>
        <w:t>见《专用合同条款数据表》</w:t>
      </w:r>
      <w:r>
        <w:rPr>
          <w:rFonts w:hint="eastAsia" w:hAnsi="宋体" w:cs="宋体"/>
          <w:color w:val="auto"/>
          <w:sz w:val="21"/>
          <w:szCs w:val="21"/>
        </w:rPr>
        <w:t>；</w:t>
      </w:r>
    </w:p>
    <w:p w14:paraId="3B52E03E">
      <w:pPr>
        <w:pageBreakBefore w:val="0"/>
        <w:widowControl w:val="0"/>
        <w:kinsoku/>
        <w:wordWrap/>
        <w:overflowPunct/>
        <w:topLinePunct w:val="0"/>
        <w:bidi w:val="0"/>
        <w:snapToGrid w:val="0"/>
        <w:spacing w:line="440" w:lineRule="exact"/>
        <w:ind w:firstLine="420" w:firstLineChars="200"/>
        <w:jc w:val="left"/>
        <w:textAlignment w:val="auto"/>
        <w:rPr>
          <w:rFonts w:cs="宋体"/>
          <w:color w:val="auto"/>
          <w:sz w:val="21"/>
          <w:szCs w:val="21"/>
        </w:rPr>
      </w:pPr>
      <w:r>
        <w:rPr>
          <w:rFonts w:hint="eastAsia" w:cs="宋体"/>
          <w:color w:val="auto"/>
          <w:sz w:val="21"/>
          <w:szCs w:val="21"/>
        </w:rPr>
        <w:t>（4）装配式建筑装配率要求：</w:t>
      </w:r>
      <w:r>
        <w:rPr>
          <w:rFonts w:hint="eastAsia" w:cs="宋体"/>
          <w:color w:val="auto"/>
          <w:sz w:val="21"/>
          <w:szCs w:val="21"/>
          <w:u w:val="single"/>
        </w:rPr>
        <w:t>见《专用合同条款数据表》</w:t>
      </w:r>
      <w:r>
        <w:rPr>
          <w:rFonts w:hint="eastAsia" w:cs="宋体"/>
          <w:color w:val="auto"/>
          <w:sz w:val="21"/>
          <w:szCs w:val="21"/>
        </w:rPr>
        <w:t>；</w:t>
      </w:r>
    </w:p>
    <w:p w14:paraId="20049695">
      <w:pPr>
        <w:pageBreakBefore w:val="0"/>
        <w:widowControl w:val="0"/>
        <w:kinsoku/>
        <w:wordWrap/>
        <w:overflowPunct/>
        <w:topLinePunct w:val="0"/>
        <w:bidi w:val="0"/>
        <w:snapToGrid w:val="0"/>
        <w:spacing w:line="440" w:lineRule="exact"/>
        <w:ind w:firstLine="420" w:firstLineChars="200"/>
        <w:jc w:val="left"/>
        <w:textAlignment w:val="auto"/>
        <w:rPr>
          <w:rFonts w:cs="宋体"/>
          <w:color w:val="auto"/>
          <w:sz w:val="21"/>
          <w:szCs w:val="21"/>
        </w:rPr>
      </w:pPr>
      <w:r>
        <w:rPr>
          <w:rFonts w:hint="eastAsia" w:cs="宋体"/>
          <w:color w:val="auto"/>
          <w:sz w:val="21"/>
          <w:szCs w:val="21"/>
        </w:rPr>
        <w:t>（5）</w:t>
      </w:r>
      <w:r>
        <w:rPr>
          <w:rFonts w:hint="eastAsia" w:cs="宋体"/>
          <w:color w:val="auto"/>
          <w:sz w:val="21"/>
          <w:szCs w:val="21"/>
          <w:u w:val="single"/>
        </w:rPr>
        <w:t>见《专用合同条款数据表》</w:t>
      </w:r>
      <w:r>
        <w:rPr>
          <w:rFonts w:hint="eastAsia" w:cs="宋体"/>
          <w:color w:val="auto"/>
          <w:sz w:val="21"/>
          <w:szCs w:val="21"/>
        </w:rPr>
        <w:t>。</w:t>
      </w:r>
    </w:p>
    <w:p w14:paraId="408AF29B">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5.3 隐蔽工程检查</w:t>
      </w:r>
    </w:p>
    <w:p w14:paraId="7D30EF0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5.3.2 承包人提前通知监理人隐蔽工程检查的期限的约定：</w:t>
      </w:r>
      <w:r>
        <w:rPr>
          <w:rFonts w:hint="eastAsia" w:cs="宋体"/>
          <w:color w:val="auto"/>
          <w:sz w:val="21"/>
          <w:szCs w:val="21"/>
          <w:u w:val="single"/>
        </w:rPr>
        <w:t>工程具备隐蔽条件或达到中间验收部位时，承包人自检合格后，在隐蔽和中间验收 48 小时前书面通知甲方代表和监理工程师参加。通知应包含承包人自检记录、隐蔽和中间验收的内容、时间和地点。承包人准备验收记录，验收合格，甲方代表及监理工程师在验收记录上签字后，方可进行隐蔽和继续施工。验收不合格，承包人在限定时间内重新验收。承包人不服从质量管理的，发包人有权清退其出场，并赔偿因此而造成的一切损失</w:t>
      </w:r>
      <w:r>
        <w:rPr>
          <w:rFonts w:hint="eastAsia" w:cs="宋体"/>
          <w:color w:val="auto"/>
          <w:sz w:val="21"/>
          <w:szCs w:val="21"/>
        </w:rPr>
        <w:t>。</w:t>
      </w:r>
    </w:p>
    <w:p w14:paraId="219073C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监理人不能按时进行检查时，应提前</w:t>
      </w:r>
      <w:r>
        <w:rPr>
          <w:rFonts w:hint="eastAsia" w:cs="宋体"/>
          <w:color w:val="auto"/>
          <w:sz w:val="21"/>
          <w:szCs w:val="21"/>
          <w:u w:val="single"/>
        </w:rPr>
        <w:t xml:space="preserve"> </w:t>
      </w:r>
      <w:r>
        <w:rPr>
          <w:rFonts w:hint="eastAsia" w:cs="宋体"/>
          <w:color w:val="auto"/>
          <w:sz w:val="21"/>
          <w:szCs w:val="21"/>
          <w:u w:val="single"/>
          <w:lang w:val="en-US" w:eastAsia="zh-CN"/>
        </w:rPr>
        <w:t>24</w:t>
      </w:r>
      <w:r>
        <w:rPr>
          <w:rFonts w:hint="eastAsia" w:cs="宋体"/>
          <w:color w:val="auto"/>
          <w:sz w:val="21"/>
          <w:szCs w:val="21"/>
          <w:u w:val="single"/>
        </w:rPr>
        <w:t xml:space="preserve"> </w:t>
      </w:r>
      <w:r>
        <w:rPr>
          <w:rFonts w:hint="eastAsia" w:cs="宋体"/>
          <w:color w:val="auto"/>
          <w:sz w:val="21"/>
          <w:szCs w:val="21"/>
        </w:rPr>
        <w:t>小时提交书面延期要求。</w:t>
      </w:r>
    </w:p>
    <w:p w14:paraId="309DA03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关于延期最长不得超过：</w:t>
      </w:r>
      <w:r>
        <w:rPr>
          <w:rFonts w:hint="eastAsia" w:cs="宋体"/>
          <w:color w:val="auto"/>
          <w:sz w:val="21"/>
          <w:szCs w:val="21"/>
          <w:u w:val="single"/>
        </w:rPr>
        <w:t xml:space="preserve"> </w:t>
      </w:r>
      <w:r>
        <w:rPr>
          <w:rFonts w:hint="eastAsia" w:cs="宋体"/>
          <w:color w:val="auto"/>
          <w:sz w:val="21"/>
          <w:szCs w:val="21"/>
          <w:u w:val="single"/>
          <w:lang w:val="en-US" w:eastAsia="zh-CN"/>
        </w:rPr>
        <w:t>48</w:t>
      </w:r>
      <w:r>
        <w:rPr>
          <w:rFonts w:hint="eastAsia" w:cs="宋体"/>
          <w:color w:val="auto"/>
          <w:sz w:val="21"/>
          <w:szCs w:val="21"/>
          <w:u w:val="single"/>
        </w:rPr>
        <w:t xml:space="preserve"> </w:t>
      </w:r>
      <w:r>
        <w:rPr>
          <w:rFonts w:hint="eastAsia" w:cs="宋体"/>
          <w:color w:val="auto"/>
          <w:sz w:val="21"/>
          <w:szCs w:val="21"/>
        </w:rPr>
        <w:t>小时。</w:t>
      </w:r>
    </w:p>
    <w:p w14:paraId="342C7D47">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5</w:t>
      </w:r>
      <w:bookmarkStart w:id="179" w:name="_Toc337558762"/>
      <w:r>
        <w:rPr>
          <w:rFonts w:hint="eastAsia" w:cs="宋体"/>
          <w:bCs/>
          <w:color w:val="auto"/>
          <w:sz w:val="21"/>
          <w:szCs w:val="21"/>
        </w:rPr>
        <w:t>.4 不合格工程的处理</w:t>
      </w:r>
    </w:p>
    <w:bookmarkEnd w:id="179"/>
    <w:p w14:paraId="1742354A">
      <w:pPr>
        <w:pageBreakBefore w:val="0"/>
        <w:widowControl w:val="0"/>
        <w:kinsoku/>
        <w:wordWrap/>
        <w:overflowPunct/>
        <w:topLinePunct w:val="0"/>
        <w:bidi w:val="0"/>
        <w:snapToGrid w:val="0"/>
        <w:spacing w:line="440" w:lineRule="exact"/>
        <w:ind w:firstLine="420" w:firstLineChars="200"/>
        <w:jc w:val="left"/>
        <w:textAlignment w:val="auto"/>
        <w:rPr>
          <w:rFonts w:cs="宋体"/>
          <w:color w:val="auto"/>
          <w:sz w:val="21"/>
          <w:szCs w:val="21"/>
        </w:rPr>
      </w:pPr>
      <w:r>
        <w:rPr>
          <w:rFonts w:hint="eastAsia" w:cs="宋体"/>
          <w:color w:val="auto"/>
          <w:sz w:val="21"/>
          <w:szCs w:val="21"/>
        </w:rPr>
        <w:t>本款补充5.4.3项：</w:t>
      </w:r>
    </w:p>
    <w:p w14:paraId="4248E65F">
      <w:pPr>
        <w:pageBreakBefore w:val="0"/>
        <w:widowControl w:val="0"/>
        <w:kinsoku/>
        <w:wordWrap/>
        <w:overflowPunct/>
        <w:topLinePunct w:val="0"/>
        <w:bidi w:val="0"/>
        <w:snapToGrid w:val="0"/>
        <w:spacing w:line="440" w:lineRule="exact"/>
        <w:ind w:firstLine="420" w:firstLineChars="200"/>
        <w:jc w:val="left"/>
        <w:textAlignment w:val="auto"/>
        <w:rPr>
          <w:rFonts w:cs="宋体"/>
          <w:color w:val="auto"/>
          <w:sz w:val="21"/>
          <w:szCs w:val="21"/>
        </w:rPr>
      </w:pPr>
      <w:r>
        <w:rPr>
          <w:rFonts w:hint="eastAsia" w:cs="宋体"/>
          <w:color w:val="auto"/>
          <w:sz w:val="21"/>
          <w:szCs w:val="21"/>
        </w:rPr>
        <w:t>5.4.3 承包人在收到监理人发出的《不合格分项报告》或监理通知单后，必须在监理人规定时间内按要求完成整改，未能在限定时间内完成整改的，须承担相应违约责任。</w:t>
      </w:r>
    </w:p>
    <w:p w14:paraId="2AA16C39">
      <w:pPr>
        <w:pageBreakBefore w:val="0"/>
        <w:widowControl w:val="0"/>
        <w:kinsoku/>
        <w:wordWrap/>
        <w:overflowPunct/>
        <w:topLinePunct w:val="0"/>
        <w:bidi w:val="0"/>
        <w:snapToGrid w:val="0"/>
        <w:spacing w:line="440" w:lineRule="exact"/>
        <w:ind w:firstLine="420" w:firstLineChars="200"/>
        <w:jc w:val="left"/>
        <w:textAlignment w:val="auto"/>
        <w:rPr>
          <w:rFonts w:cs="宋体"/>
          <w:color w:val="auto"/>
          <w:sz w:val="21"/>
          <w:szCs w:val="21"/>
        </w:rPr>
      </w:pPr>
      <w:r>
        <w:rPr>
          <w:rFonts w:hint="eastAsia" w:cs="宋体"/>
          <w:color w:val="auto"/>
          <w:sz w:val="21"/>
          <w:szCs w:val="21"/>
        </w:rPr>
        <w:t>本条补充5.6款：</w:t>
      </w:r>
    </w:p>
    <w:p w14:paraId="0997DBC6">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bookmarkStart w:id="180" w:name="_Toc532377348"/>
      <w:r>
        <w:rPr>
          <w:rFonts w:hint="eastAsia" w:cs="宋体"/>
          <w:bCs/>
          <w:color w:val="auto"/>
          <w:sz w:val="21"/>
          <w:szCs w:val="21"/>
        </w:rPr>
        <w:t>5.6 质量事故的处理</w:t>
      </w:r>
      <w:bookmarkEnd w:id="180"/>
    </w:p>
    <w:p w14:paraId="6F16E9DF">
      <w:pPr>
        <w:pageBreakBefore w:val="0"/>
        <w:widowControl w:val="0"/>
        <w:kinsoku/>
        <w:wordWrap/>
        <w:overflowPunct/>
        <w:topLinePunct w:val="0"/>
        <w:bidi w:val="0"/>
        <w:snapToGrid w:val="0"/>
        <w:spacing w:line="440" w:lineRule="exact"/>
        <w:ind w:firstLine="420" w:firstLineChars="200"/>
        <w:jc w:val="left"/>
        <w:textAlignment w:val="auto"/>
        <w:rPr>
          <w:rFonts w:cs="宋体"/>
          <w:color w:val="auto"/>
          <w:sz w:val="21"/>
          <w:szCs w:val="21"/>
        </w:rPr>
      </w:pPr>
      <w:r>
        <w:rPr>
          <w:rFonts w:hint="eastAsia" w:cs="宋体"/>
          <w:color w:val="auto"/>
          <w:sz w:val="21"/>
          <w:szCs w:val="21"/>
        </w:rPr>
        <w:t>5.6.1 合同履行过程中，发生工程质量事故的调查处理按照国家现行规定处理。</w:t>
      </w:r>
    </w:p>
    <w:p w14:paraId="043ACA1B">
      <w:pPr>
        <w:pageBreakBefore w:val="0"/>
        <w:widowControl w:val="0"/>
        <w:kinsoku/>
        <w:wordWrap/>
        <w:overflowPunct/>
        <w:topLinePunct w:val="0"/>
        <w:bidi w:val="0"/>
        <w:snapToGrid w:val="0"/>
        <w:spacing w:line="440" w:lineRule="exact"/>
        <w:ind w:firstLine="420" w:firstLineChars="200"/>
        <w:jc w:val="left"/>
        <w:textAlignment w:val="auto"/>
        <w:rPr>
          <w:rFonts w:cs="宋体"/>
          <w:color w:val="auto"/>
          <w:sz w:val="21"/>
          <w:szCs w:val="21"/>
        </w:rPr>
      </w:pPr>
      <w:r>
        <w:rPr>
          <w:rFonts w:hint="eastAsia" w:cs="宋体"/>
          <w:color w:val="auto"/>
          <w:sz w:val="21"/>
          <w:szCs w:val="21"/>
        </w:rPr>
        <w:t>5.6.2 发包人在对工程质量、安全和环境保护、水土保持等建设全过程管理中发现有技术、质量和其他问题的，可通过监理人责令承包人返工或整改；对存在的隐患，有权责令承包人予以解决，承包人按照合同中其他条款约定承担违约责任。</w:t>
      </w:r>
    </w:p>
    <w:p w14:paraId="05AC5615">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r>
        <w:rPr>
          <w:rFonts w:hint="eastAsia" w:cs="宋体"/>
          <w:color w:val="auto"/>
          <w:sz w:val="21"/>
          <w:szCs w:val="21"/>
        </w:rPr>
        <w:t>6. 安全文明施工与环境保护</w:t>
      </w:r>
      <w:bookmarkEnd w:id="178"/>
    </w:p>
    <w:p w14:paraId="2FA4A80F">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6.1 安全文明施工</w:t>
      </w:r>
    </w:p>
    <w:p w14:paraId="1B211CA5">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6.1.1 项目安全生产的达标目标及相应事项的约定：</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4B4E435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6.1.4 关于治安保卫的特别约定：</w:t>
      </w:r>
      <w:r>
        <w:rPr>
          <w:rFonts w:hint="eastAsia" w:cs="宋体"/>
          <w:color w:val="auto"/>
          <w:sz w:val="21"/>
          <w:szCs w:val="21"/>
          <w:u w:val="single"/>
        </w:rPr>
        <w:t xml:space="preserve"> 由承包人负责  </w:t>
      </w:r>
      <w:r>
        <w:rPr>
          <w:rFonts w:hint="eastAsia" w:cs="宋体"/>
          <w:color w:val="auto"/>
          <w:sz w:val="21"/>
          <w:szCs w:val="21"/>
        </w:rPr>
        <w:t>。</w:t>
      </w:r>
    </w:p>
    <w:p w14:paraId="03E5C45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关于编制施工场地治安管理计划的约定：</w:t>
      </w:r>
      <w:r>
        <w:rPr>
          <w:rFonts w:hint="eastAsia" w:cs="宋体"/>
          <w:color w:val="auto"/>
          <w:sz w:val="21"/>
          <w:szCs w:val="21"/>
          <w:u w:val="single"/>
        </w:rPr>
        <w:t xml:space="preserve"> 由承包人负责 </w:t>
      </w:r>
      <w:r>
        <w:rPr>
          <w:rFonts w:hint="eastAsia" w:cs="宋体"/>
          <w:color w:val="auto"/>
          <w:sz w:val="21"/>
          <w:szCs w:val="21"/>
        </w:rPr>
        <w:t>。</w:t>
      </w:r>
    </w:p>
    <w:p w14:paraId="1FEE136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6.1.5 文明施工</w:t>
      </w:r>
    </w:p>
    <w:p w14:paraId="59C40C0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合同当事人对文明施工的要求：</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 xml:space="preserve">执行通用条款          </w:t>
      </w:r>
      <w:r>
        <w:rPr>
          <w:rFonts w:hint="eastAsia" w:cs="宋体"/>
          <w:color w:val="auto"/>
          <w:sz w:val="21"/>
          <w:szCs w:val="21"/>
        </w:rPr>
        <w:t>。</w:t>
      </w:r>
    </w:p>
    <w:p w14:paraId="302FE12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6.1.6 关于安全文明施工费支付比例和支付期限的约定：</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bookmarkEnd w:id="171"/>
    <w:bookmarkEnd w:id="172"/>
    <w:bookmarkEnd w:id="173"/>
    <w:bookmarkEnd w:id="174"/>
    <w:bookmarkEnd w:id="175"/>
    <w:bookmarkEnd w:id="176"/>
    <w:bookmarkEnd w:id="177"/>
    <w:p w14:paraId="170963D0">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181" w:name="_Toc351203639"/>
      <w:r>
        <w:rPr>
          <w:rFonts w:hint="eastAsia" w:cs="宋体"/>
          <w:color w:val="auto"/>
          <w:sz w:val="21"/>
          <w:szCs w:val="21"/>
        </w:rPr>
        <w:t>7. 工期和进度</w:t>
      </w:r>
      <w:bookmarkEnd w:id="181"/>
    </w:p>
    <w:p w14:paraId="01774EA1">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7.1 施工组织设计</w:t>
      </w:r>
    </w:p>
    <w:p w14:paraId="4C85522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7.1.1 合同当事人约定的施工组织设计应包括的其他内容：</w:t>
      </w:r>
      <w:r>
        <w:rPr>
          <w:rFonts w:hint="eastAsia" w:cs="宋体"/>
          <w:color w:val="auto"/>
          <w:sz w:val="21"/>
          <w:szCs w:val="21"/>
          <w:u w:val="single"/>
        </w:rPr>
        <w:t>总进度计划须含网络图、横道图。</w:t>
      </w:r>
    </w:p>
    <w:p w14:paraId="4EC8A663">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7.1.2 施工组织设计的提交和修改</w:t>
      </w:r>
    </w:p>
    <w:p w14:paraId="0BE20A9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承包人提交详细施工组织设计的期限的约定：</w:t>
      </w:r>
      <w:r>
        <w:rPr>
          <w:rFonts w:hint="eastAsia" w:cs="宋体"/>
          <w:color w:val="auto"/>
          <w:sz w:val="21"/>
          <w:szCs w:val="21"/>
          <w:u w:val="single"/>
        </w:rPr>
        <w:t>交底后一周内提供标后施工组织设计</w:t>
      </w:r>
      <w:r>
        <w:rPr>
          <w:rFonts w:hint="eastAsia" w:cs="宋体"/>
          <w:color w:val="auto"/>
          <w:sz w:val="21"/>
          <w:szCs w:val="21"/>
        </w:rPr>
        <w:t>。</w:t>
      </w:r>
    </w:p>
    <w:p w14:paraId="22B59E30">
      <w:pPr>
        <w:pageBreakBefore w:val="0"/>
        <w:widowControl w:val="0"/>
        <w:kinsoku/>
        <w:wordWrap/>
        <w:overflowPunct/>
        <w:topLinePunct w:val="0"/>
        <w:bidi w:val="0"/>
        <w:adjustRightInd w:val="0"/>
        <w:snapToGrid w:val="0"/>
        <w:spacing w:line="440" w:lineRule="exact"/>
        <w:ind w:firstLine="420" w:firstLineChars="200"/>
        <w:textAlignment w:val="auto"/>
        <w:rPr>
          <w:rFonts w:hint="eastAsia" w:cs="宋体"/>
          <w:color w:val="auto"/>
          <w:sz w:val="21"/>
          <w:szCs w:val="21"/>
          <w:u w:val="single"/>
        </w:rPr>
      </w:pPr>
      <w:r>
        <w:rPr>
          <w:rFonts w:hint="eastAsia" w:cs="宋体"/>
          <w:color w:val="auto"/>
          <w:sz w:val="21"/>
          <w:szCs w:val="21"/>
        </w:rPr>
        <w:t>发包人和监理人在收到详细的施工组织设计后确认或提出修改意见的期限：</w:t>
      </w:r>
      <w:r>
        <w:rPr>
          <w:rFonts w:hint="eastAsia" w:cs="宋体"/>
          <w:color w:val="auto"/>
          <w:sz w:val="21"/>
          <w:szCs w:val="21"/>
          <w:u w:val="single"/>
        </w:rPr>
        <w:t>甲方代表和</w:t>
      </w:r>
    </w:p>
    <w:p w14:paraId="1D6C1AA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u w:val="single"/>
        </w:rPr>
        <w:t>监理工程师应于收到承包人资料一周内予以确认，逾期不批复，可视为该施工组织设计（施工方案）和进度计划已经批准</w:t>
      </w:r>
      <w:r>
        <w:rPr>
          <w:rFonts w:hint="eastAsia" w:cs="宋体"/>
          <w:color w:val="auto"/>
          <w:sz w:val="21"/>
          <w:szCs w:val="21"/>
        </w:rPr>
        <w:t>。</w:t>
      </w:r>
    </w:p>
    <w:p w14:paraId="4616C85E">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7</w:t>
      </w:r>
      <w:bookmarkStart w:id="182" w:name="_Toc300934966"/>
      <w:bookmarkStart w:id="183" w:name="_Toc312677479"/>
      <w:bookmarkStart w:id="184" w:name="_Toc303539123"/>
      <w:bookmarkStart w:id="185" w:name="_Toc304295541"/>
      <w:bookmarkStart w:id="186" w:name="_Toc297216173"/>
      <w:bookmarkStart w:id="187" w:name="_Toc312678005"/>
      <w:bookmarkStart w:id="188" w:name="_Toc297123514"/>
      <w:r>
        <w:rPr>
          <w:rFonts w:hint="eastAsia" w:cs="宋体"/>
          <w:bCs/>
          <w:color w:val="auto"/>
          <w:sz w:val="21"/>
          <w:szCs w:val="21"/>
        </w:rPr>
        <w:t>.2 施工进度计划</w:t>
      </w:r>
    </w:p>
    <w:p w14:paraId="7DA28CB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7.2.2 施工进度计划的修订</w:t>
      </w:r>
    </w:p>
    <w:p w14:paraId="49CAF39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发包人和监理人在收到修订的施工进度计划后确认或提出修改意见的期限：</w:t>
      </w:r>
      <w:r>
        <w:rPr>
          <w:rFonts w:hint="eastAsia" w:cs="宋体"/>
          <w:color w:val="auto"/>
          <w:sz w:val="21"/>
          <w:szCs w:val="21"/>
          <w:u w:val="single"/>
        </w:rPr>
        <w:t xml:space="preserve">甲方代表和监理工程师应于收到承包人资料一周内予以确认，逾期不批复，可视为该施工组织设计（施工方案）已经批准。乙方必须按照批准的进度计划组织施工，接受甲方代表对进度的检查、监督。工程实际进展与进度计划不符时，承包人应立即修改进度计划和采取赶工措施，调整后的进度计划及相应的措施报告上报监理、甲方代表批准后执行  </w:t>
      </w:r>
      <w:r>
        <w:rPr>
          <w:rFonts w:hint="eastAsia" w:cs="宋体"/>
          <w:color w:val="auto"/>
          <w:sz w:val="21"/>
          <w:szCs w:val="21"/>
        </w:rPr>
        <w:t>。</w:t>
      </w:r>
    </w:p>
    <w:p w14:paraId="4148379F">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7.3 开工</w:t>
      </w:r>
    </w:p>
    <w:p w14:paraId="27F7C27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7.3.1 开工准备</w:t>
      </w:r>
    </w:p>
    <w:p w14:paraId="29147E1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关于承包人提交工程开工报审表的期限：</w:t>
      </w:r>
      <w:r>
        <w:rPr>
          <w:rFonts w:hint="eastAsia" w:cs="宋体"/>
          <w:color w:val="auto"/>
          <w:sz w:val="21"/>
          <w:szCs w:val="21"/>
          <w:u w:val="single"/>
        </w:rPr>
        <w:t xml:space="preserve">       </w:t>
      </w:r>
      <w:r>
        <w:rPr>
          <w:rFonts w:hint="eastAsia" w:cs="宋体"/>
          <w:color w:val="auto"/>
          <w:sz w:val="21"/>
          <w:szCs w:val="21"/>
        </w:rPr>
        <w:t>。</w:t>
      </w:r>
    </w:p>
    <w:p w14:paraId="4D641CA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关于发包人应完成的其他开工准备工作及期限：</w:t>
      </w:r>
      <w:r>
        <w:rPr>
          <w:rFonts w:hint="eastAsia" w:cs="宋体"/>
          <w:color w:val="auto"/>
          <w:sz w:val="21"/>
          <w:szCs w:val="21"/>
          <w:u w:val="single"/>
        </w:rPr>
        <w:t xml:space="preserve">       </w:t>
      </w:r>
      <w:r>
        <w:rPr>
          <w:rFonts w:hint="eastAsia" w:cs="宋体"/>
          <w:color w:val="auto"/>
          <w:sz w:val="21"/>
          <w:szCs w:val="21"/>
        </w:rPr>
        <w:t>。</w:t>
      </w:r>
    </w:p>
    <w:p w14:paraId="08B3F95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关于承包人应完成的其他开工准备工作及期限：</w:t>
      </w:r>
      <w:r>
        <w:rPr>
          <w:rFonts w:hint="eastAsia" w:cs="宋体"/>
          <w:color w:val="auto"/>
          <w:sz w:val="21"/>
          <w:szCs w:val="21"/>
          <w:u w:val="single"/>
        </w:rPr>
        <w:t xml:space="preserve">       </w:t>
      </w:r>
      <w:r>
        <w:rPr>
          <w:rFonts w:hint="eastAsia" w:cs="宋体"/>
          <w:color w:val="auto"/>
          <w:sz w:val="21"/>
          <w:szCs w:val="21"/>
        </w:rPr>
        <w:t>。</w:t>
      </w:r>
    </w:p>
    <w:p w14:paraId="651E7E6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7.3.2 开工通知</w:t>
      </w:r>
    </w:p>
    <w:p w14:paraId="55489E6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因发包人原因造成监理人未能在计划开工日期之日起</w:t>
      </w:r>
      <w:r>
        <w:rPr>
          <w:rFonts w:hint="eastAsia" w:cs="宋体"/>
          <w:color w:val="auto"/>
          <w:sz w:val="21"/>
          <w:szCs w:val="21"/>
          <w:u w:val="single"/>
        </w:rPr>
        <w:t xml:space="preserve">   </w:t>
      </w:r>
      <w:r>
        <w:rPr>
          <w:rFonts w:hint="eastAsia" w:cs="宋体"/>
          <w:color w:val="auto"/>
          <w:sz w:val="21"/>
          <w:szCs w:val="21"/>
        </w:rPr>
        <w:t>天内发出开工通知的，承包人有权提出价格调整要求，或者解除合同。</w:t>
      </w:r>
    </w:p>
    <w:bookmarkEnd w:id="182"/>
    <w:bookmarkEnd w:id="183"/>
    <w:bookmarkEnd w:id="184"/>
    <w:bookmarkEnd w:id="185"/>
    <w:bookmarkEnd w:id="186"/>
    <w:bookmarkEnd w:id="187"/>
    <w:bookmarkEnd w:id="188"/>
    <w:p w14:paraId="3F2A16D3">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7.4 测量放线</w:t>
      </w:r>
    </w:p>
    <w:p w14:paraId="03DCA3C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7.4.1 发包人通过监理人向承包人提供测量基准点、基准线和水准点及其书面资料的期限：</w:t>
      </w:r>
      <w:r>
        <w:rPr>
          <w:rFonts w:hint="eastAsia" w:cs="宋体"/>
          <w:color w:val="auto"/>
          <w:sz w:val="21"/>
          <w:szCs w:val="21"/>
          <w:u w:val="single"/>
        </w:rPr>
        <w:t>执行通用条款约定</w:t>
      </w:r>
      <w:r>
        <w:rPr>
          <w:rFonts w:hint="eastAsia" w:cs="宋体"/>
          <w:color w:val="auto"/>
          <w:sz w:val="21"/>
          <w:szCs w:val="21"/>
        </w:rPr>
        <w:t>。</w:t>
      </w:r>
    </w:p>
    <w:p w14:paraId="42C6CDCB">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7</w:t>
      </w:r>
      <w:bookmarkStart w:id="189" w:name="_Toc303539125"/>
      <w:bookmarkStart w:id="190" w:name="_Toc297216175"/>
      <w:bookmarkStart w:id="191" w:name="_Toc312677484"/>
      <w:bookmarkStart w:id="192" w:name="_Toc300934968"/>
      <w:bookmarkStart w:id="193" w:name="_Toc312678010"/>
      <w:bookmarkStart w:id="194" w:name="_Toc304295546"/>
      <w:bookmarkStart w:id="195" w:name="_Toc297123516"/>
      <w:r>
        <w:rPr>
          <w:rFonts w:hint="eastAsia" w:cs="宋体"/>
          <w:bCs/>
          <w:color w:val="auto"/>
          <w:sz w:val="21"/>
          <w:szCs w:val="21"/>
        </w:rPr>
        <w:t>.5 工期延误</w:t>
      </w:r>
    </w:p>
    <w:bookmarkEnd w:id="189"/>
    <w:bookmarkEnd w:id="190"/>
    <w:bookmarkEnd w:id="191"/>
    <w:bookmarkEnd w:id="192"/>
    <w:bookmarkEnd w:id="193"/>
    <w:bookmarkEnd w:id="194"/>
    <w:bookmarkEnd w:id="195"/>
    <w:p w14:paraId="59FFA38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7.5.1 因发包人原因导致工期延误</w:t>
      </w:r>
    </w:p>
    <w:p w14:paraId="69548818">
      <w:pPr>
        <w:pageBreakBefore w:val="0"/>
        <w:widowControl w:val="0"/>
        <w:kinsoku/>
        <w:wordWrap/>
        <w:overflowPunct/>
        <w:topLinePunct w:val="0"/>
        <w:bidi w:val="0"/>
        <w:adjustRightInd w:val="0"/>
        <w:snapToGrid w:val="0"/>
        <w:spacing w:line="440" w:lineRule="exact"/>
        <w:ind w:firstLine="420" w:firstLineChars="200"/>
        <w:textAlignment w:val="auto"/>
        <w:rPr>
          <w:rFonts w:hint="eastAsia" w:cs="宋体"/>
          <w:color w:val="auto"/>
          <w:sz w:val="21"/>
          <w:szCs w:val="21"/>
          <w:u w:val="single"/>
        </w:rPr>
      </w:pPr>
      <w:r>
        <w:rPr>
          <w:rFonts w:hint="eastAsia" w:cs="宋体"/>
          <w:color w:val="auto"/>
          <w:sz w:val="21"/>
          <w:szCs w:val="21"/>
        </w:rPr>
        <w:t>（7）因发包人原因导致工期延误的其他情形：</w:t>
      </w:r>
      <w:r>
        <w:rPr>
          <w:rFonts w:hint="eastAsia" w:cs="宋体"/>
          <w:color w:val="auto"/>
          <w:sz w:val="21"/>
          <w:szCs w:val="21"/>
          <w:u w:val="single"/>
        </w:rPr>
        <w:t xml:space="preserve"> 由于发包人的原因和非承包人的责任停</w:t>
      </w:r>
    </w:p>
    <w:p w14:paraId="1872E79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u w:val="single"/>
        </w:rPr>
        <w:t>工的，工期顺延</w:t>
      </w:r>
      <w:r>
        <w:rPr>
          <w:rFonts w:hint="eastAsia" w:cs="宋体"/>
          <w:color w:val="auto"/>
          <w:sz w:val="21"/>
          <w:szCs w:val="21"/>
        </w:rPr>
        <w:t>。</w:t>
      </w:r>
    </w:p>
    <w:p w14:paraId="1D94B79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7</w:t>
      </w:r>
      <w:bookmarkStart w:id="196" w:name="_Toc312677486"/>
      <w:bookmarkStart w:id="197" w:name="_Toc318581169"/>
      <w:bookmarkStart w:id="198" w:name="_Toc312678012"/>
      <w:bookmarkStart w:id="199" w:name="_Toc304295548"/>
      <w:bookmarkStart w:id="200" w:name="_Toc297216177"/>
      <w:bookmarkStart w:id="201" w:name="_Toc297123518"/>
      <w:bookmarkStart w:id="202" w:name="_Toc300934970"/>
      <w:bookmarkStart w:id="203" w:name="_Toc303539127"/>
      <w:r>
        <w:rPr>
          <w:rFonts w:hint="eastAsia" w:cs="宋体"/>
          <w:color w:val="auto"/>
          <w:sz w:val="21"/>
          <w:szCs w:val="21"/>
        </w:rPr>
        <w:t>.5.2 因承包人原因导致工期延误</w:t>
      </w:r>
    </w:p>
    <w:bookmarkEnd w:id="196"/>
    <w:bookmarkEnd w:id="197"/>
    <w:bookmarkEnd w:id="198"/>
    <w:p w14:paraId="55526D3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因</w:t>
      </w:r>
      <w:bookmarkStart w:id="204" w:name="_Toc312677487"/>
      <w:bookmarkStart w:id="205" w:name="_Toc312678013"/>
      <w:bookmarkStart w:id="206" w:name="_Toc318581170"/>
      <w:r>
        <w:rPr>
          <w:rFonts w:hint="eastAsia" w:cs="宋体"/>
          <w:color w:val="auto"/>
          <w:sz w:val="21"/>
          <w:szCs w:val="21"/>
        </w:rPr>
        <w:t>承包人原因造成工期延误，逾期竣工违约金的计算方法为：</w:t>
      </w:r>
      <w:r>
        <w:rPr>
          <w:rFonts w:hint="eastAsia" w:cs="宋体"/>
          <w:color w:val="auto"/>
          <w:sz w:val="21"/>
          <w:szCs w:val="21"/>
          <w:u w:val="single"/>
        </w:rPr>
        <w:t>见《专用合同条款数据表》</w:t>
      </w:r>
      <w:r>
        <w:rPr>
          <w:rFonts w:hint="eastAsia" w:cs="宋体"/>
          <w:color w:val="auto"/>
          <w:sz w:val="21"/>
          <w:szCs w:val="21"/>
        </w:rPr>
        <w:t>。</w:t>
      </w:r>
      <w:bookmarkEnd w:id="199"/>
      <w:bookmarkEnd w:id="200"/>
      <w:bookmarkEnd w:id="201"/>
      <w:bookmarkEnd w:id="202"/>
      <w:bookmarkEnd w:id="203"/>
      <w:bookmarkEnd w:id="204"/>
      <w:bookmarkEnd w:id="205"/>
    </w:p>
    <w:bookmarkEnd w:id="206"/>
    <w:p w14:paraId="169654B7">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u w:val="single"/>
        </w:rPr>
      </w:pPr>
      <w:r>
        <w:rPr>
          <w:rFonts w:hint="eastAsia" w:cs="宋体"/>
          <w:color w:val="auto"/>
          <w:sz w:val="21"/>
          <w:szCs w:val="21"/>
        </w:rPr>
        <w:t>因承包人原因造成工期延误，逾</w:t>
      </w:r>
      <w:bookmarkStart w:id="207" w:name="_Toc318581171"/>
      <w:bookmarkStart w:id="208" w:name="_Toc312678014"/>
      <w:r>
        <w:rPr>
          <w:rFonts w:hint="eastAsia" w:cs="宋体"/>
          <w:color w:val="auto"/>
          <w:sz w:val="21"/>
          <w:szCs w:val="21"/>
        </w:rPr>
        <w:t>期竣工违约金的上限：</w:t>
      </w:r>
      <w:r>
        <w:rPr>
          <w:rFonts w:hint="eastAsia" w:cs="宋体"/>
          <w:color w:val="auto"/>
          <w:sz w:val="21"/>
          <w:szCs w:val="21"/>
          <w:u w:val="single"/>
        </w:rPr>
        <w:t>见《专用合同条款数据表》</w:t>
      </w:r>
      <w:r>
        <w:rPr>
          <w:rFonts w:hint="eastAsia" w:cs="宋体"/>
          <w:color w:val="auto"/>
          <w:sz w:val="21"/>
          <w:szCs w:val="21"/>
        </w:rPr>
        <w:t>。</w:t>
      </w:r>
    </w:p>
    <w:bookmarkEnd w:id="207"/>
    <w:bookmarkEnd w:id="208"/>
    <w:p w14:paraId="57756560">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7</w:t>
      </w:r>
      <w:bookmarkStart w:id="209" w:name="_Toc312678015"/>
      <w:bookmarkStart w:id="210" w:name="_Toc304295549"/>
      <w:bookmarkStart w:id="211" w:name="_Toc303539128"/>
      <w:bookmarkStart w:id="212" w:name="_Toc297216178"/>
      <w:bookmarkStart w:id="213" w:name="_Toc300934971"/>
      <w:bookmarkStart w:id="214" w:name="_Toc297123519"/>
      <w:r>
        <w:rPr>
          <w:rFonts w:hint="eastAsia" w:cs="宋体"/>
          <w:bCs/>
          <w:color w:val="auto"/>
          <w:sz w:val="21"/>
          <w:szCs w:val="21"/>
        </w:rPr>
        <w:t>.6 不</w:t>
      </w:r>
      <w:bookmarkEnd w:id="209"/>
      <w:bookmarkEnd w:id="210"/>
      <w:bookmarkEnd w:id="211"/>
      <w:bookmarkEnd w:id="212"/>
      <w:bookmarkEnd w:id="213"/>
      <w:bookmarkEnd w:id="214"/>
      <w:r>
        <w:rPr>
          <w:rFonts w:hint="eastAsia" w:cs="宋体"/>
          <w:bCs/>
          <w:color w:val="auto"/>
          <w:sz w:val="21"/>
          <w:szCs w:val="21"/>
        </w:rPr>
        <w:t>利物质条件</w:t>
      </w:r>
    </w:p>
    <w:p w14:paraId="7C9E80B6">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u w:val="single"/>
        </w:rPr>
      </w:pPr>
      <w:bookmarkStart w:id="215" w:name="_Toc318581172"/>
      <w:bookmarkStart w:id="216" w:name="_Toc303539129"/>
      <w:bookmarkStart w:id="217" w:name="_Toc297216179"/>
      <w:bookmarkStart w:id="218" w:name="_Toc304295550"/>
      <w:bookmarkStart w:id="219" w:name="_Toc300934972"/>
      <w:bookmarkStart w:id="220" w:name="_Toc312678016"/>
      <w:bookmarkStart w:id="221" w:name="_Toc297123520"/>
      <w:r>
        <w:rPr>
          <w:rFonts w:hint="eastAsia" w:cs="宋体"/>
          <w:color w:val="auto"/>
          <w:sz w:val="21"/>
          <w:szCs w:val="21"/>
        </w:rPr>
        <w:t>不利物质条件的其他情形和有关约定：</w:t>
      </w:r>
      <w:r>
        <w:rPr>
          <w:rFonts w:hint="eastAsia" w:cs="宋体"/>
          <w:color w:val="auto"/>
          <w:sz w:val="21"/>
          <w:szCs w:val="21"/>
          <w:u w:val="single"/>
        </w:rPr>
        <w:t xml:space="preserve"> 执行通用条款</w:t>
      </w:r>
      <w:r>
        <w:rPr>
          <w:rFonts w:hint="eastAsia" w:cs="宋体"/>
          <w:color w:val="auto"/>
          <w:sz w:val="21"/>
          <w:szCs w:val="21"/>
        </w:rPr>
        <w:t>。</w:t>
      </w:r>
    </w:p>
    <w:bookmarkEnd w:id="215"/>
    <w:bookmarkEnd w:id="216"/>
    <w:bookmarkEnd w:id="217"/>
    <w:bookmarkEnd w:id="218"/>
    <w:bookmarkEnd w:id="219"/>
    <w:bookmarkEnd w:id="220"/>
    <w:bookmarkEnd w:id="221"/>
    <w:p w14:paraId="2BADFAD8">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7</w:t>
      </w:r>
      <w:bookmarkStart w:id="222" w:name="_Toc304295551"/>
      <w:bookmarkStart w:id="223" w:name="_Toc297123521"/>
      <w:bookmarkStart w:id="224" w:name="_Toc297216180"/>
      <w:bookmarkStart w:id="225" w:name="_Toc300934973"/>
      <w:bookmarkStart w:id="226" w:name="_Toc312678017"/>
      <w:bookmarkStart w:id="227" w:name="_Toc303539130"/>
      <w:r>
        <w:rPr>
          <w:rFonts w:hint="eastAsia" w:cs="宋体"/>
          <w:bCs/>
          <w:color w:val="auto"/>
          <w:sz w:val="21"/>
          <w:szCs w:val="21"/>
        </w:rPr>
        <w:t>.7 异常恶劣的气候条件</w:t>
      </w:r>
    </w:p>
    <w:bookmarkEnd w:id="222"/>
    <w:bookmarkEnd w:id="223"/>
    <w:bookmarkEnd w:id="224"/>
    <w:bookmarkEnd w:id="225"/>
    <w:bookmarkEnd w:id="226"/>
    <w:bookmarkEnd w:id="227"/>
    <w:p w14:paraId="5243CE2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发包人和承包人同意以下情形视为异常恶劣的气候条件：</w:t>
      </w:r>
    </w:p>
    <w:p w14:paraId="4770D07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w:t>
      </w:r>
      <w:r>
        <w:rPr>
          <w:rFonts w:hint="eastAsia" w:cs="宋体"/>
          <w:color w:val="auto"/>
          <w:sz w:val="21"/>
          <w:szCs w:val="21"/>
          <w:u w:val="single"/>
        </w:rPr>
        <w:t xml:space="preserve"> 七级以上（含七级）大风连续 8 小时 </w:t>
      </w:r>
      <w:r>
        <w:rPr>
          <w:rFonts w:hint="eastAsia" w:cs="宋体"/>
          <w:color w:val="auto"/>
          <w:sz w:val="21"/>
          <w:szCs w:val="21"/>
        </w:rPr>
        <w:t>；</w:t>
      </w:r>
    </w:p>
    <w:p w14:paraId="3F42BDA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w:t>
      </w:r>
      <w:r>
        <w:rPr>
          <w:rFonts w:hint="eastAsia" w:cs="宋体"/>
          <w:color w:val="auto"/>
          <w:sz w:val="21"/>
          <w:szCs w:val="21"/>
          <w:u w:val="single"/>
        </w:rPr>
        <w:t xml:space="preserve"> </w:t>
      </w:r>
      <w:r>
        <w:rPr>
          <w:rFonts w:hint="eastAsia" w:ascii="宋体" w:hAnsi="宋体" w:eastAsia="宋体" w:cs="宋体"/>
          <w:color w:val="auto"/>
          <w:sz w:val="21"/>
          <w:szCs w:val="21"/>
          <w:highlight w:val="none"/>
          <w:u w:val="single"/>
        </w:rPr>
        <w:t>日最高温度大于 40 摄氏度，日最低温度小于-4 摄氏度</w:t>
      </w:r>
      <w:r>
        <w:rPr>
          <w:rFonts w:hint="eastAsia" w:cs="宋体"/>
          <w:color w:val="auto"/>
          <w:sz w:val="21"/>
          <w:szCs w:val="21"/>
          <w:u w:val="single"/>
        </w:rPr>
        <w:t xml:space="preserve"> </w:t>
      </w:r>
      <w:r>
        <w:rPr>
          <w:rFonts w:hint="eastAsia" w:cs="宋体"/>
          <w:color w:val="auto"/>
          <w:sz w:val="21"/>
          <w:szCs w:val="21"/>
        </w:rPr>
        <w:t>；</w:t>
      </w:r>
    </w:p>
    <w:p w14:paraId="16B8260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（3）</w:t>
      </w:r>
      <w:r>
        <w:rPr>
          <w:rFonts w:hint="eastAsia" w:cs="宋体"/>
          <w:color w:val="auto"/>
          <w:sz w:val="21"/>
          <w:szCs w:val="21"/>
          <w:u w:val="single"/>
        </w:rPr>
        <w:t xml:space="preserve"> </w:t>
      </w:r>
      <w:r>
        <w:rPr>
          <w:rFonts w:hint="eastAsia" w:ascii="宋体" w:hAnsi="宋体" w:eastAsia="宋体" w:cs="宋体"/>
          <w:color w:val="auto"/>
          <w:sz w:val="21"/>
          <w:szCs w:val="21"/>
          <w:highlight w:val="none"/>
          <w:u w:val="single"/>
        </w:rPr>
        <w:t>日（昼夜）平均积雪量超过 200mm 的恶劣天气影响</w:t>
      </w:r>
      <w:r>
        <w:rPr>
          <w:rFonts w:hint="eastAsia" w:cs="宋体"/>
          <w:color w:val="auto"/>
          <w:sz w:val="21"/>
          <w:szCs w:val="21"/>
          <w:u w:val="single"/>
        </w:rPr>
        <w:t xml:space="preserve"> </w:t>
      </w:r>
      <w:r>
        <w:rPr>
          <w:rFonts w:hint="eastAsia" w:cs="宋体"/>
          <w:color w:val="auto"/>
          <w:sz w:val="21"/>
          <w:szCs w:val="21"/>
        </w:rPr>
        <w:t>。</w:t>
      </w:r>
    </w:p>
    <w:p w14:paraId="157D7A78">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7.9 提前竣工</w:t>
      </w:r>
    </w:p>
    <w:p w14:paraId="5803C1F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7.9.2 提前竣工的奖励：</w:t>
      </w:r>
      <w:r>
        <w:rPr>
          <w:rFonts w:hint="eastAsia" w:cs="宋体"/>
          <w:color w:val="auto"/>
          <w:sz w:val="21"/>
          <w:szCs w:val="21"/>
          <w:u w:val="single"/>
        </w:rPr>
        <w:t>见《专用合同条款数据表》</w:t>
      </w:r>
      <w:r>
        <w:rPr>
          <w:rFonts w:hint="eastAsia" w:cs="宋体"/>
          <w:color w:val="auto"/>
          <w:sz w:val="21"/>
          <w:szCs w:val="21"/>
        </w:rPr>
        <w:t>。</w:t>
      </w:r>
    </w:p>
    <w:p w14:paraId="7FC42E6C">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228" w:name="_Toc351203640"/>
      <w:r>
        <w:rPr>
          <w:rFonts w:hint="eastAsia" w:cs="宋体"/>
          <w:color w:val="auto"/>
          <w:sz w:val="21"/>
          <w:szCs w:val="21"/>
        </w:rPr>
        <w:t>8. 材料与设备</w:t>
      </w:r>
      <w:bookmarkEnd w:id="228"/>
    </w:p>
    <w:bookmarkEnd w:id="161"/>
    <w:bookmarkEnd w:id="162"/>
    <w:bookmarkEnd w:id="163"/>
    <w:bookmarkEnd w:id="164"/>
    <w:bookmarkEnd w:id="165"/>
    <w:bookmarkEnd w:id="166"/>
    <w:bookmarkEnd w:id="167"/>
    <w:bookmarkEnd w:id="168"/>
    <w:bookmarkEnd w:id="169"/>
    <w:bookmarkEnd w:id="170"/>
    <w:p w14:paraId="4DED907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8</w:t>
      </w:r>
      <w:bookmarkStart w:id="229" w:name="_Toc297120467"/>
      <w:bookmarkStart w:id="230" w:name="_Toc297123527"/>
      <w:bookmarkStart w:id="231" w:name="_Toc300934979"/>
      <w:bookmarkStart w:id="232" w:name="_Toc292559877"/>
      <w:bookmarkStart w:id="233" w:name="_Toc296944506"/>
      <w:bookmarkStart w:id="234" w:name="_Toc304295556"/>
      <w:bookmarkStart w:id="235" w:name="_Toc296891207"/>
      <w:bookmarkStart w:id="236" w:name="_Toc296347166"/>
      <w:bookmarkStart w:id="237" w:name="_Toc292559372"/>
      <w:bookmarkStart w:id="238" w:name="_Toc312677493"/>
      <w:bookmarkStart w:id="239" w:name="_Toc297216186"/>
      <w:bookmarkStart w:id="240" w:name="_Toc297048353"/>
      <w:bookmarkStart w:id="241" w:name="_Toc312678019"/>
      <w:bookmarkStart w:id="242" w:name="_Toc296346668"/>
      <w:bookmarkStart w:id="243" w:name="_Toc296890995"/>
      <w:bookmarkStart w:id="244" w:name="_Toc280868654"/>
      <w:bookmarkStart w:id="245" w:name="_Toc296503167"/>
      <w:bookmarkStart w:id="246" w:name="_Toc303539136"/>
      <w:bookmarkStart w:id="247" w:name="_Toc267251424"/>
      <w:bookmarkStart w:id="248" w:name="_Toc280868655"/>
      <w:bookmarkStart w:id="249" w:name="_Toc280868656"/>
      <w:r>
        <w:rPr>
          <w:rFonts w:hint="eastAsia" w:cs="宋体"/>
          <w:color w:val="auto"/>
          <w:sz w:val="21"/>
          <w:szCs w:val="21"/>
        </w:rPr>
        <w:t>.4 材料与工程设备的保管与使用</w:t>
      </w:r>
    </w:p>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14:paraId="2FE2847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8</w:t>
      </w:r>
      <w:bookmarkStart w:id="250" w:name="_Toc292559878"/>
      <w:bookmarkStart w:id="251" w:name="_Toc292559373"/>
      <w:bookmarkStart w:id="252" w:name="_Toc312677494"/>
      <w:bookmarkStart w:id="253" w:name="_Toc296347167"/>
      <w:bookmarkStart w:id="254" w:name="_Toc296891208"/>
      <w:bookmarkStart w:id="255" w:name="_Toc296346669"/>
      <w:bookmarkStart w:id="256" w:name="_Toc318581173"/>
      <w:bookmarkStart w:id="257" w:name="_Toc312678020"/>
      <w:bookmarkStart w:id="258" w:name="_Toc297123528"/>
      <w:bookmarkStart w:id="259" w:name="_Toc303539137"/>
      <w:bookmarkStart w:id="260" w:name="_Toc296890996"/>
      <w:bookmarkStart w:id="261" w:name="_Toc300934980"/>
      <w:bookmarkStart w:id="262" w:name="_Toc297120468"/>
      <w:bookmarkStart w:id="263" w:name="_Toc296503168"/>
      <w:bookmarkStart w:id="264" w:name="_Toc297216187"/>
      <w:bookmarkStart w:id="265" w:name="_Toc304295557"/>
      <w:bookmarkStart w:id="266" w:name="_Toc296944507"/>
      <w:bookmarkStart w:id="267" w:name="_Toc297048354"/>
      <w:r>
        <w:rPr>
          <w:rFonts w:hint="eastAsia" w:cs="宋体"/>
          <w:color w:val="auto"/>
          <w:sz w:val="21"/>
          <w:szCs w:val="21"/>
        </w:rPr>
        <w:t>.4.1 发包人供应的材料设备的保管费用的承担：</w:t>
      </w:r>
      <w:r>
        <w:rPr>
          <w:rFonts w:hint="eastAsia" w:cs="宋体"/>
          <w:color w:val="auto"/>
          <w:sz w:val="21"/>
          <w:szCs w:val="21"/>
          <w:u w:val="single"/>
        </w:rPr>
        <w:t xml:space="preserve"> </w:t>
      </w:r>
      <w:r>
        <w:rPr>
          <w:rFonts w:hint="eastAsia" w:ascii="宋体" w:hAnsi="宋体" w:eastAsia="宋体" w:cs="宋体"/>
          <w:color w:val="auto"/>
          <w:sz w:val="21"/>
          <w:szCs w:val="21"/>
          <w:highlight w:val="none"/>
          <w:u w:val="single"/>
        </w:rPr>
        <w:t>承包人承担</w:t>
      </w:r>
      <w:r>
        <w:rPr>
          <w:rFonts w:hint="eastAsia" w:cs="宋体"/>
          <w:color w:val="auto"/>
          <w:sz w:val="21"/>
          <w:szCs w:val="21"/>
          <w:highlight w:val="none"/>
          <w:u w:val="single"/>
          <w:lang w:eastAsia="zh-CN"/>
        </w:rPr>
        <w:t>，</w:t>
      </w:r>
      <w:r>
        <w:rPr>
          <w:rFonts w:hint="eastAsia" w:cs="宋体"/>
          <w:color w:val="auto"/>
          <w:sz w:val="21"/>
          <w:szCs w:val="21"/>
          <w:highlight w:val="none"/>
          <w:u w:val="single"/>
          <w:lang w:val="en-US" w:eastAsia="zh-CN"/>
        </w:rPr>
        <w:t>含在工程费用内</w:t>
      </w:r>
      <w:r>
        <w:rPr>
          <w:rFonts w:hint="eastAsia" w:cs="宋体"/>
          <w:color w:val="auto"/>
          <w:sz w:val="21"/>
          <w:szCs w:val="21"/>
        </w:rPr>
        <w:t>。</w:t>
      </w:r>
      <w:bookmarkEnd w:id="250"/>
      <w:bookmarkEnd w:id="251"/>
    </w:p>
    <w:p w14:paraId="79F78BDF">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8.6 样品</w:t>
      </w:r>
    </w:p>
    <w:p w14:paraId="47B88F3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8.6.1 样品的报送与封存</w:t>
      </w:r>
    </w:p>
    <w:p w14:paraId="01D1EC0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需要承包人报送样品的材料或工程设备，样品的种类、名称、规格、数量要求：</w:t>
      </w:r>
      <w:r>
        <w:rPr>
          <w:rFonts w:hint="eastAsia" w:cs="宋体"/>
          <w:color w:val="auto"/>
          <w:sz w:val="21"/>
          <w:szCs w:val="21"/>
          <w:u w:val="single"/>
        </w:rPr>
        <w:t xml:space="preserve"> 根据投标</w:t>
      </w:r>
      <w:r>
        <w:rPr>
          <w:rFonts w:hint="eastAsia" w:cs="宋体"/>
          <w:color w:val="auto"/>
          <w:sz w:val="21"/>
          <w:szCs w:val="21"/>
          <w:u w:val="single"/>
          <w:lang w:val="en-US" w:eastAsia="zh-CN"/>
        </w:rPr>
        <w:t>人投标时提供的主材品牌及其他辅材要求</w:t>
      </w:r>
      <w:r>
        <w:rPr>
          <w:rFonts w:hint="eastAsia" w:cs="宋体"/>
          <w:color w:val="auto"/>
          <w:sz w:val="21"/>
          <w:szCs w:val="21"/>
          <w:u w:val="single"/>
        </w:rPr>
        <w:t>，使用前须经发包人认可</w:t>
      </w:r>
      <w:r>
        <w:rPr>
          <w:rFonts w:hint="eastAsia" w:cs="宋体"/>
          <w:color w:val="auto"/>
          <w:sz w:val="21"/>
          <w:szCs w:val="21"/>
        </w:rPr>
        <w:t>。</w:t>
      </w:r>
    </w:p>
    <w:p w14:paraId="28CE1BC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8.8 施工设备和临时设施</w:t>
      </w:r>
    </w:p>
    <w:p w14:paraId="71DA51B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8.8.1 承包人提供的施工设备和临时设施</w:t>
      </w:r>
    </w:p>
    <w:p w14:paraId="6B62438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关于修建临时设施费用承担的约定：</w:t>
      </w:r>
      <w:r>
        <w:rPr>
          <w:rFonts w:hint="eastAsia" w:cs="宋体"/>
          <w:color w:val="auto"/>
          <w:sz w:val="21"/>
          <w:szCs w:val="21"/>
          <w:u w:val="single"/>
        </w:rPr>
        <w:t xml:space="preserve"> </w:t>
      </w:r>
      <w:r>
        <w:rPr>
          <w:rFonts w:hint="eastAsia" w:ascii="宋体" w:hAnsi="宋体" w:eastAsia="宋体" w:cs="宋体"/>
          <w:color w:val="auto"/>
          <w:sz w:val="21"/>
          <w:szCs w:val="21"/>
          <w:highlight w:val="none"/>
          <w:u w:val="single"/>
        </w:rPr>
        <w:t>由承包人自行承担费用</w:t>
      </w:r>
      <w:r>
        <w:rPr>
          <w:rFonts w:hint="eastAsia" w:ascii="宋体" w:hAnsi="宋体" w:eastAsia="宋体" w:cs="宋体"/>
          <w:color w:val="auto"/>
          <w:sz w:val="21"/>
          <w:szCs w:val="21"/>
          <w:highlight w:val="none"/>
          <w:u w:val="single"/>
          <w:lang w:eastAsia="zh-CN"/>
        </w:rPr>
        <w:t>，</w:t>
      </w:r>
      <w:r>
        <w:rPr>
          <w:rFonts w:hint="eastAsia" w:cs="宋体"/>
          <w:color w:val="auto"/>
          <w:sz w:val="21"/>
          <w:szCs w:val="21"/>
          <w:highlight w:val="none"/>
          <w:u w:val="single"/>
          <w:lang w:val="en-US" w:eastAsia="zh-CN"/>
        </w:rPr>
        <w:t>费用含在工程款内</w:t>
      </w:r>
      <w:r>
        <w:rPr>
          <w:rFonts w:hint="eastAsia" w:cs="宋体"/>
          <w:color w:val="auto"/>
          <w:sz w:val="21"/>
          <w:szCs w:val="21"/>
        </w:rPr>
        <w:t>。</w:t>
      </w:r>
    </w:p>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14:paraId="7356C6CF">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268" w:name="_Toc351203641"/>
      <w:r>
        <w:rPr>
          <w:rFonts w:hint="eastAsia" w:cs="宋体"/>
          <w:color w:val="auto"/>
          <w:sz w:val="21"/>
          <w:szCs w:val="21"/>
        </w:rPr>
        <w:t>9</w:t>
      </w:r>
      <w:bookmarkEnd w:id="247"/>
      <w:bookmarkEnd w:id="248"/>
      <w:bookmarkEnd w:id="249"/>
      <w:bookmarkStart w:id="269" w:name="_Toc300934982"/>
      <w:bookmarkStart w:id="270" w:name="_Toc312677495"/>
      <w:bookmarkStart w:id="271" w:name="_Toc297216192"/>
      <w:bookmarkStart w:id="272" w:name="_Toc312678021"/>
      <w:bookmarkStart w:id="273" w:name="_Toc304295559"/>
      <w:bookmarkStart w:id="274" w:name="_Toc297123533"/>
      <w:bookmarkStart w:id="275" w:name="_Toc303539139"/>
      <w:bookmarkStart w:id="276" w:name="_Toc292559378"/>
      <w:bookmarkStart w:id="277" w:name="_Toc296944512"/>
      <w:bookmarkStart w:id="278" w:name="_Toc297120473"/>
      <w:bookmarkStart w:id="279" w:name="_Toc296347172"/>
      <w:bookmarkStart w:id="280" w:name="_Toc292559883"/>
      <w:bookmarkStart w:id="281" w:name="_Toc296503173"/>
      <w:bookmarkStart w:id="282" w:name="_Toc297048359"/>
      <w:bookmarkStart w:id="283" w:name="_Toc267251428"/>
      <w:bookmarkStart w:id="284" w:name="_Toc267251427"/>
      <w:bookmarkStart w:id="285" w:name="_Toc296346674"/>
      <w:bookmarkStart w:id="286" w:name="_Toc296891213"/>
      <w:bookmarkStart w:id="287" w:name="_Toc296891001"/>
      <w:r>
        <w:rPr>
          <w:rFonts w:hint="eastAsia" w:cs="宋体"/>
          <w:color w:val="auto"/>
          <w:sz w:val="21"/>
          <w:szCs w:val="21"/>
        </w:rPr>
        <w:t>. 试验与检验</w:t>
      </w:r>
      <w:bookmarkEnd w:id="268"/>
    </w:p>
    <w:bookmarkEnd w:id="269"/>
    <w:bookmarkEnd w:id="270"/>
    <w:bookmarkEnd w:id="271"/>
    <w:bookmarkEnd w:id="272"/>
    <w:bookmarkEnd w:id="273"/>
    <w:bookmarkEnd w:id="274"/>
    <w:bookmarkEnd w:id="275"/>
    <w:p w14:paraId="2F2381B5">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9</w:t>
      </w:r>
      <w:bookmarkStart w:id="288" w:name="_Toc312678022"/>
      <w:bookmarkStart w:id="289" w:name="_Toc303539140"/>
      <w:bookmarkStart w:id="290" w:name="_Toc297216193"/>
      <w:bookmarkStart w:id="291" w:name="_Toc312677496"/>
      <w:bookmarkStart w:id="292" w:name="_Toc297123534"/>
      <w:bookmarkStart w:id="293" w:name="_Toc300934983"/>
      <w:bookmarkStart w:id="294" w:name="_Toc304295560"/>
      <w:r>
        <w:rPr>
          <w:rFonts w:hint="eastAsia" w:cs="宋体"/>
          <w:bCs/>
          <w:color w:val="auto"/>
          <w:sz w:val="21"/>
          <w:szCs w:val="21"/>
        </w:rPr>
        <w:t>.1 试验设备与试验人员</w:t>
      </w:r>
    </w:p>
    <w:bookmarkEnd w:id="288"/>
    <w:bookmarkEnd w:id="289"/>
    <w:bookmarkEnd w:id="290"/>
    <w:bookmarkEnd w:id="291"/>
    <w:bookmarkEnd w:id="292"/>
    <w:bookmarkEnd w:id="293"/>
    <w:bookmarkEnd w:id="294"/>
    <w:p w14:paraId="4227CF9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9</w:t>
      </w:r>
      <w:bookmarkStart w:id="295" w:name="_Toc312678023"/>
      <w:bookmarkStart w:id="296" w:name="_Toc297123535"/>
      <w:bookmarkStart w:id="297" w:name="_Toc312677497"/>
      <w:bookmarkStart w:id="298" w:name="_Toc300934984"/>
      <w:bookmarkStart w:id="299" w:name="_Toc304295561"/>
      <w:bookmarkStart w:id="300" w:name="_Toc297216194"/>
      <w:bookmarkStart w:id="301" w:name="_Toc303539141"/>
      <w:bookmarkStart w:id="302" w:name="_Toc318581174"/>
      <w:r>
        <w:rPr>
          <w:rFonts w:hint="eastAsia" w:cs="宋体"/>
          <w:color w:val="auto"/>
          <w:sz w:val="21"/>
          <w:szCs w:val="21"/>
        </w:rPr>
        <w:t>.1.2 试验设备</w:t>
      </w:r>
    </w:p>
    <w:p w14:paraId="2AFCB82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施工现场需要配置的试验场所</w:t>
      </w:r>
      <w:bookmarkEnd w:id="295"/>
      <w:bookmarkEnd w:id="296"/>
      <w:bookmarkEnd w:id="297"/>
      <w:bookmarkEnd w:id="298"/>
      <w:bookmarkEnd w:id="299"/>
      <w:bookmarkEnd w:id="300"/>
      <w:bookmarkEnd w:id="301"/>
      <w:bookmarkStart w:id="303" w:name="_Toc297123536"/>
      <w:bookmarkStart w:id="304" w:name="_Toc304295562"/>
      <w:bookmarkStart w:id="305" w:name="_Toc300934985"/>
      <w:bookmarkStart w:id="306" w:name="_Toc297216195"/>
      <w:bookmarkStart w:id="307" w:name="_Toc312678024"/>
      <w:bookmarkStart w:id="308" w:name="_Toc312677498"/>
      <w:bookmarkStart w:id="309" w:name="_Toc303539142"/>
      <w:r>
        <w:rPr>
          <w:rFonts w:hint="eastAsia" w:cs="宋体"/>
          <w:color w:val="auto"/>
          <w:sz w:val="21"/>
          <w:szCs w:val="21"/>
        </w:rPr>
        <w:t xml:space="preserve">：  </w:t>
      </w:r>
      <w:r>
        <w:rPr>
          <w:rFonts w:hint="eastAsia" w:cs="宋体"/>
          <w:color w:val="auto"/>
          <w:sz w:val="21"/>
          <w:szCs w:val="21"/>
          <w:u w:val="single"/>
        </w:rPr>
        <w:t xml:space="preserve"> </w:t>
      </w:r>
      <w:r>
        <w:rPr>
          <w:rFonts w:hint="eastAsia" w:ascii="宋体" w:hAnsi="宋体" w:eastAsia="宋体" w:cs="宋体"/>
          <w:color w:val="auto"/>
          <w:sz w:val="21"/>
          <w:szCs w:val="21"/>
          <w:highlight w:val="none"/>
          <w:u w:val="single"/>
        </w:rPr>
        <w:t>按有关规定执行，承包人自行承担费用</w:t>
      </w:r>
      <w:r>
        <w:rPr>
          <w:rFonts w:hint="eastAsia" w:cs="宋体"/>
          <w:color w:val="auto"/>
          <w:sz w:val="21"/>
          <w:szCs w:val="21"/>
          <w:u w:val="single"/>
        </w:rPr>
        <w:t xml:space="preserve"> </w:t>
      </w:r>
      <w:r>
        <w:rPr>
          <w:rFonts w:hint="eastAsia" w:cs="宋体"/>
          <w:color w:val="auto"/>
          <w:sz w:val="21"/>
          <w:szCs w:val="21"/>
        </w:rPr>
        <w:t>。</w:t>
      </w:r>
    </w:p>
    <w:p w14:paraId="5036ADB5">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施工现场需要配备的试验设备：</w:t>
      </w:r>
      <w:r>
        <w:rPr>
          <w:rFonts w:hint="eastAsia" w:cs="宋体"/>
          <w:color w:val="auto"/>
          <w:sz w:val="21"/>
          <w:szCs w:val="21"/>
          <w:u w:val="single"/>
        </w:rPr>
        <w:t xml:space="preserve"> </w:t>
      </w:r>
      <w:r>
        <w:rPr>
          <w:rFonts w:hint="eastAsia" w:ascii="宋体" w:hAnsi="宋体" w:eastAsia="宋体" w:cs="宋体"/>
          <w:color w:val="auto"/>
          <w:sz w:val="21"/>
          <w:szCs w:val="21"/>
          <w:highlight w:val="none"/>
          <w:u w:val="single"/>
        </w:rPr>
        <w:t>按有关规定执行，承包人自行承担费用</w:t>
      </w:r>
      <w:r>
        <w:rPr>
          <w:rFonts w:hint="eastAsia" w:cs="宋体"/>
          <w:color w:val="auto"/>
          <w:sz w:val="21"/>
          <w:szCs w:val="21"/>
          <w:u w:val="single"/>
        </w:rPr>
        <w:t xml:space="preserve">  </w:t>
      </w:r>
      <w:r>
        <w:rPr>
          <w:rFonts w:hint="eastAsia" w:cs="宋体"/>
          <w:color w:val="auto"/>
          <w:sz w:val="21"/>
          <w:szCs w:val="21"/>
        </w:rPr>
        <w:t>。</w:t>
      </w:r>
    </w:p>
    <w:p w14:paraId="406DCAF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施工现场需要具备的其他试验条件：</w:t>
      </w:r>
      <w:r>
        <w:rPr>
          <w:rFonts w:hint="eastAsia" w:cs="宋体"/>
          <w:color w:val="auto"/>
          <w:sz w:val="21"/>
          <w:szCs w:val="21"/>
          <w:u w:val="single"/>
        </w:rPr>
        <w:t xml:space="preserve"> </w:t>
      </w:r>
      <w:r>
        <w:rPr>
          <w:rFonts w:hint="eastAsia" w:ascii="宋体" w:hAnsi="宋体" w:eastAsia="宋体" w:cs="宋体"/>
          <w:color w:val="auto"/>
          <w:sz w:val="21"/>
          <w:szCs w:val="21"/>
          <w:highlight w:val="none"/>
          <w:u w:val="single"/>
        </w:rPr>
        <w:t>按有关规定执行，承包人自行承担费用</w:t>
      </w:r>
      <w:r>
        <w:rPr>
          <w:rFonts w:hint="eastAsia" w:cs="宋体"/>
          <w:color w:val="auto"/>
          <w:sz w:val="21"/>
          <w:szCs w:val="21"/>
          <w:u w:val="single"/>
        </w:rPr>
        <w:t xml:space="preserve"> </w:t>
      </w:r>
      <w:r>
        <w:rPr>
          <w:rFonts w:hint="eastAsia" w:cs="宋体"/>
          <w:color w:val="auto"/>
          <w:sz w:val="21"/>
          <w:szCs w:val="21"/>
        </w:rPr>
        <w:t>。</w:t>
      </w:r>
    </w:p>
    <w:p w14:paraId="4A26212A">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 xml:space="preserve">9.4 现场工艺试验 </w:t>
      </w:r>
    </w:p>
    <w:p w14:paraId="37006373">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现场工艺试验的有关约定：</w:t>
      </w:r>
      <w:r>
        <w:rPr>
          <w:rFonts w:hint="eastAsia" w:cs="宋体"/>
          <w:color w:val="auto"/>
          <w:sz w:val="21"/>
          <w:szCs w:val="21"/>
          <w:u w:val="single"/>
        </w:rPr>
        <w:t xml:space="preserve"> </w:t>
      </w:r>
      <w:r>
        <w:rPr>
          <w:rFonts w:hint="eastAsia" w:ascii="宋体" w:hAnsi="宋体" w:eastAsia="宋体" w:cs="宋体"/>
          <w:color w:val="auto"/>
          <w:sz w:val="21"/>
          <w:szCs w:val="21"/>
          <w:highlight w:val="none"/>
          <w:u w:val="single"/>
        </w:rPr>
        <w:t>按有关规定执行，承包人自行承担费用</w:t>
      </w:r>
      <w:r>
        <w:rPr>
          <w:rFonts w:hint="eastAsia" w:cs="宋体"/>
          <w:color w:val="auto"/>
          <w:sz w:val="21"/>
          <w:szCs w:val="21"/>
          <w:u w:val="single"/>
        </w:rPr>
        <w:t xml:space="preserve"> </w:t>
      </w:r>
      <w:r>
        <w:rPr>
          <w:rFonts w:hint="eastAsia" w:cs="宋体"/>
          <w:color w:val="auto"/>
          <w:sz w:val="21"/>
          <w:szCs w:val="21"/>
        </w:rPr>
        <w:t>。</w:t>
      </w:r>
    </w:p>
    <w:bookmarkEnd w:id="302"/>
    <w:bookmarkEnd w:id="303"/>
    <w:bookmarkEnd w:id="304"/>
    <w:bookmarkEnd w:id="305"/>
    <w:bookmarkEnd w:id="306"/>
    <w:bookmarkEnd w:id="307"/>
    <w:bookmarkEnd w:id="308"/>
    <w:bookmarkEnd w:id="309"/>
    <w:p w14:paraId="63E75A58">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310" w:name="_Toc351203642"/>
      <w:r>
        <w:rPr>
          <w:rFonts w:hint="eastAsia" w:cs="宋体"/>
          <w:color w:val="auto"/>
          <w:sz w:val="21"/>
          <w:szCs w:val="21"/>
        </w:rPr>
        <w:t>1</w:t>
      </w:r>
      <w:bookmarkEnd w:id="276"/>
      <w:bookmarkEnd w:id="277"/>
      <w:bookmarkEnd w:id="278"/>
      <w:bookmarkEnd w:id="279"/>
      <w:bookmarkEnd w:id="280"/>
      <w:bookmarkEnd w:id="281"/>
      <w:bookmarkEnd w:id="282"/>
      <w:bookmarkEnd w:id="283"/>
      <w:bookmarkEnd w:id="284"/>
      <w:bookmarkEnd w:id="285"/>
      <w:bookmarkEnd w:id="286"/>
      <w:bookmarkEnd w:id="287"/>
      <w:bookmarkStart w:id="311" w:name="_Toc297120493"/>
      <w:bookmarkStart w:id="312" w:name="_Toc296944532"/>
      <w:bookmarkStart w:id="313" w:name="_Toc297123540"/>
      <w:bookmarkStart w:id="314" w:name="_Toc296503193"/>
      <w:bookmarkStart w:id="315" w:name="_Toc300934989"/>
      <w:bookmarkStart w:id="316" w:name="_Toc296347192"/>
      <w:bookmarkStart w:id="317" w:name="_Toc296346694"/>
      <w:bookmarkStart w:id="318" w:name="_Toc296891233"/>
      <w:bookmarkStart w:id="319" w:name="_Toc297048379"/>
      <w:bookmarkStart w:id="320" w:name="_Toc303539146"/>
      <w:bookmarkStart w:id="321" w:name="_Toc296891021"/>
      <w:bookmarkStart w:id="322" w:name="_Toc304295566"/>
      <w:bookmarkStart w:id="323" w:name="_Toc292559398"/>
      <w:bookmarkStart w:id="324" w:name="_Toc297216199"/>
      <w:bookmarkStart w:id="325" w:name="_Toc292559903"/>
      <w:bookmarkStart w:id="326" w:name="_Toc312678025"/>
      <w:bookmarkStart w:id="327" w:name="_Toc312677499"/>
      <w:bookmarkStart w:id="328" w:name="_Toc267251441"/>
      <w:bookmarkStart w:id="329" w:name="_Toc267251439"/>
      <w:bookmarkStart w:id="330" w:name="_Toc267251437"/>
      <w:bookmarkStart w:id="331" w:name="_Toc267251435"/>
      <w:bookmarkStart w:id="332" w:name="_Toc267251440"/>
      <w:bookmarkStart w:id="333" w:name="_Toc267251433"/>
      <w:bookmarkStart w:id="334" w:name="_Toc267251442"/>
      <w:r>
        <w:rPr>
          <w:rFonts w:hint="eastAsia" w:cs="宋体"/>
          <w:color w:val="auto"/>
          <w:sz w:val="21"/>
          <w:szCs w:val="21"/>
        </w:rPr>
        <w:t>0. 变更</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bookmarkEnd w:id="326"/>
    <w:bookmarkEnd w:id="327"/>
    <w:p w14:paraId="70DA1E9B">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w:t>
      </w:r>
      <w:bookmarkStart w:id="335" w:name="_Toc312677500"/>
      <w:bookmarkStart w:id="336" w:name="_Toc304295567"/>
      <w:bookmarkStart w:id="337" w:name="_Toc297120494"/>
      <w:bookmarkStart w:id="338" w:name="_Toc296347193"/>
      <w:bookmarkStart w:id="339" w:name="_Toc296503194"/>
      <w:bookmarkStart w:id="340" w:name="_Toc297216200"/>
      <w:bookmarkStart w:id="341" w:name="_Toc300934990"/>
      <w:bookmarkStart w:id="342" w:name="_Toc297123541"/>
      <w:bookmarkStart w:id="343" w:name="_Toc303539147"/>
      <w:bookmarkStart w:id="344" w:name="_Toc297048380"/>
      <w:bookmarkStart w:id="345" w:name="_Toc296944533"/>
      <w:bookmarkStart w:id="346" w:name="_Toc292559399"/>
      <w:bookmarkStart w:id="347" w:name="_Toc296891022"/>
      <w:bookmarkStart w:id="348" w:name="_Toc296346695"/>
      <w:bookmarkStart w:id="349" w:name="_Toc292559904"/>
      <w:bookmarkStart w:id="350" w:name="_Toc296891234"/>
      <w:bookmarkStart w:id="351" w:name="_Toc312678026"/>
      <w:r>
        <w:rPr>
          <w:rFonts w:hint="eastAsia" w:cs="宋体"/>
          <w:bCs/>
          <w:color w:val="auto"/>
          <w:sz w:val="21"/>
          <w:szCs w:val="21"/>
        </w:rPr>
        <w:t>0.1 变更的范围</w:t>
      </w:r>
    </w:p>
    <w:p w14:paraId="51D8B35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关于变更的范围的约定：</w:t>
      </w:r>
      <w:r>
        <w:rPr>
          <w:rFonts w:hint="eastAsia" w:cs="宋体"/>
          <w:color w:val="auto"/>
          <w:sz w:val="21"/>
          <w:szCs w:val="21"/>
          <w:u w:val="single"/>
        </w:rPr>
        <w:t xml:space="preserve"> </w:t>
      </w:r>
      <w:r>
        <w:rPr>
          <w:rFonts w:hint="eastAsia" w:cs="宋体"/>
          <w:color w:val="auto"/>
          <w:sz w:val="21"/>
          <w:szCs w:val="21"/>
          <w:u w:val="single"/>
          <w:lang w:val="en-US" w:eastAsia="zh-CN"/>
        </w:rPr>
        <w:t>工程变更包括设计变更、施工变更、工期变更和经济技术签证等事项</w:t>
      </w:r>
      <w:r>
        <w:rPr>
          <w:rFonts w:hint="eastAsia" w:cs="宋体"/>
          <w:color w:val="auto"/>
          <w:sz w:val="21"/>
          <w:szCs w:val="21"/>
        </w:rPr>
        <w:t>。</w:t>
      </w:r>
    </w:p>
    <w:p w14:paraId="45D669A3">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10.4 变更估价</w:t>
      </w:r>
    </w:p>
    <w:p w14:paraId="00B296F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10.4.1 变更估价原则</w:t>
      </w:r>
    </w:p>
    <w:p w14:paraId="47C2274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关于变更估价的约定：</w:t>
      </w:r>
    </w:p>
    <w:p w14:paraId="5599679D">
      <w:pPr>
        <w:pageBreakBefore w:val="0"/>
        <w:widowControl w:val="0"/>
        <w:kinsoku/>
        <w:wordWrap/>
        <w:overflowPunct/>
        <w:topLinePunct w:val="0"/>
        <w:bidi w:val="0"/>
        <w:adjustRightInd w:val="0"/>
        <w:snapToGrid w:val="0"/>
        <w:spacing w:line="440" w:lineRule="exact"/>
        <w:ind w:firstLine="420" w:firstLineChars="200"/>
        <w:textAlignment w:val="auto"/>
        <w:rPr>
          <w:rFonts w:cs="宋体"/>
          <w:b w:val="0"/>
          <w:bCs/>
          <w:color w:val="auto"/>
          <w:sz w:val="21"/>
          <w:szCs w:val="21"/>
        </w:rPr>
      </w:pPr>
      <w:r>
        <w:rPr>
          <w:rFonts w:hint="eastAsia" w:cs="宋体"/>
          <w:b w:val="0"/>
          <w:bCs/>
          <w:color w:val="auto"/>
          <w:sz w:val="21"/>
          <w:szCs w:val="21"/>
        </w:rPr>
        <w:t>10.4.1.1 因工程变更引起已标价工程量清单项目或其工程数量发生变化时，按下列规定调整：</w:t>
      </w:r>
    </w:p>
    <w:p w14:paraId="293DE1E1">
      <w:pPr>
        <w:pageBreakBefore w:val="0"/>
        <w:widowControl w:val="0"/>
        <w:kinsoku/>
        <w:wordWrap/>
        <w:overflowPunct/>
        <w:topLinePunct w:val="0"/>
        <w:bidi w:val="0"/>
        <w:adjustRightInd w:val="0"/>
        <w:snapToGrid w:val="0"/>
        <w:spacing w:line="440" w:lineRule="exact"/>
        <w:ind w:firstLine="420" w:firstLineChars="200"/>
        <w:textAlignment w:val="auto"/>
        <w:rPr>
          <w:rFonts w:cs="宋体"/>
          <w:b w:val="0"/>
          <w:bCs/>
          <w:color w:val="auto"/>
          <w:sz w:val="21"/>
          <w:szCs w:val="21"/>
          <w:u w:val="single"/>
        </w:rPr>
      </w:pPr>
      <w:r>
        <w:rPr>
          <w:rFonts w:hint="eastAsia" w:cs="宋体"/>
          <w:b w:val="0"/>
          <w:bCs/>
          <w:color w:val="auto"/>
          <w:sz w:val="21"/>
          <w:szCs w:val="21"/>
          <w:u w:val="single"/>
        </w:rPr>
        <w:t>(1)已标价工程量清单中有适用于变更工程项目的，采用该项目的单价，除外情形：①对于投标报价中分部分项工程项目单价高于最高投标限价相应子目单价的清单项目，工程量增加幅度超过本项目工程数量15%的，超过15%的增加部分工程量的单价按最高投标限价相应子目单价与承包人报价浮动率【承包人报价浮动率L=（1—中标价/最高投标限价）×100%，下同】同比下浮，确定工程变更单价，作为结算的依据，但最高投标限价相应子目单价有明显错误的除外；②对于投标报价中分部分项工程项目单价低于最高投标限价相应子目单价的幅度超过承包人报价浮动率的，工程量减少幅度超过本项目工程数量15%的，超过15%的减少部分工程量的单价按最高投标限价相应子目单价与承包人报价浮动率同比下浮，确定工程变更单价，作为结算的依据，但最高投标限价相应子目单价有明显错误的除外；</w:t>
      </w:r>
    </w:p>
    <w:p w14:paraId="3099000F">
      <w:pPr>
        <w:pageBreakBefore w:val="0"/>
        <w:widowControl w:val="0"/>
        <w:kinsoku/>
        <w:wordWrap/>
        <w:overflowPunct/>
        <w:topLinePunct w:val="0"/>
        <w:bidi w:val="0"/>
        <w:adjustRightInd w:val="0"/>
        <w:snapToGrid w:val="0"/>
        <w:spacing w:line="440" w:lineRule="exact"/>
        <w:ind w:firstLine="420" w:firstLineChars="200"/>
        <w:textAlignment w:val="auto"/>
        <w:rPr>
          <w:rFonts w:cs="宋体"/>
          <w:b w:val="0"/>
          <w:bCs/>
          <w:color w:val="auto"/>
          <w:sz w:val="21"/>
          <w:szCs w:val="21"/>
          <w:u w:val="single"/>
        </w:rPr>
      </w:pPr>
      <w:r>
        <w:rPr>
          <w:rFonts w:hint="eastAsia" w:cs="宋体"/>
          <w:b w:val="0"/>
          <w:bCs/>
          <w:color w:val="auto"/>
          <w:sz w:val="21"/>
          <w:szCs w:val="21"/>
        </w:rPr>
        <w:t>（2）</w:t>
      </w:r>
      <w:r>
        <w:rPr>
          <w:rFonts w:hint="eastAsia" w:cs="宋体"/>
          <w:b w:val="0"/>
          <w:bCs/>
          <w:color w:val="auto"/>
          <w:sz w:val="21"/>
          <w:szCs w:val="21"/>
          <w:u w:val="single"/>
        </w:rPr>
        <w:t>已标价工程量清单中没有适用但有类似于变更工程项目的，可在合理范围内参照类似项目的单价。</w:t>
      </w:r>
    </w:p>
    <w:p w14:paraId="4CCDFE13">
      <w:pPr>
        <w:pageBreakBefore w:val="0"/>
        <w:widowControl w:val="0"/>
        <w:kinsoku/>
        <w:wordWrap/>
        <w:overflowPunct/>
        <w:topLinePunct w:val="0"/>
        <w:bidi w:val="0"/>
        <w:adjustRightInd w:val="0"/>
        <w:snapToGrid w:val="0"/>
        <w:spacing w:line="440" w:lineRule="exact"/>
        <w:ind w:firstLine="420" w:firstLineChars="200"/>
        <w:textAlignment w:val="auto"/>
        <w:rPr>
          <w:rFonts w:cs="宋体"/>
          <w:b w:val="0"/>
          <w:bCs/>
          <w:color w:val="auto"/>
          <w:sz w:val="21"/>
          <w:szCs w:val="21"/>
          <w:u w:val="single"/>
        </w:rPr>
      </w:pPr>
      <w:r>
        <w:rPr>
          <w:rFonts w:hint="eastAsia" w:cs="宋体"/>
          <w:b w:val="0"/>
          <w:bCs/>
          <w:color w:val="auto"/>
          <w:sz w:val="21"/>
          <w:szCs w:val="21"/>
          <w:u w:val="single"/>
        </w:rPr>
        <w:t xml:space="preserve">（3）已标价工程量清单中没有适用也没有类似于变更工程项目的，由承包人根据变更工程资料、招标时的计量规则和计价办法、当期的工程造价管理机构发布的信息价格和承包人报价浮动率提出变更工程项目的单价，报发包人确认后调整； </w:t>
      </w:r>
    </w:p>
    <w:p w14:paraId="25D98E68">
      <w:pPr>
        <w:pageBreakBefore w:val="0"/>
        <w:widowControl w:val="0"/>
        <w:kinsoku/>
        <w:wordWrap/>
        <w:overflowPunct/>
        <w:topLinePunct w:val="0"/>
        <w:bidi w:val="0"/>
        <w:adjustRightInd w:val="0"/>
        <w:snapToGrid w:val="0"/>
        <w:spacing w:line="440" w:lineRule="exact"/>
        <w:ind w:firstLine="420" w:firstLineChars="200"/>
        <w:textAlignment w:val="auto"/>
        <w:rPr>
          <w:rFonts w:cs="宋体"/>
          <w:b w:val="0"/>
          <w:bCs/>
          <w:color w:val="auto"/>
          <w:sz w:val="21"/>
          <w:szCs w:val="21"/>
          <w:u w:val="single"/>
        </w:rPr>
      </w:pPr>
      <w:r>
        <w:rPr>
          <w:rFonts w:hint="eastAsia" w:cs="宋体"/>
          <w:b w:val="0"/>
          <w:bCs/>
          <w:color w:val="auto"/>
          <w:sz w:val="21"/>
          <w:szCs w:val="21"/>
          <w:u w:val="single"/>
        </w:rPr>
        <w:t xml:space="preserve">（4）已标价工程量清单中没有适用也没有类似于变更工程项目的，且工程造价管理机构发布的信息价缺价的，由承包人根据变更工程资料、招标时的计量规则和计价办法和通过市场调查等取得有合法依据的市场价格和承包人报价浮动率提出变更工程项目的单价，报发包人确认后调整。 </w:t>
      </w:r>
    </w:p>
    <w:p w14:paraId="31DB8209">
      <w:pPr>
        <w:pageBreakBefore w:val="0"/>
        <w:widowControl w:val="0"/>
        <w:kinsoku/>
        <w:wordWrap/>
        <w:overflowPunct/>
        <w:topLinePunct w:val="0"/>
        <w:bidi w:val="0"/>
        <w:adjustRightInd w:val="0"/>
        <w:snapToGrid w:val="0"/>
        <w:spacing w:line="440" w:lineRule="exact"/>
        <w:ind w:firstLine="420" w:firstLineChars="200"/>
        <w:textAlignment w:val="auto"/>
        <w:rPr>
          <w:rFonts w:cs="宋体"/>
          <w:b w:val="0"/>
          <w:bCs/>
          <w:color w:val="auto"/>
          <w:sz w:val="21"/>
          <w:szCs w:val="21"/>
        </w:rPr>
      </w:pPr>
      <w:r>
        <w:rPr>
          <w:rFonts w:hint="eastAsia" w:cs="宋体"/>
          <w:b w:val="0"/>
          <w:bCs/>
          <w:color w:val="auto"/>
          <w:sz w:val="21"/>
          <w:szCs w:val="21"/>
        </w:rPr>
        <w:t>10.4.1.2 工程变更引起施工方案改变并使措施项目发生变化时，承包人提出调整措施项目费的，应事前将拟实施的方案提交发包人确认，并应详细说明与原方案措施项目相比的变化情况。拟实施的方案经发承包双方确认后执行，并应按照下列规定调整措施项目费：</w:t>
      </w:r>
    </w:p>
    <w:p w14:paraId="01D594BE">
      <w:pPr>
        <w:pageBreakBefore w:val="0"/>
        <w:widowControl w:val="0"/>
        <w:kinsoku/>
        <w:wordWrap/>
        <w:overflowPunct/>
        <w:topLinePunct w:val="0"/>
        <w:bidi w:val="0"/>
        <w:adjustRightInd w:val="0"/>
        <w:snapToGrid w:val="0"/>
        <w:spacing w:line="440" w:lineRule="exact"/>
        <w:ind w:firstLine="420" w:firstLineChars="200"/>
        <w:textAlignment w:val="auto"/>
        <w:rPr>
          <w:rFonts w:cs="宋体"/>
          <w:b w:val="0"/>
          <w:bCs/>
          <w:color w:val="auto"/>
          <w:sz w:val="21"/>
          <w:szCs w:val="21"/>
          <w:u w:val="single"/>
        </w:rPr>
      </w:pPr>
      <w:r>
        <w:rPr>
          <w:rFonts w:hint="eastAsia" w:cs="宋体"/>
          <w:b w:val="0"/>
          <w:bCs/>
          <w:color w:val="auto"/>
          <w:sz w:val="21"/>
          <w:szCs w:val="21"/>
          <w:u w:val="single"/>
        </w:rPr>
        <w:t>（1）按照费率计算的措施费，应按照实际发生变化的措施项目依据原招标文件规定的费率计算；</w:t>
      </w:r>
    </w:p>
    <w:p w14:paraId="5A76E360">
      <w:pPr>
        <w:pageBreakBefore w:val="0"/>
        <w:widowControl w:val="0"/>
        <w:kinsoku/>
        <w:wordWrap/>
        <w:overflowPunct/>
        <w:topLinePunct w:val="0"/>
        <w:bidi w:val="0"/>
        <w:adjustRightInd w:val="0"/>
        <w:snapToGrid w:val="0"/>
        <w:spacing w:line="440" w:lineRule="exact"/>
        <w:ind w:firstLine="420" w:firstLineChars="200"/>
        <w:jc w:val="left"/>
        <w:textAlignment w:val="auto"/>
        <w:rPr>
          <w:rFonts w:cs="宋体"/>
          <w:b w:val="0"/>
          <w:bCs/>
          <w:color w:val="auto"/>
          <w:sz w:val="21"/>
          <w:szCs w:val="21"/>
          <w:u w:val="single"/>
        </w:rPr>
      </w:pPr>
      <w:r>
        <w:rPr>
          <w:rFonts w:hint="eastAsia" w:cs="宋体"/>
          <w:b w:val="0"/>
          <w:bCs/>
          <w:color w:val="auto"/>
          <w:sz w:val="21"/>
          <w:szCs w:val="21"/>
          <w:u w:val="single"/>
        </w:rPr>
        <w:t>（2）按照单价计算的措施项目费，应按照实际发生变化的措施项目，按本合同专业条款第10.4.1.1目计算；</w:t>
      </w:r>
    </w:p>
    <w:p w14:paraId="406782BC">
      <w:pPr>
        <w:pageBreakBefore w:val="0"/>
        <w:widowControl w:val="0"/>
        <w:kinsoku/>
        <w:wordWrap/>
        <w:overflowPunct/>
        <w:topLinePunct w:val="0"/>
        <w:bidi w:val="0"/>
        <w:adjustRightInd w:val="0"/>
        <w:snapToGrid w:val="0"/>
        <w:spacing w:line="440" w:lineRule="exact"/>
        <w:ind w:firstLine="420" w:firstLineChars="200"/>
        <w:textAlignment w:val="auto"/>
        <w:rPr>
          <w:rFonts w:cs="宋体"/>
          <w:b w:val="0"/>
          <w:bCs/>
          <w:color w:val="auto"/>
          <w:sz w:val="21"/>
          <w:szCs w:val="21"/>
          <w:u w:val="single"/>
        </w:rPr>
      </w:pPr>
      <w:r>
        <w:rPr>
          <w:rFonts w:hint="eastAsia" w:cs="宋体"/>
          <w:b w:val="0"/>
          <w:bCs/>
          <w:color w:val="auto"/>
          <w:sz w:val="21"/>
          <w:szCs w:val="21"/>
          <w:u w:val="single"/>
        </w:rPr>
        <w:t>（3）按总价（或系数）计算的措施项目费，应按照实际发生变化的措施项目和承包人报价浮动率同比下浮标准，提出新的措施项目费，作为结算的依据；</w:t>
      </w:r>
    </w:p>
    <w:p w14:paraId="52CFA9B5">
      <w:pPr>
        <w:pageBreakBefore w:val="0"/>
        <w:widowControl w:val="0"/>
        <w:kinsoku/>
        <w:wordWrap/>
        <w:overflowPunct/>
        <w:topLinePunct w:val="0"/>
        <w:bidi w:val="0"/>
        <w:adjustRightInd w:val="0"/>
        <w:snapToGrid w:val="0"/>
        <w:spacing w:line="440" w:lineRule="exact"/>
        <w:ind w:firstLine="420" w:firstLineChars="200"/>
        <w:textAlignment w:val="auto"/>
        <w:rPr>
          <w:rFonts w:cs="宋体"/>
          <w:b w:val="0"/>
          <w:bCs/>
          <w:strike/>
          <w:color w:val="auto"/>
          <w:sz w:val="21"/>
          <w:szCs w:val="21"/>
          <w:u w:val="single"/>
        </w:rPr>
      </w:pPr>
      <w:r>
        <w:rPr>
          <w:rFonts w:hint="eastAsia" w:cs="宋体"/>
          <w:b w:val="0"/>
          <w:bCs/>
          <w:color w:val="auto"/>
          <w:sz w:val="21"/>
          <w:szCs w:val="21"/>
          <w:u w:val="single"/>
        </w:rPr>
        <w:t>（4）如果承包人未事前将拟实施的方案提交给发包人确认，则应视为工程变更不引起措施项目费的调整或承包人放弃调整措施项目费的权利。</w:t>
      </w:r>
    </w:p>
    <w:p w14:paraId="55D26300">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Start w:id="352" w:name="_Toc292559907"/>
      <w:bookmarkStart w:id="353" w:name="_Toc296891025"/>
      <w:bookmarkStart w:id="354" w:name="_Toc297216203"/>
      <w:bookmarkStart w:id="355" w:name="_Toc296944536"/>
      <w:bookmarkStart w:id="356" w:name="_Toc296891237"/>
      <w:bookmarkStart w:id="357" w:name="_Toc296503197"/>
      <w:bookmarkStart w:id="358" w:name="_Toc300934993"/>
      <w:bookmarkStart w:id="359" w:name="_Toc296346698"/>
      <w:bookmarkStart w:id="360" w:name="_Toc297120497"/>
      <w:bookmarkStart w:id="361" w:name="_Toc303539150"/>
      <w:bookmarkStart w:id="362" w:name="_Toc297048383"/>
      <w:bookmarkStart w:id="363" w:name="_Toc297123544"/>
      <w:bookmarkStart w:id="364" w:name="_Toc296347196"/>
      <w:bookmarkStart w:id="365" w:name="_Toc292559402"/>
      <w:bookmarkStart w:id="366" w:name="_Toc312677503"/>
      <w:bookmarkStart w:id="367" w:name="_Toc304295570"/>
      <w:bookmarkStart w:id="368" w:name="_Toc312678029"/>
      <w:r>
        <w:rPr>
          <w:rFonts w:hint="eastAsia" w:cs="宋体"/>
          <w:bCs/>
          <w:color w:val="auto"/>
          <w:sz w:val="21"/>
          <w:szCs w:val="21"/>
        </w:rPr>
        <w:t>0.5 承</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Start w:id="369" w:name="_Toc292559913"/>
      <w:bookmarkStart w:id="370" w:name="_Toc296891243"/>
      <w:bookmarkStart w:id="371" w:name="_Toc300934994"/>
      <w:bookmarkStart w:id="372" w:name="_Toc297120503"/>
      <w:bookmarkStart w:id="373" w:name="_Toc296347202"/>
      <w:bookmarkStart w:id="374" w:name="_Toc297048389"/>
      <w:bookmarkStart w:id="375" w:name="_Toc303539151"/>
      <w:bookmarkStart w:id="376" w:name="_Toc297123545"/>
      <w:bookmarkStart w:id="377" w:name="_Toc296944542"/>
      <w:bookmarkStart w:id="378" w:name="_Toc296891031"/>
      <w:bookmarkStart w:id="379" w:name="_Toc296503203"/>
      <w:bookmarkStart w:id="380" w:name="_Toc296346704"/>
      <w:bookmarkStart w:id="381" w:name="_Toc292559408"/>
      <w:bookmarkStart w:id="382" w:name="_Toc297216204"/>
      <w:r>
        <w:rPr>
          <w:rFonts w:hint="eastAsia" w:cs="宋体"/>
          <w:bCs/>
          <w:color w:val="auto"/>
          <w:sz w:val="21"/>
          <w:szCs w:val="21"/>
        </w:rPr>
        <w:t>包人的合理化建议</w:t>
      </w:r>
    </w:p>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14:paraId="118A373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监理人审查承包人合理化建议的期限：</w:t>
      </w:r>
      <w:r>
        <w:rPr>
          <w:rFonts w:hint="eastAsia" w:cs="宋体"/>
          <w:color w:val="auto"/>
          <w:sz w:val="21"/>
          <w:szCs w:val="21"/>
          <w:u w:val="single"/>
        </w:rPr>
        <w:t xml:space="preserve">       </w:t>
      </w:r>
      <w:r>
        <w:rPr>
          <w:rFonts w:hint="eastAsia" w:cs="宋体"/>
          <w:color w:val="auto"/>
          <w:sz w:val="21"/>
          <w:szCs w:val="21"/>
        </w:rPr>
        <w:t>。</w:t>
      </w:r>
    </w:p>
    <w:p w14:paraId="23BCB06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发包人审批承包人合理化建议的期限：</w:t>
      </w:r>
      <w:r>
        <w:rPr>
          <w:rFonts w:hint="eastAsia" w:cs="宋体"/>
          <w:color w:val="auto"/>
          <w:sz w:val="21"/>
          <w:szCs w:val="21"/>
          <w:u w:val="single"/>
        </w:rPr>
        <w:t xml:space="preserve">      </w:t>
      </w:r>
      <w:r>
        <w:rPr>
          <w:rFonts w:hint="eastAsia" w:cs="宋体"/>
          <w:color w:val="auto"/>
          <w:sz w:val="21"/>
          <w:szCs w:val="21"/>
        </w:rPr>
        <w:t>。</w:t>
      </w:r>
    </w:p>
    <w:p w14:paraId="6041334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承</w:t>
      </w:r>
      <w:bookmarkStart w:id="383" w:name="_Toc300934995"/>
      <w:bookmarkStart w:id="384" w:name="_Toc292559914"/>
      <w:bookmarkStart w:id="385" w:name="_Toc312678030"/>
      <w:bookmarkStart w:id="386" w:name="_Toc296891032"/>
      <w:bookmarkStart w:id="387" w:name="_Toc297120504"/>
      <w:bookmarkStart w:id="388" w:name="_Toc296891244"/>
      <w:bookmarkStart w:id="389" w:name="_Toc297123546"/>
      <w:bookmarkStart w:id="390" w:name="_Toc296346705"/>
      <w:bookmarkStart w:id="391" w:name="_Toc303539152"/>
      <w:bookmarkStart w:id="392" w:name="_Toc297216205"/>
      <w:bookmarkStart w:id="393" w:name="_Toc292559409"/>
      <w:bookmarkStart w:id="394" w:name="_Toc312677504"/>
      <w:bookmarkStart w:id="395" w:name="_Toc296347203"/>
      <w:bookmarkStart w:id="396" w:name="_Toc318581175"/>
      <w:bookmarkStart w:id="397" w:name="_Toc296503204"/>
      <w:bookmarkStart w:id="398" w:name="_Toc304295571"/>
      <w:bookmarkStart w:id="399" w:name="_Toc296944543"/>
      <w:bookmarkStart w:id="400" w:name="_Toc297048390"/>
      <w:r>
        <w:rPr>
          <w:rFonts w:hint="eastAsia" w:cs="宋体"/>
          <w:color w:val="auto"/>
          <w:sz w:val="21"/>
          <w:szCs w:val="21"/>
        </w:rPr>
        <w:t>包人提出的合理化建议降低了合同价格或者提高了工程经济效益的奖励的方法和金额为：</w:t>
      </w:r>
      <w:r>
        <w:rPr>
          <w:rFonts w:hint="eastAsia" w:cs="宋体"/>
          <w:color w:val="auto"/>
          <w:sz w:val="21"/>
          <w:szCs w:val="21"/>
          <w:u w:val="single"/>
        </w:rPr>
        <w:t xml:space="preserve">       </w:t>
      </w:r>
      <w:r>
        <w:rPr>
          <w:rFonts w:hint="eastAsia" w:cs="宋体"/>
          <w:color w:val="auto"/>
          <w:sz w:val="21"/>
          <w:szCs w:val="21"/>
        </w:rPr>
        <w:t>。</w:t>
      </w:r>
    </w:p>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14:paraId="4A29D505">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w:t>
      </w:r>
      <w:bookmarkStart w:id="401" w:name="_Toc292559404"/>
      <w:bookmarkStart w:id="402" w:name="_Toc296503199"/>
      <w:bookmarkStart w:id="403" w:name="_Toc303539154"/>
      <w:bookmarkStart w:id="404" w:name="_Toc296891239"/>
      <w:bookmarkStart w:id="405" w:name="_Toc304295574"/>
      <w:bookmarkStart w:id="406" w:name="_Toc292559909"/>
      <w:bookmarkStart w:id="407" w:name="_Toc297120499"/>
      <w:bookmarkStart w:id="408" w:name="_Toc296891027"/>
      <w:bookmarkStart w:id="409" w:name="_Toc296347198"/>
      <w:bookmarkStart w:id="410" w:name="_Toc297048385"/>
      <w:bookmarkStart w:id="411" w:name="_Toc296346700"/>
      <w:bookmarkStart w:id="412" w:name="_Toc297216207"/>
      <w:bookmarkStart w:id="413" w:name="_Toc312677507"/>
      <w:bookmarkStart w:id="414" w:name="_Toc312678033"/>
      <w:bookmarkStart w:id="415" w:name="_Toc296944538"/>
      <w:bookmarkStart w:id="416" w:name="_Toc300934997"/>
      <w:bookmarkStart w:id="417" w:name="_Toc297123548"/>
      <w:r>
        <w:rPr>
          <w:rFonts w:hint="eastAsia" w:cs="宋体"/>
          <w:bCs/>
          <w:color w:val="auto"/>
          <w:sz w:val="21"/>
          <w:szCs w:val="21"/>
        </w:rPr>
        <w:t>0.7 暂估价</w:t>
      </w:r>
    </w:p>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14:paraId="150E5B7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暂</w:t>
      </w:r>
      <w:bookmarkStart w:id="418" w:name="_Toc312678034"/>
      <w:bookmarkStart w:id="419" w:name="_Toc318581176"/>
      <w:bookmarkStart w:id="420" w:name="_Toc312677508"/>
      <w:r>
        <w:rPr>
          <w:rFonts w:hint="eastAsia" w:cs="宋体"/>
          <w:color w:val="auto"/>
          <w:sz w:val="21"/>
          <w:szCs w:val="21"/>
        </w:rPr>
        <w:t>估价材料和工程设备的明细见附件12：《暂估价一览表》。</w:t>
      </w:r>
    </w:p>
    <w:bookmarkEnd w:id="418"/>
    <w:bookmarkEnd w:id="419"/>
    <w:bookmarkEnd w:id="420"/>
    <w:p w14:paraId="2A6C12E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w:t>
      </w:r>
      <w:bookmarkStart w:id="421" w:name="_Toc318581177"/>
      <w:bookmarkStart w:id="422" w:name="_Toc312677509"/>
      <w:bookmarkStart w:id="423" w:name="_Toc312678035"/>
      <w:r>
        <w:rPr>
          <w:rFonts w:hint="eastAsia" w:cs="宋体"/>
          <w:color w:val="auto"/>
          <w:sz w:val="21"/>
          <w:szCs w:val="21"/>
        </w:rPr>
        <w:t>0.7.1 依法必须招标的暂估价项目</w:t>
      </w:r>
    </w:p>
    <w:bookmarkEnd w:id="421"/>
    <w:bookmarkEnd w:id="422"/>
    <w:bookmarkEnd w:id="423"/>
    <w:p w14:paraId="1C3E823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对于依法必须招标的暂估价项目的确认和批准采取第</w:t>
      </w:r>
      <w:r>
        <w:rPr>
          <w:rFonts w:hint="eastAsia" w:cs="宋体"/>
          <w:color w:val="auto"/>
          <w:sz w:val="21"/>
          <w:szCs w:val="21"/>
          <w:u w:val="single"/>
        </w:rPr>
        <w:t>2</w:t>
      </w:r>
      <w:r>
        <w:rPr>
          <w:rFonts w:hint="eastAsia" w:cs="宋体"/>
          <w:color w:val="auto"/>
          <w:sz w:val="21"/>
          <w:szCs w:val="21"/>
        </w:rPr>
        <w:t>种方式确定。</w:t>
      </w:r>
      <w:r>
        <w:rPr>
          <w:rFonts w:hint="eastAsia" w:cs="宋体"/>
          <w:b/>
          <w:color w:val="auto"/>
          <w:sz w:val="21"/>
          <w:szCs w:val="21"/>
          <w:u w:val="single"/>
        </w:rPr>
        <w:t>并应按相关规定进行二次招标</w:t>
      </w:r>
      <w:r>
        <w:rPr>
          <w:rFonts w:hint="eastAsia" w:cs="宋体"/>
          <w:color w:val="auto"/>
          <w:sz w:val="21"/>
          <w:szCs w:val="21"/>
        </w:rPr>
        <w:t>。</w:t>
      </w:r>
    </w:p>
    <w:p w14:paraId="6CA1B4B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10.7.2 不属于依法必须招标的暂估价项目</w:t>
      </w:r>
    </w:p>
    <w:p w14:paraId="160F112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对于不属于依法必须招标的暂估价项目的确认和批准采取第</w:t>
      </w:r>
      <w:r>
        <w:rPr>
          <w:rFonts w:hint="eastAsia" w:cs="宋体"/>
          <w:color w:val="auto"/>
          <w:sz w:val="21"/>
          <w:szCs w:val="21"/>
          <w:u w:val="single"/>
        </w:rPr>
        <w:t>1</w:t>
      </w:r>
      <w:r>
        <w:rPr>
          <w:rFonts w:hint="eastAsia" w:cs="宋体"/>
          <w:color w:val="auto"/>
          <w:sz w:val="21"/>
          <w:szCs w:val="21"/>
        </w:rPr>
        <w:t>种方式确定。</w:t>
      </w:r>
    </w:p>
    <w:p w14:paraId="01BC7FC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第3种方式：承包人直接实施的暂估价项目</w:t>
      </w:r>
    </w:p>
    <w:p w14:paraId="4FEF558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承包人直接实施的暂估价项目的约定：</w:t>
      </w:r>
      <w:r>
        <w:rPr>
          <w:rFonts w:hint="eastAsia" w:cs="宋体"/>
          <w:color w:val="auto"/>
          <w:sz w:val="21"/>
          <w:szCs w:val="21"/>
          <w:u w:val="single"/>
        </w:rPr>
        <w:t xml:space="preserve">  </w:t>
      </w:r>
      <w:r>
        <w:rPr>
          <w:rFonts w:hint="eastAsia" w:cs="宋体"/>
          <w:color w:val="auto"/>
          <w:sz w:val="21"/>
          <w:szCs w:val="21"/>
          <w:u w:val="single"/>
          <w:lang w:val="en-US" w:eastAsia="zh-CN"/>
        </w:rPr>
        <w:t xml:space="preserve"> / </w:t>
      </w:r>
      <w:r>
        <w:rPr>
          <w:rFonts w:hint="eastAsia" w:cs="宋体"/>
          <w:color w:val="auto"/>
          <w:sz w:val="21"/>
          <w:szCs w:val="21"/>
          <w:u w:val="single"/>
        </w:rPr>
        <w:t xml:space="preserve">  </w:t>
      </w:r>
      <w:r>
        <w:rPr>
          <w:rFonts w:hint="eastAsia" w:cs="宋体"/>
          <w:color w:val="auto"/>
          <w:sz w:val="21"/>
          <w:szCs w:val="21"/>
        </w:rPr>
        <w:t>。</w:t>
      </w:r>
    </w:p>
    <w:p w14:paraId="2AA08F41">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10.8 暂列金额</w:t>
      </w:r>
    </w:p>
    <w:p w14:paraId="7555B40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合同当事人关于暂列金额使用的约定：</w:t>
      </w:r>
      <w:r>
        <w:rPr>
          <w:rFonts w:hint="eastAsia" w:cs="宋体"/>
          <w:color w:val="auto"/>
          <w:sz w:val="21"/>
          <w:szCs w:val="21"/>
          <w:u w:val="single"/>
        </w:rPr>
        <w:t xml:space="preserve"> 暂列金是发包人为可能发生工程变更而暂列的金额，是发包人自行确定设立的，承包商无权使用此笔费用。此费用按实际发生经发包人签证后确定全部使用、部分使用或不使用。暂列金不计入工程款付款的基数</w:t>
      </w:r>
      <w:r>
        <w:rPr>
          <w:rFonts w:hint="eastAsia" w:cs="宋体"/>
          <w:color w:val="auto"/>
          <w:sz w:val="21"/>
          <w:szCs w:val="21"/>
        </w:rPr>
        <w:t>。</w:t>
      </w:r>
    </w:p>
    <w:p w14:paraId="1FB7CE2C">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424" w:name="_Toc351203643"/>
      <w:r>
        <w:rPr>
          <w:rFonts w:hint="eastAsia" w:cs="宋体"/>
          <w:color w:val="auto"/>
          <w:sz w:val="21"/>
          <w:szCs w:val="21"/>
        </w:rPr>
        <w:t>11. 价格调整</w:t>
      </w:r>
      <w:bookmarkEnd w:id="424"/>
    </w:p>
    <w:p w14:paraId="1EC34D40">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bookmarkStart w:id="425" w:name="_Toc297120501"/>
      <w:bookmarkStart w:id="426" w:name="_Toc297048387"/>
      <w:bookmarkStart w:id="427" w:name="_Toc296891241"/>
      <w:bookmarkStart w:id="428" w:name="_Toc303539157"/>
      <w:bookmarkStart w:id="429" w:name="_Toc296347200"/>
      <w:bookmarkStart w:id="430" w:name="_Toc296944540"/>
      <w:bookmarkStart w:id="431" w:name="_Toc292559406"/>
      <w:bookmarkStart w:id="432" w:name="_Toc296346702"/>
      <w:bookmarkStart w:id="433" w:name="_Toc296891029"/>
      <w:bookmarkStart w:id="434" w:name="_Toc304295577"/>
      <w:bookmarkStart w:id="435" w:name="_Toc300935000"/>
      <w:bookmarkStart w:id="436" w:name="_Toc292559911"/>
      <w:bookmarkStart w:id="437" w:name="_Toc297216209"/>
      <w:bookmarkStart w:id="438" w:name="_Toc297123550"/>
      <w:bookmarkStart w:id="439" w:name="_Toc296503201"/>
      <w:bookmarkStart w:id="440" w:name="_Toc312678039"/>
      <w:r>
        <w:rPr>
          <w:rFonts w:hint="eastAsia" w:cs="宋体"/>
          <w:bCs/>
          <w:color w:val="auto"/>
          <w:sz w:val="21"/>
          <w:szCs w:val="21"/>
        </w:rPr>
        <w:t>11.1 市场价格波动引起的调整</w:t>
      </w:r>
    </w:p>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14:paraId="60B8AAB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市场价格波动是否调整合同价格的约定：</w:t>
      </w:r>
      <w:r>
        <w:rPr>
          <w:rFonts w:hint="eastAsia" w:cs="宋体"/>
          <w:color w:val="auto"/>
          <w:sz w:val="21"/>
          <w:szCs w:val="21"/>
          <w:u w:val="single"/>
        </w:rPr>
        <w:t>见《专用合同条款数据表》</w:t>
      </w:r>
      <w:r>
        <w:rPr>
          <w:rFonts w:hint="eastAsia" w:cs="宋体"/>
          <w:color w:val="auto"/>
          <w:sz w:val="21"/>
          <w:szCs w:val="21"/>
        </w:rPr>
        <w:t>。</w:t>
      </w:r>
    </w:p>
    <w:p w14:paraId="7B4B112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因市场价格波动调整合同价格，采用以下第</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种方式对合同价格进行调整：</w:t>
      </w:r>
    </w:p>
    <w:p w14:paraId="7E61CCA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第1种方式：采用价格指数进行价格调整。</w:t>
      </w:r>
    </w:p>
    <w:p w14:paraId="0E3C312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关于各可调因子、定值和变值权重，以及基本价格指数及其来源的约定：</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 xml:space="preserve">； </w:t>
      </w:r>
    </w:p>
    <w:p w14:paraId="2D64C55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第2种方式：采用造价信息进行价格调整。</w:t>
      </w:r>
    </w:p>
    <w:p w14:paraId="2F91D81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（1）可调整价格的主要材料范围的约定：</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55274BB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（2）主要材料价差调整周期的约定：</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064242F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（3）主要材料价差调整计算方法的约定：</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63840EA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（4）主要材料价差调整时间的约定：</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0ECCAE5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（2）关于基准价格的约定：</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11D158A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①承包人在已标价工程量清单或预算书中载明的材料单价低于基准价格的：专用合同条款合同履行期间材料单价涨幅以基准价格为基础超过</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%时，或材料单价跌幅以已标价工程量清单或预算书中载明材料单价为基础超过</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%时，其超过部分据实调整。</w:t>
      </w:r>
    </w:p>
    <w:p w14:paraId="5ED26F4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②承包人在已标价工程量清单或预算书中载明的材料单价高于基准价格的：专用合同条款合同履行期间材料单价跌幅以基准价格为基础超过</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%时，材料单价涨幅以已标价工程量清单或预算书中载明材料单价为基础超过</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%时，其超过部分据实调整。</w:t>
      </w:r>
    </w:p>
    <w:p w14:paraId="517A95F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③承包人在已标价工程量清单或预算书中载明的材料单价等于基准单价的：专用合同条款合同履行期间材料单价涨跌幅以基准单价为基础超过±</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%时，其超过部分据实调整。</w:t>
      </w:r>
    </w:p>
    <w:p w14:paraId="74DBFAE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第3种方式：其他价格调整方式：</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bookmarkEnd w:id="328"/>
    <w:bookmarkEnd w:id="329"/>
    <w:bookmarkEnd w:id="330"/>
    <w:bookmarkEnd w:id="331"/>
    <w:bookmarkEnd w:id="332"/>
    <w:bookmarkEnd w:id="333"/>
    <w:p w14:paraId="769D1132">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441" w:name="_Toc296347204"/>
      <w:bookmarkStart w:id="442" w:name="_Toc297120505"/>
      <w:bookmarkStart w:id="443" w:name="_Toc296891033"/>
      <w:bookmarkStart w:id="444" w:name="_Toc292559410"/>
      <w:bookmarkStart w:id="445" w:name="_Toc297048391"/>
      <w:bookmarkStart w:id="446" w:name="_Toc296503205"/>
      <w:bookmarkStart w:id="447" w:name="_Toc296346706"/>
      <w:bookmarkStart w:id="448" w:name="_Toc292559915"/>
      <w:bookmarkStart w:id="449" w:name="_Toc296944544"/>
      <w:bookmarkStart w:id="450" w:name="_Toc296891245"/>
      <w:bookmarkStart w:id="451" w:name="_Toc351203644"/>
      <w:bookmarkStart w:id="452" w:name="_Toc312678040"/>
      <w:bookmarkStart w:id="453" w:name="_Toc297216211"/>
      <w:bookmarkStart w:id="454" w:name="_Toc300935002"/>
      <w:bookmarkStart w:id="455" w:name="_Toc304295579"/>
      <w:bookmarkStart w:id="456" w:name="_Toc303539159"/>
      <w:bookmarkStart w:id="457" w:name="_Toc297123552"/>
      <w:r>
        <w:rPr>
          <w:rFonts w:hint="eastAsia" w:cs="宋体"/>
          <w:color w:val="auto"/>
          <w:sz w:val="21"/>
          <w:szCs w:val="21"/>
        </w:rPr>
        <w:t xml:space="preserve">12. </w:t>
      </w:r>
      <w:bookmarkEnd w:id="441"/>
      <w:bookmarkEnd w:id="442"/>
      <w:bookmarkEnd w:id="443"/>
      <w:bookmarkEnd w:id="444"/>
      <w:bookmarkEnd w:id="445"/>
      <w:bookmarkEnd w:id="446"/>
      <w:bookmarkEnd w:id="447"/>
      <w:bookmarkEnd w:id="448"/>
      <w:bookmarkEnd w:id="449"/>
      <w:bookmarkEnd w:id="450"/>
      <w:r>
        <w:rPr>
          <w:rFonts w:hint="eastAsia" w:cs="宋体"/>
          <w:color w:val="auto"/>
          <w:sz w:val="21"/>
          <w:szCs w:val="21"/>
        </w:rPr>
        <w:t>合同价格、计量与支付</w:t>
      </w:r>
      <w:bookmarkEnd w:id="451"/>
    </w:p>
    <w:bookmarkEnd w:id="452"/>
    <w:bookmarkEnd w:id="453"/>
    <w:bookmarkEnd w:id="454"/>
    <w:bookmarkEnd w:id="455"/>
    <w:bookmarkEnd w:id="456"/>
    <w:bookmarkEnd w:id="457"/>
    <w:p w14:paraId="58011E88">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bookmarkStart w:id="458" w:name="_Toc292559411"/>
      <w:bookmarkStart w:id="459" w:name="_Toc267251461"/>
      <w:bookmarkStart w:id="460" w:name="_Toc292559916"/>
      <w:bookmarkStart w:id="461" w:name="_Toc297048392"/>
      <w:bookmarkStart w:id="462" w:name="_Toc296891246"/>
      <w:bookmarkStart w:id="463" w:name="_Toc296346707"/>
      <w:bookmarkStart w:id="464" w:name="_Toc296347205"/>
      <w:bookmarkStart w:id="465" w:name="_Toc296503206"/>
      <w:bookmarkStart w:id="466" w:name="_Toc296891034"/>
      <w:bookmarkStart w:id="467" w:name="_Toc296944545"/>
      <w:bookmarkStart w:id="468" w:name="_Toc297120506"/>
      <w:bookmarkStart w:id="469" w:name="_Toc300935003"/>
      <w:bookmarkStart w:id="470" w:name="_Toc297216212"/>
      <w:bookmarkStart w:id="471" w:name="_Toc303539160"/>
      <w:bookmarkStart w:id="472" w:name="_Toc312678041"/>
      <w:bookmarkStart w:id="473" w:name="_Toc304295580"/>
      <w:bookmarkStart w:id="474" w:name="_Toc297123553"/>
      <w:r>
        <w:rPr>
          <w:rFonts w:hint="eastAsia" w:cs="宋体"/>
          <w:bCs/>
          <w:color w:val="auto"/>
          <w:sz w:val="21"/>
          <w:szCs w:val="21"/>
        </w:rPr>
        <w:t>12.1 合</w:t>
      </w:r>
      <w:bookmarkEnd w:id="458"/>
      <w:bookmarkEnd w:id="459"/>
      <w:bookmarkEnd w:id="460"/>
      <w:r>
        <w:rPr>
          <w:rFonts w:hint="eastAsia" w:cs="宋体"/>
          <w:bCs/>
          <w:color w:val="auto"/>
          <w:sz w:val="21"/>
          <w:szCs w:val="21"/>
        </w:rPr>
        <w:t>同价</w:t>
      </w:r>
      <w:bookmarkEnd w:id="461"/>
      <w:bookmarkEnd w:id="462"/>
      <w:bookmarkEnd w:id="463"/>
      <w:bookmarkEnd w:id="464"/>
      <w:bookmarkEnd w:id="465"/>
      <w:bookmarkEnd w:id="466"/>
      <w:bookmarkEnd w:id="467"/>
      <w:bookmarkEnd w:id="468"/>
      <w:r>
        <w:rPr>
          <w:rFonts w:hint="eastAsia" w:cs="宋体"/>
          <w:bCs/>
          <w:color w:val="auto"/>
          <w:sz w:val="21"/>
          <w:szCs w:val="21"/>
        </w:rPr>
        <w:t>格形式</w:t>
      </w:r>
    </w:p>
    <w:bookmarkEnd w:id="469"/>
    <w:bookmarkEnd w:id="470"/>
    <w:bookmarkEnd w:id="471"/>
    <w:bookmarkEnd w:id="472"/>
    <w:bookmarkEnd w:id="473"/>
    <w:bookmarkEnd w:id="474"/>
    <w:p w14:paraId="234B5535">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（1）单价合同。</w:t>
      </w:r>
    </w:p>
    <w:p w14:paraId="4A23633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综合单价包含的风险范围：</w:t>
      </w:r>
      <w:r>
        <w:rPr>
          <w:rFonts w:hint="eastAsia" w:cs="宋体"/>
          <w:color w:val="auto"/>
          <w:sz w:val="21"/>
          <w:szCs w:val="21"/>
          <w:u w:val="single"/>
        </w:rPr>
        <w:t>见《专用合同条款数据表》</w:t>
      </w:r>
      <w:r>
        <w:rPr>
          <w:rFonts w:hint="eastAsia" w:cs="宋体"/>
          <w:color w:val="auto"/>
          <w:sz w:val="21"/>
          <w:szCs w:val="21"/>
        </w:rPr>
        <w:t>。</w:t>
      </w:r>
    </w:p>
    <w:p w14:paraId="410E622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风险费用的计算方法：</w:t>
      </w:r>
      <w:r>
        <w:rPr>
          <w:rFonts w:hint="eastAsia" w:cs="宋体"/>
          <w:color w:val="auto"/>
          <w:sz w:val="21"/>
          <w:szCs w:val="21"/>
          <w:u w:val="single"/>
        </w:rPr>
        <w:t>见《专用合同条款数据表》</w:t>
      </w:r>
      <w:r>
        <w:rPr>
          <w:rFonts w:hint="eastAsia" w:cs="宋体"/>
          <w:color w:val="auto"/>
          <w:sz w:val="21"/>
          <w:szCs w:val="21"/>
        </w:rPr>
        <w:t>。</w:t>
      </w:r>
    </w:p>
    <w:p w14:paraId="11F1756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风险范围以外合同价格的调整方法：</w:t>
      </w:r>
      <w:r>
        <w:rPr>
          <w:rFonts w:hint="eastAsia" w:cs="宋体"/>
          <w:color w:val="auto"/>
          <w:sz w:val="21"/>
          <w:szCs w:val="21"/>
          <w:u w:val="single"/>
        </w:rPr>
        <w:t>见《专用合同条款数据表》</w:t>
      </w:r>
      <w:r>
        <w:rPr>
          <w:rFonts w:hint="eastAsia" w:cs="宋体"/>
          <w:color w:val="auto"/>
          <w:sz w:val="21"/>
          <w:szCs w:val="21"/>
        </w:rPr>
        <w:t>。</w:t>
      </w:r>
    </w:p>
    <w:p w14:paraId="7F3599C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（2）总价合同。</w:t>
      </w:r>
    </w:p>
    <w:p w14:paraId="4A847DF5">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rPr>
      </w:pPr>
      <w:r>
        <w:rPr>
          <w:rFonts w:hint="eastAsia" w:cs="宋体"/>
          <w:color w:val="auto"/>
          <w:sz w:val="21"/>
          <w:szCs w:val="21"/>
        </w:rPr>
        <w:t>总价包含的风险范围：</w:t>
      </w:r>
      <w:r>
        <w:rPr>
          <w:rFonts w:hint="eastAsia" w:cs="宋体"/>
          <w:color w:val="auto"/>
          <w:sz w:val="21"/>
          <w:szCs w:val="21"/>
          <w:u w:val="single"/>
        </w:rPr>
        <w:t>见《专用合同条款数据表》</w:t>
      </w:r>
      <w:r>
        <w:rPr>
          <w:rFonts w:hint="eastAsia" w:cs="宋体"/>
          <w:color w:val="auto"/>
          <w:sz w:val="21"/>
          <w:szCs w:val="21"/>
        </w:rPr>
        <w:t>。</w:t>
      </w:r>
    </w:p>
    <w:p w14:paraId="63BCE95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风险费用的计算方法：</w:t>
      </w:r>
      <w:r>
        <w:rPr>
          <w:rFonts w:hint="eastAsia" w:cs="宋体"/>
          <w:color w:val="auto"/>
          <w:sz w:val="21"/>
          <w:szCs w:val="21"/>
          <w:u w:val="single"/>
        </w:rPr>
        <w:t>见《专用合同条款数据表》</w:t>
      </w:r>
      <w:r>
        <w:rPr>
          <w:rFonts w:hint="eastAsia" w:cs="宋体"/>
          <w:color w:val="auto"/>
          <w:sz w:val="21"/>
          <w:szCs w:val="21"/>
        </w:rPr>
        <w:t>。</w:t>
      </w:r>
    </w:p>
    <w:p w14:paraId="5C5F313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风险范围以外合同价格的调整方法：</w:t>
      </w:r>
      <w:r>
        <w:rPr>
          <w:rFonts w:hint="eastAsia" w:cs="宋体"/>
          <w:color w:val="auto"/>
          <w:sz w:val="21"/>
          <w:szCs w:val="21"/>
          <w:u w:val="single"/>
        </w:rPr>
        <w:t>见《专用合同条款数据表》</w:t>
      </w:r>
      <w:r>
        <w:rPr>
          <w:rFonts w:hint="eastAsia" w:cs="宋体"/>
          <w:color w:val="auto"/>
          <w:sz w:val="21"/>
          <w:szCs w:val="21"/>
        </w:rPr>
        <w:t>。</w:t>
      </w:r>
    </w:p>
    <w:p w14:paraId="0AE2C765">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（3）其他价格方式：</w:t>
      </w:r>
      <w:r>
        <w:rPr>
          <w:rFonts w:hint="eastAsia" w:cs="宋体"/>
          <w:color w:val="auto"/>
          <w:sz w:val="21"/>
          <w:szCs w:val="21"/>
          <w:u w:val="single"/>
        </w:rPr>
        <w:t>见《专用合同条款数据表》</w:t>
      </w:r>
      <w:r>
        <w:rPr>
          <w:rFonts w:hint="eastAsia" w:cs="宋体"/>
          <w:color w:val="auto"/>
          <w:sz w:val="21"/>
          <w:szCs w:val="21"/>
        </w:rPr>
        <w:t>。</w:t>
      </w:r>
    </w:p>
    <w:p w14:paraId="5006B90A">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bookmarkStart w:id="475" w:name="_Toc312678042"/>
      <w:bookmarkStart w:id="476" w:name="_Toc297216213"/>
      <w:bookmarkStart w:id="477" w:name="_Toc297123554"/>
      <w:bookmarkStart w:id="478" w:name="_Toc300935004"/>
      <w:bookmarkStart w:id="479" w:name="_Toc304295581"/>
      <w:bookmarkStart w:id="480" w:name="_Toc303539161"/>
      <w:bookmarkStart w:id="481" w:name="_Toc296503207"/>
      <w:bookmarkStart w:id="482" w:name="_Toc292559917"/>
      <w:bookmarkStart w:id="483" w:name="_Toc296346708"/>
      <w:bookmarkStart w:id="484" w:name="_Toc296891247"/>
      <w:bookmarkStart w:id="485" w:name="_Toc296944546"/>
      <w:bookmarkStart w:id="486" w:name="_Toc297120507"/>
      <w:bookmarkStart w:id="487" w:name="_Toc296347206"/>
      <w:bookmarkStart w:id="488" w:name="_Toc296891035"/>
      <w:bookmarkStart w:id="489" w:name="_Toc297048393"/>
      <w:bookmarkStart w:id="490" w:name="_Toc292559412"/>
      <w:r>
        <w:rPr>
          <w:rFonts w:hint="eastAsia" w:cs="宋体"/>
          <w:bCs/>
          <w:color w:val="auto"/>
          <w:sz w:val="21"/>
          <w:szCs w:val="21"/>
        </w:rPr>
        <w:t>12.2 预付款</w:t>
      </w:r>
    </w:p>
    <w:bookmarkEnd w:id="475"/>
    <w:bookmarkEnd w:id="476"/>
    <w:bookmarkEnd w:id="477"/>
    <w:bookmarkEnd w:id="478"/>
    <w:bookmarkEnd w:id="479"/>
    <w:bookmarkEnd w:id="480"/>
    <w:p w14:paraId="7360F263">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12.2.1 预付款的支付</w:t>
      </w:r>
    </w:p>
    <w:p w14:paraId="7B499E5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预付款支付比例或金额：</w:t>
      </w:r>
      <w:r>
        <w:rPr>
          <w:rFonts w:hint="eastAsia" w:cs="宋体"/>
          <w:color w:val="auto"/>
          <w:sz w:val="21"/>
          <w:szCs w:val="21"/>
          <w:u w:val="single"/>
        </w:rPr>
        <w:t>见《专用合同条款数据表》</w:t>
      </w:r>
      <w:r>
        <w:rPr>
          <w:rFonts w:hint="eastAsia" w:cs="宋体"/>
          <w:color w:val="auto"/>
          <w:sz w:val="21"/>
          <w:szCs w:val="21"/>
        </w:rPr>
        <w:t>。</w:t>
      </w:r>
    </w:p>
    <w:p w14:paraId="3C00C9A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预付款支付期限：</w:t>
      </w:r>
      <w:r>
        <w:rPr>
          <w:rFonts w:hint="eastAsia" w:cs="宋体"/>
          <w:color w:val="auto"/>
          <w:sz w:val="21"/>
          <w:szCs w:val="21"/>
          <w:u w:val="single"/>
        </w:rPr>
        <w:t>见《专用合同条款数据表》</w:t>
      </w:r>
      <w:r>
        <w:rPr>
          <w:rFonts w:hint="eastAsia" w:cs="宋体"/>
          <w:color w:val="auto"/>
          <w:sz w:val="21"/>
          <w:szCs w:val="21"/>
        </w:rPr>
        <w:t>。</w:t>
      </w:r>
    </w:p>
    <w:p w14:paraId="092711E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预付款扣回的方式：</w:t>
      </w:r>
      <w:r>
        <w:rPr>
          <w:rFonts w:hint="eastAsia" w:cs="宋体"/>
          <w:color w:val="auto"/>
          <w:sz w:val="21"/>
          <w:szCs w:val="21"/>
          <w:u w:val="single"/>
        </w:rPr>
        <w:t>见《专用合同条款数据表》</w:t>
      </w:r>
      <w:r>
        <w:rPr>
          <w:rFonts w:hint="eastAsia" w:cs="宋体"/>
          <w:color w:val="auto"/>
          <w:sz w:val="21"/>
          <w:szCs w:val="21"/>
        </w:rPr>
        <w:t>。</w:t>
      </w:r>
    </w:p>
    <w:p w14:paraId="1123A5B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12.2.2 预付款担保</w:t>
      </w:r>
    </w:p>
    <w:p w14:paraId="7DB4A03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承包人提交预付款担保的期限：</w:t>
      </w:r>
      <w:r>
        <w:rPr>
          <w:rFonts w:hint="eastAsia" w:cs="宋体"/>
          <w:color w:val="auto"/>
          <w:sz w:val="21"/>
          <w:szCs w:val="21"/>
          <w:u w:val="single"/>
        </w:rPr>
        <w:t>见《专用合同条款数据表》</w:t>
      </w:r>
      <w:r>
        <w:rPr>
          <w:rFonts w:hint="eastAsia" w:cs="宋体"/>
          <w:color w:val="auto"/>
          <w:sz w:val="21"/>
          <w:szCs w:val="21"/>
        </w:rPr>
        <w:t>。</w:t>
      </w:r>
    </w:p>
    <w:p w14:paraId="64C9B53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预付款担保的形式为：</w:t>
      </w:r>
      <w:r>
        <w:rPr>
          <w:rFonts w:hint="eastAsia" w:cs="宋体"/>
          <w:color w:val="auto"/>
          <w:sz w:val="21"/>
          <w:szCs w:val="21"/>
          <w:u w:val="single"/>
        </w:rPr>
        <w:t>见《专用合同条款数据表》</w:t>
      </w:r>
      <w:r>
        <w:rPr>
          <w:rFonts w:hint="eastAsia" w:cs="宋体"/>
          <w:color w:val="auto"/>
          <w:sz w:val="21"/>
          <w:szCs w:val="21"/>
        </w:rPr>
        <w:t>。</w:t>
      </w:r>
    </w:p>
    <w:bookmarkEnd w:id="481"/>
    <w:bookmarkEnd w:id="482"/>
    <w:bookmarkEnd w:id="483"/>
    <w:bookmarkEnd w:id="484"/>
    <w:bookmarkEnd w:id="485"/>
    <w:bookmarkEnd w:id="486"/>
    <w:bookmarkEnd w:id="487"/>
    <w:bookmarkEnd w:id="488"/>
    <w:bookmarkEnd w:id="489"/>
    <w:bookmarkEnd w:id="490"/>
    <w:p w14:paraId="6F52C476">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12.3 计量</w:t>
      </w:r>
    </w:p>
    <w:p w14:paraId="3E28B54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12.3.1 计量原则</w:t>
      </w:r>
    </w:p>
    <w:p w14:paraId="020933D7">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rPr>
      </w:pPr>
      <w:r>
        <w:rPr>
          <w:rFonts w:hint="eastAsia" w:cs="宋体"/>
          <w:color w:val="auto"/>
          <w:sz w:val="21"/>
          <w:szCs w:val="21"/>
        </w:rPr>
        <w:t>工程量计算规则：</w:t>
      </w:r>
      <w:r>
        <w:rPr>
          <w:rFonts w:hint="eastAsia" w:cs="宋体"/>
          <w:color w:val="auto"/>
          <w:sz w:val="21"/>
          <w:szCs w:val="21"/>
          <w:u w:val="single"/>
        </w:rPr>
        <w:t>按招标工程量清单及最高投标限价所采用的工程量清单计价规范及配套文件等</w:t>
      </w:r>
      <w:r>
        <w:rPr>
          <w:rFonts w:hint="eastAsia" w:cs="宋体"/>
          <w:b/>
          <w:color w:val="auto"/>
          <w:sz w:val="21"/>
          <w:szCs w:val="21"/>
        </w:rPr>
        <w:t>。</w:t>
      </w:r>
    </w:p>
    <w:p w14:paraId="07479CB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12.3.2 计量周期</w:t>
      </w:r>
    </w:p>
    <w:p w14:paraId="62AC206C">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rPr>
      </w:pPr>
      <w:r>
        <w:rPr>
          <w:rFonts w:hint="eastAsia" w:cs="宋体"/>
          <w:color w:val="auto"/>
          <w:sz w:val="21"/>
          <w:szCs w:val="21"/>
        </w:rPr>
        <w:t>关于计量周期的约定</w:t>
      </w:r>
      <w:r>
        <w:rPr>
          <w:rFonts w:hint="eastAsia" w:cs="宋体"/>
          <w:b/>
          <w:color w:val="auto"/>
          <w:sz w:val="21"/>
          <w:szCs w:val="21"/>
        </w:rPr>
        <w:t>：</w:t>
      </w:r>
      <w:r>
        <w:rPr>
          <w:rFonts w:hint="eastAsia" w:cs="宋体"/>
          <w:color w:val="auto"/>
          <w:sz w:val="21"/>
          <w:szCs w:val="21"/>
          <w:u w:val="single"/>
        </w:rPr>
        <w:t xml:space="preserve">      </w:t>
      </w:r>
      <w:r>
        <w:rPr>
          <w:rFonts w:hint="eastAsia" w:cs="宋体"/>
          <w:b/>
          <w:color w:val="auto"/>
          <w:sz w:val="21"/>
          <w:szCs w:val="21"/>
        </w:rPr>
        <w:t>。</w:t>
      </w:r>
    </w:p>
    <w:p w14:paraId="2897B7C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12.3.3 单价合同的计量</w:t>
      </w:r>
    </w:p>
    <w:p w14:paraId="5696818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关于单价合同计量的约定：</w:t>
      </w:r>
      <w:r>
        <w:rPr>
          <w:rFonts w:hint="eastAsia" w:cs="宋体"/>
          <w:color w:val="auto"/>
          <w:sz w:val="21"/>
          <w:szCs w:val="21"/>
          <w:u w:val="single"/>
        </w:rPr>
        <w:t xml:space="preserve">  /  </w:t>
      </w:r>
      <w:r>
        <w:rPr>
          <w:rFonts w:hint="eastAsia" w:cs="宋体"/>
          <w:color w:val="auto"/>
          <w:sz w:val="21"/>
          <w:szCs w:val="21"/>
        </w:rPr>
        <w:t>。</w:t>
      </w:r>
    </w:p>
    <w:p w14:paraId="2FB31BC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12.3.4 总价合同的计量</w:t>
      </w:r>
    </w:p>
    <w:p w14:paraId="17E8A61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关于总价合同计量的约定：</w:t>
      </w:r>
      <w:r>
        <w:rPr>
          <w:rFonts w:hint="eastAsia" w:cs="宋体"/>
          <w:color w:val="auto"/>
          <w:sz w:val="21"/>
          <w:szCs w:val="21"/>
          <w:u w:val="single"/>
        </w:rPr>
        <w:t xml:space="preserve">       </w:t>
      </w:r>
      <w:r>
        <w:rPr>
          <w:rFonts w:hint="eastAsia" w:cs="宋体"/>
          <w:color w:val="auto"/>
          <w:sz w:val="21"/>
          <w:szCs w:val="21"/>
        </w:rPr>
        <w:t>。</w:t>
      </w:r>
    </w:p>
    <w:p w14:paraId="21D6361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12.3.5 总价合同采用支付分解表计量支付的，是否适用第12.3.4项〔总价合同的计量〕约定进行计量：</w:t>
      </w:r>
      <w:r>
        <w:rPr>
          <w:rFonts w:hint="eastAsia" w:cs="宋体"/>
          <w:color w:val="auto"/>
          <w:sz w:val="21"/>
          <w:szCs w:val="21"/>
          <w:u w:val="single"/>
        </w:rPr>
        <w:t xml:space="preserve">    </w:t>
      </w:r>
      <w:r>
        <w:rPr>
          <w:rFonts w:hint="eastAsia" w:cs="宋体"/>
          <w:b/>
          <w:color w:val="auto"/>
          <w:sz w:val="21"/>
          <w:szCs w:val="21"/>
        </w:rPr>
        <w:t>。</w:t>
      </w:r>
    </w:p>
    <w:p w14:paraId="58DCDBD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12.3.6 其他价格形式合同的计量</w:t>
      </w:r>
    </w:p>
    <w:p w14:paraId="64AA2D4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其他价格形式的计量方式和程序：</w:t>
      </w:r>
      <w:r>
        <w:rPr>
          <w:rFonts w:hint="eastAsia" w:cs="宋体"/>
          <w:color w:val="auto"/>
          <w:sz w:val="21"/>
          <w:szCs w:val="21"/>
          <w:u w:val="single"/>
        </w:rPr>
        <w:t xml:space="preserve">    </w:t>
      </w:r>
      <w:r>
        <w:rPr>
          <w:rFonts w:hint="eastAsia" w:cs="宋体"/>
          <w:color w:val="auto"/>
          <w:sz w:val="21"/>
          <w:szCs w:val="21"/>
        </w:rPr>
        <w:t>。</w:t>
      </w:r>
    </w:p>
    <w:p w14:paraId="23192448">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12.4 工程进度款支付</w:t>
      </w:r>
    </w:p>
    <w:p w14:paraId="214931F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bookmarkStart w:id="491" w:name="_Toc296891039"/>
      <w:bookmarkStart w:id="492" w:name="_Toc296503211"/>
      <w:bookmarkStart w:id="493" w:name="_Toc300935006"/>
      <w:bookmarkStart w:id="494" w:name="_Toc297123556"/>
      <w:bookmarkStart w:id="495" w:name="_Toc296346712"/>
      <w:bookmarkStart w:id="496" w:name="_Toc297120511"/>
      <w:bookmarkStart w:id="497" w:name="_Toc292559921"/>
      <w:bookmarkStart w:id="498" w:name="_Toc296944550"/>
      <w:bookmarkStart w:id="499" w:name="_Toc292559416"/>
      <w:bookmarkStart w:id="500" w:name="_Toc296891251"/>
      <w:bookmarkStart w:id="501" w:name="_Toc296347210"/>
      <w:bookmarkStart w:id="502" w:name="_Toc297048397"/>
      <w:bookmarkStart w:id="503" w:name="_Toc303539163"/>
      <w:bookmarkStart w:id="504" w:name="_Toc297216215"/>
      <w:r>
        <w:rPr>
          <w:rFonts w:hint="eastAsia" w:cs="宋体"/>
          <w:color w:val="auto"/>
          <w:sz w:val="21"/>
          <w:szCs w:val="21"/>
        </w:rPr>
        <w:t>12.4.1 付款周期</w:t>
      </w:r>
    </w:p>
    <w:p w14:paraId="6172DE43">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关于付款周期的约定：</w:t>
      </w:r>
      <w:r>
        <w:rPr>
          <w:rFonts w:hint="eastAsia" w:cs="宋体"/>
          <w:color w:val="auto"/>
          <w:sz w:val="21"/>
          <w:szCs w:val="21"/>
          <w:u w:val="single"/>
        </w:rPr>
        <w:t>见《专用合同条款数据表》</w:t>
      </w:r>
      <w:r>
        <w:rPr>
          <w:rFonts w:hint="eastAsia" w:cs="宋体"/>
          <w:color w:val="auto"/>
          <w:sz w:val="21"/>
          <w:szCs w:val="21"/>
        </w:rPr>
        <w:t>。</w:t>
      </w:r>
    </w:p>
    <w:p w14:paraId="7D82575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12.4.2 进度付款申请单的编制</w:t>
      </w:r>
    </w:p>
    <w:p w14:paraId="0350ECE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关于进度付款申请单编制的约定：</w:t>
      </w:r>
      <w:r>
        <w:rPr>
          <w:rFonts w:hint="eastAsia" w:cs="宋体"/>
          <w:color w:val="auto"/>
          <w:sz w:val="21"/>
          <w:szCs w:val="21"/>
          <w:u w:val="single"/>
        </w:rPr>
        <w:t xml:space="preserve">    </w:t>
      </w:r>
      <w:r>
        <w:rPr>
          <w:rFonts w:hint="eastAsia" w:cs="宋体"/>
          <w:color w:val="auto"/>
          <w:sz w:val="21"/>
          <w:szCs w:val="21"/>
        </w:rPr>
        <w:t>。</w:t>
      </w:r>
    </w:p>
    <w:p w14:paraId="2467653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r>
        <w:rPr>
          <w:rFonts w:hint="eastAsia" w:cs="宋体"/>
          <w:color w:val="auto"/>
          <w:sz w:val="21"/>
          <w:szCs w:val="21"/>
        </w:rPr>
        <w:t>2.4.3 进度付款申请单的提交</w:t>
      </w:r>
    </w:p>
    <w:p w14:paraId="010451E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（1）单价合同进度付款申请单提交的约定：</w:t>
      </w:r>
      <w:r>
        <w:rPr>
          <w:rFonts w:hint="eastAsia" w:cs="宋体"/>
          <w:color w:val="auto"/>
          <w:sz w:val="21"/>
          <w:szCs w:val="21"/>
          <w:u w:val="single"/>
        </w:rPr>
        <w:t xml:space="preserve">  /  </w:t>
      </w:r>
      <w:r>
        <w:rPr>
          <w:rFonts w:hint="eastAsia" w:cs="宋体"/>
          <w:color w:val="auto"/>
          <w:sz w:val="21"/>
          <w:szCs w:val="21"/>
        </w:rPr>
        <w:t>。</w:t>
      </w:r>
    </w:p>
    <w:p w14:paraId="41A153A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（2）总价合同进度付款申请单提交的约定：</w:t>
      </w:r>
      <w:r>
        <w:rPr>
          <w:rFonts w:hint="eastAsia" w:cs="宋体"/>
          <w:color w:val="auto"/>
          <w:sz w:val="21"/>
          <w:szCs w:val="21"/>
          <w:u w:val="single"/>
        </w:rPr>
        <w:t xml:space="preserve">   </w:t>
      </w:r>
      <w:r>
        <w:rPr>
          <w:rFonts w:hint="eastAsia" w:cs="宋体"/>
          <w:color w:val="auto"/>
          <w:sz w:val="21"/>
          <w:szCs w:val="21"/>
        </w:rPr>
        <w:t>。</w:t>
      </w:r>
    </w:p>
    <w:p w14:paraId="101A5F7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（3）其他价格形式合同进度付款申请单提交的约定：</w:t>
      </w:r>
      <w:r>
        <w:rPr>
          <w:rFonts w:hint="eastAsia" w:cs="宋体"/>
          <w:color w:val="auto"/>
          <w:sz w:val="21"/>
          <w:szCs w:val="21"/>
          <w:u w:val="single"/>
        </w:rPr>
        <w:t xml:space="preserve">  /  </w:t>
      </w:r>
      <w:r>
        <w:rPr>
          <w:rFonts w:hint="eastAsia" w:cs="宋体"/>
          <w:color w:val="auto"/>
          <w:sz w:val="21"/>
          <w:szCs w:val="21"/>
        </w:rPr>
        <w:t>。</w:t>
      </w:r>
    </w:p>
    <w:p w14:paraId="225AFBF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12.4.4 进度款审核和支付</w:t>
      </w:r>
    </w:p>
    <w:p w14:paraId="0E7CEECF">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u w:val="single"/>
        </w:rPr>
      </w:pPr>
      <w:r>
        <w:rPr>
          <w:rFonts w:hint="eastAsia" w:cs="宋体"/>
          <w:color w:val="auto"/>
          <w:sz w:val="21"/>
          <w:szCs w:val="21"/>
        </w:rPr>
        <w:t>（1）监理人审查并报送发包人的期限：</w:t>
      </w:r>
      <w:r>
        <w:rPr>
          <w:rFonts w:hint="eastAsia" w:cs="宋体"/>
          <w:color w:val="auto"/>
          <w:sz w:val="21"/>
          <w:szCs w:val="21"/>
          <w:u w:val="single"/>
        </w:rPr>
        <w:t xml:space="preserve">    </w:t>
      </w:r>
      <w:r>
        <w:rPr>
          <w:rFonts w:hint="eastAsia" w:cs="宋体"/>
          <w:color w:val="auto"/>
          <w:sz w:val="21"/>
          <w:szCs w:val="21"/>
        </w:rPr>
        <w:t>。</w:t>
      </w:r>
    </w:p>
    <w:p w14:paraId="78FF8019">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u w:val="single"/>
        </w:rPr>
      </w:pPr>
      <w:r>
        <w:rPr>
          <w:rFonts w:hint="eastAsia" w:cs="宋体"/>
          <w:color w:val="auto"/>
          <w:sz w:val="21"/>
          <w:szCs w:val="21"/>
        </w:rPr>
        <w:t>发包人完成审批并签发进度款支付证书的期限：</w:t>
      </w:r>
      <w:r>
        <w:rPr>
          <w:rFonts w:hint="eastAsia" w:cs="宋体"/>
          <w:color w:val="auto"/>
          <w:sz w:val="21"/>
          <w:szCs w:val="21"/>
          <w:u w:val="single"/>
        </w:rPr>
        <w:t xml:space="preserve">    </w:t>
      </w:r>
      <w:r>
        <w:rPr>
          <w:rFonts w:hint="eastAsia" w:cs="宋体"/>
          <w:color w:val="auto"/>
          <w:sz w:val="21"/>
          <w:szCs w:val="21"/>
        </w:rPr>
        <w:t>。</w:t>
      </w:r>
    </w:p>
    <w:p w14:paraId="391DF703">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rPr>
      </w:pPr>
      <w:r>
        <w:rPr>
          <w:rFonts w:hint="eastAsia" w:cs="宋体"/>
          <w:color w:val="auto"/>
          <w:sz w:val="21"/>
          <w:szCs w:val="21"/>
        </w:rPr>
        <w:t>（2）发包人支付进度款的期限：</w:t>
      </w:r>
      <w:r>
        <w:rPr>
          <w:rFonts w:hint="eastAsia" w:cs="宋体"/>
          <w:color w:val="auto"/>
          <w:sz w:val="21"/>
          <w:szCs w:val="21"/>
          <w:u w:val="single"/>
        </w:rPr>
        <w:t xml:space="preserve">    </w:t>
      </w:r>
      <w:r>
        <w:rPr>
          <w:rFonts w:hint="eastAsia" w:cs="宋体"/>
          <w:color w:val="auto"/>
          <w:sz w:val="21"/>
          <w:szCs w:val="21"/>
        </w:rPr>
        <w:t>。</w:t>
      </w:r>
    </w:p>
    <w:p w14:paraId="698C5A33">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发包人逾期支付进度款的违约金的计算方式</w:t>
      </w:r>
      <w:r>
        <w:rPr>
          <w:rFonts w:hint="eastAsia" w:cs="宋体"/>
          <w:color w:val="auto"/>
          <w:sz w:val="21"/>
          <w:szCs w:val="21"/>
          <w:u w:val="single"/>
        </w:rPr>
        <w:t xml:space="preserve">    </w:t>
      </w:r>
      <w:r>
        <w:rPr>
          <w:rFonts w:hint="eastAsia" w:cs="宋体"/>
          <w:color w:val="auto"/>
          <w:sz w:val="21"/>
          <w:szCs w:val="21"/>
        </w:rPr>
        <w:t>。</w:t>
      </w:r>
    </w:p>
    <w:p w14:paraId="46CDCA6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12.4.6 支付分解表的编制</w:t>
      </w:r>
    </w:p>
    <w:p w14:paraId="141B8923">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（2）总价合同支付分解表的编制与审批：</w:t>
      </w:r>
      <w:r>
        <w:rPr>
          <w:rFonts w:hint="eastAsia" w:cs="宋体"/>
          <w:color w:val="auto"/>
          <w:sz w:val="21"/>
          <w:szCs w:val="21"/>
          <w:u w:val="single"/>
        </w:rPr>
        <w:t xml:space="preserve">  /  </w:t>
      </w:r>
      <w:r>
        <w:rPr>
          <w:rFonts w:hint="eastAsia" w:cs="宋体"/>
          <w:color w:val="auto"/>
          <w:sz w:val="21"/>
          <w:szCs w:val="21"/>
        </w:rPr>
        <w:t>。</w:t>
      </w:r>
    </w:p>
    <w:p w14:paraId="13254FF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（3）单价合同的总价项目支付分解表的编制与审批：</w:t>
      </w:r>
      <w:r>
        <w:rPr>
          <w:rFonts w:hint="eastAsia" w:cs="宋体"/>
          <w:color w:val="auto"/>
          <w:sz w:val="21"/>
          <w:szCs w:val="21"/>
          <w:u w:val="single"/>
        </w:rPr>
        <w:t xml:space="preserve">  /  </w:t>
      </w:r>
      <w:r>
        <w:rPr>
          <w:rFonts w:hint="eastAsia" w:cs="宋体"/>
          <w:color w:val="auto"/>
          <w:sz w:val="21"/>
          <w:szCs w:val="21"/>
        </w:rPr>
        <w:t>。</w:t>
      </w:r>
    </w:p>
    <w:p w14:paraId="2A34672D">
      <w:pPr>
        <w:pageBreakBefore w:val="0"/>
        <w:widowControl w:val="0"/>
        <w:kinsoku/>
        <w:wordWrap/>
        <w:overflowPunct/>
        <w:topLinePunct w:val="0"/>
        <w:bidi w:val="0"/>
        <w:adjustRightInd w:val="0"/>
        <w:snapToGrid w:val="0"/>
        <w:spacing w:line="440" w:lineRule="exact"/>
        <w:ind w:firstLine="420" w:firstLineChars="200"/>
        <w:textAlignment w:val="auto"/>
        <w:rPr>
          <w:rFonts w:cs="宋体"/>
          <w:bCs/>
          <w:color w:val="auto"/>
          <w:sz w:val="21"/>
          <w:szCs w:val="21"/>
        </w:rPr>
      </w:pPr>
      <w:r>
        <w:rPr>
          <w:rFonts w:hint="eastAsia" w:cs="宋体"/>
          <w:bCs/>
          <w:color w:val="auto"/>
          <w:sz w:val="21"/>
          <w:szCs w:val="21"/>
        </w:rPr>
        <w:t>12.4.7 农民工工资管理</w:t>
      </w:r>
    </w:p>
    <w:p w14:paraId="56295C84">
      <w:pPr>
        <w:pageBreakBefore w:val="0"/>
        <w:widowControl w:val="0"/>
        <w:kinsoku/>
        <w:wordWrap/>
        <w:overflowPunct/>
        <w:topLinePunct w:val="0"/>
        <w:bidi w:val="0"/>
        <w:adjustRightInd w:val="0"/>
        <w:snapToGrid w:val="0"/>
        <w:spacing w:line="440" w:lineRule="exact"/>
        <w:ind w:firstLine="420" w:firstLineChars="200"/>
        <w:textAlignment w:val="auto"/>
        <w:rPr>
          <w:rFonts w:cs="宋体"/>
          <w:bCs/>
          <w:color w:val="auto"/>
          <w:sz w:val="21"/>
          <w:szCs w:val="21"/>
        </w:rPr>
      </w:pPr>
      <w:r>
        <w:rPr>
          <w:rFonts w:hint="eastAsia" w:cs="宋体"/>
          <w:color w:val="auto"/>
          <w:sz w:val="21"/>
          <w:szCs w:val="21"/>
        </w:rPr>
        <w:t>（1）</w:t>
      </w:r>
      <w:r>
        <w:rPr>
          <w:rFonts w:hint="eastAsia" w:cs="宋体"/>
          <w:bCs/>
          <w:color w:val="auto"/>
          <w:sz w:val="21"/>
          <w:szCs w:val="21"/>
        </w:rPr>
        <w:t>本工程农民工工资实行专用账户管理，承包人设立的专用账户开户行为</w:t>
      </w:r>
      <w:r>
        <w:rPr>
          <w:rFonts w:hint="eastAsia" w:cs="宋体"/>
          <w:bCs/>
          <w:color w:val="auto"/>
          <w:sz w:val="21"/>
          <w:szCs w:val="21"/>
          <w:u w:val="single"/>
        </w:rPr>
        <w:t xml:space="preserve">：        </w:t>
      </w:r>
      <w:r>
        <w:rPr>
          <w:rFonts w:hint="eastAsia" w:cs="宋体"/>
          <w:bCs/>
          <w:color w:val="auto"/>
          <w:sz w:val="21"/>
          <w:szCs w:val="21"/>
        </w:rPr>
        <w:t>，账号：</w:t>
      </w:r>
      <w:r>
        <w:rPr>
          <w:rFonts w:hint="eastAsia" w:cs="宋体"/>
          <w:bCs/>
          <w:color w:val="auto"/>
          <w:sz w:val="21"/>
          <w:szCs w:val="21"/>
          <w:u w:val="single"/>
        </w:rPr>
        <w:t xml:space="preserve">              </w:t>
      </w:r>
      <w:r>
        <w:rPr>
          <w:rFonts w:hint="eastAsia" w:cs="宋体"/>
          <w:bCs/>
          <w:color w:val="auto"/>
          <w:sz w:val="21"/>
          <w:szCs w:val="21"/>
        </w:rPr>
        <w:t>;</w:t>
      </w:r>
    </w:p>
    <w:p w14:paraId="3FD91659">
      <w:pPr>
        <w:pageBreakBefore w:val="0"/>
        <w:widowControl w:val="0"/>
        <w:kinsoku/>
        <w:wordWrap/>
        <w:overflowPunct/>
        <w:topLinePunct w:val="0"/>
        <w:bidi w:val="0"/>
        <w:adjustRightInd w:val="0"/>
        <w:snapToGrid w:val="0"/>
        <w:spacing w:line="440" w:lineRule="exact"/>
        <w:ind w:firstLine="420" w:firstLineChars="200"/>
        <w:textAlignment w:val="auto"/>
        <w:rPr>
          <w:rFonts w:cs="宋体"/>
          <w:bCs/>
          <w:color w:val="auto"/>
          <w:sz w:val="21"/>
          <w:szCs w:val="21"/>
        </w:rPr>
      </w:pPr>
      <w:r>
        <w:rPr>
          <w:rFonts w:hint="eastAsia" w:cs="宋体"/>
          <w:color w:val="auto"/>
          <w:sz w:val="21"/>
          <w:szCs w:val="21"/>
        </w:rPr>
        <w:t>（2）</w:t>
      </w:r>
      <w:r>
        <w:rPr>
          <w:rFonts w:hint="eastAsia" w:cs="宋体"/>
          <w:bCs/>
          <w:color w:val="auto"/>
          <w:sz w:val="21"/>
          <w:szCs w:val="21"/>
        </w:rPr>
        <w:t>本工程工资性工程款</w:t>
      </w:r>
      <w:r>
        <w:rPr>
          <w:rFonts w:hint="eastAsia" w:cs="宋体"/>
          <w:bCs/>
          <w:color w:val="auto"/>
          <w:sz w:val="21"/>
          <w:szCs w:val="21"/>
          <w:u w:val="single"/>
        </w:rPr>
        <w:t xml:space="preserve">         </w:t>
      </w:r>
      <w:r>
        <w:rPr>
          <w:rFonts w:hint="eastAsia" w:cs="宋体"/>
          <w:bCs/>
          <w:color w:val="auto"/>
          <w:sz w:val="21"/>
          <w:szCs w:val="21"/>
        </w:rPr>
        <w:t>元。</w:t>
      </w:r>
    </w:p>
    <w:p w14:paraId="68334C4A">
      <w:pPr>
        <w:pageBreakBefore w:val="0"/>
        <w:widowControl w:val="0"/>
        <w:kinsoku/>
        <w:wordWrap/>
        <w:overflowPunct/>
        <w:topLinePunct w:val="0"/>
        <w:bidi w:val="0"/>
        <w:adjustRightInd w:val="0"/>
        <w:snapToGrid w:val="0"/>
        <w:spacing w:line="440" w:lineRule="exact"/>
        <w:ind w:firstLine="420" w:firstLineChars="200"/>
        <w:textAlignment w:val="auto"/>
        <w:rPr>
          <w:rFonts w:cs="宋体"/>
          <w:bCs/>
          <w:color w:val="auto"/>
          <w:sz w:val="21"/>
          <w:szCs w:val="21"/>
        </w:rPr>
      </w:pPr>
      <w:r>
        <w:rPr>
          <w:rFonts w:hint="eastAsia" w:cs="宋体"/>
          <w:color w:val="auto"/>
          <w:sz w:val="21"/>
          <w:szCs w:val="21"/>
        </w:rPr>
        <w:t>（3）</w:t>
      </w:r>
      <w:r>
        <w:rPr>
          <w:rFonts w:hint="eastAsia" w:cs="宋体"/>
          <w:bCs/>
          <w:color w:val="auto"/>
          <w:sz w:val="21"/>
          <w:szCs w:val="21"/>
        </w:rPr>
        <w:t>发包人于每月25日前将工资性工程进度款转入农民工工资专用账户。</w:t>
      </w:r>
    </w:p>
    <w:p w14:paraId="28C3D1AB">
      <w:pPr>
        <w:pageBreakBefore w:val="0"/>
        <w:widowControl w:val="0"/>
        <w:kinsoku/>
        <w:wordWrap/>
        <w:overflowPunct/>
        <w:topLinePunct w:val="0"/>
        <w:bidi w:val="0"/>
        <w:adjustRightInd w:val="0"/>
        <w:snapToGrid w:val="0"/>
        <w:spacing w:line="440" w:lineRule="exact"/>
        <w:ind w:firstLine="420" w:firstLineChars="200"/>
        <w:textAlignment w:val="auto"/>
        <w:rPr>
          <w:rFonts w:cs="宋体"/>
          <w:bCs/>
          <w:color w:val="auto"/>
          <w:sz w:val="21"/>
          <w:szCs w:val="21"/>
        </w:rPr>
      </w:pPr>
      <w:r>
        <w:rPr>
          <w:rFonts w:hint="eastAsia" w:cs="宋体"/>
          <w:color w:val="auto"/>
          <w:sz w:val="21"/>
          <w:szCs w:val="21"/>
        </w:rPr>
        <w:t>（4）</w:t>
      </w:r>
      <w:r>
        <w:rPr>
          <w:rFonts w:hint="eastAsia" w:cs="宋体"/>
          <w:bCs/>
          <w:color w:val="auto"/>
          <w:sz w:val="21"/>
          <w:szCs w:val="21"/>
        </w:rPr>
        <w:t>承包人每月25日前上报本工程农民工工资清单，每月10日前委托开设农民工工资专用账户的银行支付农民工工资。</w:t>
      </w:r>
    </w:p>
    <w:p w14:paraId="1E5A17BE">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rPr>
      </w:pPr>
      <w:r>
        <w:rPr>
          <w:rFonts w:hint="eastAsia" w:cs="宋体"/>
          <w:color w:val="auto"/>
          <w:sz w:val="21"/>
          <w:szCs w:val="21"/>
        </w:rPr>
        <w:t>（5）</w:t>
      </w:r>
      <w:r>
        <w:rPr>
          <w:rFonts w:hint="eastAsia" w:cs="宋体"/>
          <w:bCs/>
          <w:color w:val="auto"/>
          <w:sz w:val="21"/>
          <w:szCs w:val="21"/>
        </w:rPr>
        <w:t>工程竣工后，经项目部农民工维权组确认无农民工工资拖欠后，发、承双方办理农民工工资专用账户撤销手续，农民工工资专用账户余额划至本合同约定的承包人账户。</w:t>
      </w:r>
    </w:p>
    <w:bookmarkEnd w:id="334"/>
    <w:p w14:paraId="4586F0F3">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505" w:name="_Toc351203645"/>
      <w:bookmarkStart w:id="506" w:name="_Toc292559424"/>
      <w:bookmarkStart w:id="507" w:name="_Toc292559929"/>
      <w:bookmarkStart w:id="508" w:name="_Toc296503219"/>
      <w:bookmarkStart w:id="509" w:name="_Toc312678053"/>
      <w:bookmarkStart w:id="510" w:name="_Toc296891259"/>
      <w:bookmarkStart w:id="511" w:name="_Toc297120519"/>
      <w:bookmarkStart w:id="512" w:name="_Toc300935015"/>
      <w:bookmarkStart w:id="513" w:name="_Toc296891047"/>
      <w:bookmarkStart w:id="514" w:name="_Toc296944558"/>
      <w:bookmarkStart w:id="515" w:name="_Toc296346720"/>
      <w:bookmarkStart w:id="516" w:name="_Toc296347218"/>
      <w:bookmarkStart w:id="517" w:name="_Toc297048405"/>
      <w:bookmarkStart w:id="518" w:name="_Toc304295593"/>
      <w:bookmarkStart w:id="519" w:name="_Toc297123564"/>
      <w:bookmarkStart w:id="520" w:name="_Toc297216223"/>
      <w:bookmarkStart w:id="521" w:name="_Toc303539172"/>
      <w:r>
        <w:rPr>
          <w:rFonts w:hint="eastAsia" w:cs="宋体"/>
          <w:color w:val="auto"/>
          <w:sz w:val="21"/>
          <w:szCs w:val="21"/>
        </w:rPr>
        <w:t>13. 验收和工程试车</w:t>
      </w:r>
      <w:bookmarkEnd w:id="505"/>
    </w:p>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14:paraId="198B8A98">
      <w:pPr>
        <w:keepNext/>
        <w:keepLines/>
        <w:pageBreakBefore w:val="0"/>
        <w:widowControl w:val="0"/>
        <w:kinsoku/>
        <w:wordWrap/>
        <w:overflowPunct/>
        <w:topLinePunct w:val="0"/>
        <w:bidi w:val="0"/>
        <w:snapToGrid w:val="0"/>
        <w:spacing w:line="440" w:lineRule="exact"/>
        <w:jc w:val="left"/>
        <w:textAlignment w:val="auto"/>
        <w:outlineLvl w:val="2"/>
        <w:rPr>
          <w:rFonts w:cs="宋体"/>
          <w:bCs/>
          <w:color w:val="auto"/>
          <w:sz w:val="21"/>
          <w:szCs w:val="21"/>
        </w:rPr>
      </w:pPr>
      <w:r>
        <w:rPr>
          <w:rFonts w:hint="eastAsia" w:cs="宋体"/>
          <w:bCs/>
          <w:color w:val="auto"/>
          <w:sz w:val="21"/>
          <w:szCs w:val="21"/>
        </w:rPr>
        <w:t>13.1 分部分项工程验收</w:t>
      </w:r>
    </w:p>
    <w:p w14:paraId="0A06447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13.1.2 监理人不能按时进行验收时，应提前</w:t>
      </w:r>
      <w:r>
        <w:rPr>
          <w:rFonts w:hint="eastAsia" w:cs="宋体"/>
          <w:color w:val="auto"/>
          <w:sz w:val="21"/>
          <w:szCs w:val="21"/>
          <w:u w:val="single"/>
        </w:rPr>
        <w:t>24</w:t>
      </w:r>
      <w:r>
        <w:rPr>
          <w:rFonts w:hint="eastAsia" w:cs="宋体"/>
          <w:color w:val="auto"/>
          <w:sz w:val="21"/>
          <w:szCs w:val="21"/>
        </w:rPr>
        <w:t>小时提交书面延期要求。</w:t>
      </w:r>
    </w:p>
    <w:p w14:paraId="3D3E983E">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rPr>
      </w:pPr>
      <w:r>
        <w:rPr>
          <w:rFonts w:hint="eastAsia" w:cs="宋体"/>
          <w:color w:val="auto"/>
          <w:sz w:val="21"/>
          <w:szCs w:val="21"/>
        </w:rPr>
        <w:t>关于延期最长不得超过：</w:t>
      </w:r>
      <w:r>
        <w:rPr>
          <w:rFonts w:hint="eastAsia" w:cs="宋体"/>
          <w:color w:val="auto"/>
          <w:sz w:val="21"/>
          <w:szCs w:val="21"/>
          <w:u w:val="single"/>
        </w:rPr>
        <w:t>48</w:t>
      </w:r>
      <w:r>
        <w:rPr>
          <w:rFonts w:hint="eastAsia" w:cs="宋体"/>
          <w:color w:val="auto"/>
          <w:sz w:val="21"/>
          <w:szCs w:val="21"/>
        </w:rPr>
        <w:t>小时。</w:t>
      </w:r>
    </w:p>
    <w:p w14:paraId="1DF6D903">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bookmarkStart w:id="522" w:name="_Toc296346724"/>
      <w:bookmarkStart w:id="523" w:name="_Toc296891263"/>
      <w:bookmarkStart w:id="524" w:name="_Toc297123565"/>
      <w:bookmarkStart w:id="525" w:name="_Toc312678056"/>
      <w:bookmarkStart w:id="526" w:name="_Toc297120523"/>
      <w:bookmarkStart w:id="527" w:name="_Toc292559428"/>
      <w:bookmarkStart w:id="528" w:name="_Toc296891051"/>
      <w:bookmarkStart w:id="529" w:name="_Toc296503223"/>
      <w:bookmarkStart w:id="530" w:name="_Toc296347222"/>
      <w:bookmarkStart w:id="531" w:name="_Toc297216224"/>
      <w:bookmarkStart w:id="532" w:name="_Toc296944562"/>
      <w:bookmarkStart w:id="533" w:name="_Toc292559933"/>
      <w:bookmarkStart w:id="534" w:name="_Toc303539173"/>
      <w:bookmarkStart w:id="535" w:name="_Toc304295596"/>
      <w:bookmarkStart w:id="536" w:name="_Toc300935016"/>
      <w:bookmarkStart w:id="537" w:name="_Toc297048409"/>
      <w:bookmarkStart w:id="538" w:name="_Toc267251474"/>
      <w:bookmarkStart w:id="539" w:name="_Toc267251473"/>
      <w:bookmarkStart w:id="540" w:name="_Toc267251472"/>
      <w:bookmarkStart w:id="541" w:name="_Toc267251475"/>
      <w:bookmarkStart w:id="542" w:name="_Toc267251470"/>
      <w:bookmarkStart w:id="543" w:name="_Toc267251476"/>
      <w:bookmarkStart w:id="544" w:name="_Toc267251471"/>
      <w:r>
        <w:rPr>
          <w:rFonts w:hint="eastAsia" w:cs="宋体"/>
          <w:bCs/>
          <w:color w:val="auto"/>
          <w:sz w:val="21"/>
          <w:szCs w:val="21"/>
        </w:rPr>
        <w:t>13.2 竣工验收</w:t>
      </w:r>
    </w:p>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14:paraId="454D3E4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bookmarkStart w:id="545" w:name="_Toc280868704"/>
      <w:bookmarkStart w:id="546" w:name="_Toc280868705"/>
      <w:bookmarkStart w:id="547" w:name="_Toc280868706"/>
      <w:bookmarkStart w:id="548" w:name="_Toc280868707"/>
      <w:bookmarkStart w:id="549" w:name="_Toc280868708"/>
      <w:bookmarkStart w:id="550" w:name="_Toc280868709"/>
      <w:r>
        <w:rPr>
          <w:rFonts w:hint="eastAsia" w:cs="宋体"/>
          <w:color w:val="auto"/>
          <w:sz w:val="21"/>
          <w:szCs w:val="21"/>
        </w:rPr>
        <w:t>13.2.2 竣工验收程序</w:t>
      </w:r>
    </w:p>
    <w:bookmarkEnd w:id="545"/>
    <w:p w14:paraId="7A19456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关于竣工验收程序的约定：</w:t>
      </w:r>
      <w:r>
        <w:rPr>
          <w:rFonts w:hint="eastAsia" w:cs="宋体"/>
          <w:color w:val="auto"/>
          <w:sz w:val="21"/>
          <w:szCs w:val="21"/>
          <w:u w:val="single"/>
        </w:rPr>
        <w:t>执行通用条款</w:t>
      </w:r>
      <w:r>
        <w:rPr>
          <w:rFonts w:hint="eastAsia" w:cs="宋体"/>
          <w:color w:val="auto"/>
          <w:sz w:val="21"/>
          <w:szCs w:val="21"/>
        </w:rPr>
        <w:t>。</w:t>
      </w:r>
    </w:p>
    <w:p w14:paraId="09A533E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发包人不按照本项约定组织竣工验收、颁发工程接收证书的违约金的计算方法：</w:t>
      </w:r>
      <w:r>
        <w:rPr>
          <w:rFonts w:hint="eastAsia" w:cs="宋体"/>
          <w:color w:val="auto"/>
          <w:sz w:val="21"/>
          <w:szCs w:val="21"/>
          <w:u w:val="single"/>
        </w:rPr>
        <w:t>执行通用条款</w:t>
      </w:r>
      <w:r>
        <w:rPr>
          <w:rFonts w:hint="eastAsia" w:cs="宋体"/>
          <w:color w:val="auto"/>
          <w:sz w:val="21"/>
          <w:szCs w:val="21"/>
        </w:rPr>
        <w:t>。</w:t>
      </w:r>
    </w:p>
    <w:bookmarkEnd w:id="546"/>
    <w:p w14:paraId="34F0F4E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13.2.5 移交、接收全部与部分工程</w:t>
      </w:r>
    </w:p>
    <w:bookmarkEnd w:id="547"/>
    <w:p w14:paraId="4576435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承包人向发包人移交工程的期限：</w:t>
      </w:r>
      <w:r>
        <w:rPr>
          <w:rFonts w:hint="eastAsia" w:cs="宋体"/>
          <w:color w:val="auto"/>
          <w:sz w:val="21"/>
          <w:szCs w:val="21"/>
          <w:u w:val="single"/>
        </w:rPr>
        <w:t>颁发工程接收证书后7天内完成工程的移交</w:t>
      </w:r>
      <w:r>
        <w:rPr>
          <w:rFonts w:hint="eastAsia" w:cs="宋体"/>
          <w:color w:val="auto"/>
          <w:sz w:val="21"/>
          <w:szCs w:val="21"/>
        </w:rPr>
        <w:t>。</w:t>
      </w:r>
    </w:p>
    <w:p w14:paraId="4890E36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发包人未按本合同约定接收全部或部分工程的，违约金的计算方法为：</w:t>
      </w:r>
      <w:r>
        <w:rPr>
          <w:rFonts w:hint="eastAsia" w:cs="宋体"/>
          <w:color w:val="auto"/>
          <w:sz w:val="21"/>
          <w:szCs w:val="21"/>
          <w:u w:val="single"/>
        </w:rPr>
        <w:t>发包人自应当接收工程之日起，承担工程照管、成品保护、保管等与工程有关的各项费用</w:t>
      </w:r>
      <w:r>
        <w:rPr>
          <w:rFonts w:hint="eastAsia" w:cs="宋体"/>
          <w:color w:val="auto"/>
          <w:sz w:val="21"/>
          <w:szCs w:val="21"/>
        </w:rPr>
        <w:t>。</w:t>
      </w:r>
    </w:p>
    <w:bookmarkEnd w:id="548"/>
    <w:p w14:paraId="0675870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承包人未按时移交工程的，违约金的计算方法为：</w:t>
      </w:r>
      <w:r>
        <w:rPr>
          <w:rFonts w:hint="eastAsia" w:cs="宋体"/>
          <w:color w:val="auto"/>
          <w:sz w:val="21"/>
          <w:szCs w:val="21"/>
          <w:u w:val="single"/>
        </w:rPr>
        <w:t>承包人应承担工程照管、成品保护、保管等与工程有关的各项费用</w:t>
      </w:r>
      <w:r>
        <w:rPr>
          <w:rFonts w:hint="eastAsia" w:cs="宋体"/>
          <w:color w:val="auto"/>
          <w:sz w:val="21"/>
          <w:szCs w:val="21"/>
        </w:rPr>
        <w:t>。</w:t>
      </w:r>
    </w:p>
    <w:p w14:paraId="4D63771F">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13.3 工程试车</w:t>
      </w:r>
    </w:p>
    <w:bookmarkEnd w:id="549"/>
    <w:p w14:paraId="520EE30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13.3.1 试车程序</w:t>
      </w:r>
    </w:p>
    <w:p w14:paraId="1775346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工程试车内容：</w:t>
      </w:r>
      <w:r>
        <w:rPr>
          <w:rFonts w:hint="eastAsia" w:cs="宋体"/>
          <w:color w:val="auto"/>
          <w:sz w:val="21"/>
          <w:szCs w:val="21"/>
          <w:u w:val="single"/>
        </w:rPr>
        <w:t xml:space="preserve">                                        </w:t>
      </w:r>
      <w:r>
        <w:rPr>
          <w:rFonts w:hint="eastAsia" w:cs="宋体"/>
          <w:color w:val="auto"/>
          <w:sz w:val="21"/>
          <w:szCs w:val="21"/>
        </w:rPr>
        <w:t>。</w:t>
      </w:r>
    </w:p>
    <w:p w14:paraId="56BD174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（1）单机无负荷试车费用由</w:t>
      </w:r>
      <w:r>
        <w:rPr>
          <w:rFonts w:hint="eastAsia" w:cs="宋体"/>
          <w:color w:val="auto"/>
          <w:sz w:val="21"/>
          <w:szCs w:val="21"/>
          <w:u w:val="single"/>
        </w:rPr>
        <w:t>试车消耗的生产性原材料由发包人承担；试车其他费用（包括试车所需水电油等费用）由承包人在投标报价中综合考虑并</w:t>
      </w:r>
      <w:r>
        <w:rPr>
          <w:rFonts w:hint="eastAsia" w:cs="宋体"/>
          <w:color w:val="auto"/>
          <w:sz w:val="21"/>
          <w:szCs w:val="21"/>
        </w:rPr>
        <w:t>承担；</w:t>
      </w:r>
    </w:p>
    <w:p w14:paraId="0076E97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（2）无负荷联动试车费用由</w:t>
      </w:r>
      <w:r>
        <w:rPr>
          <w:rFonts w:hint="eastAsia" w:cs="宋体"/>
          <w:color w:val="auto"/>
          <w:sz w:val="21"/>
          <w:szCs w:val="21"/>
          <w:u w:val="single"/>
        </w:rPr>
        <w:t>试车消耗的生产性原材料由发包人承担；试车其他费用（包括试车所需水电油等费用）由承包人在投标报价中综合考虑并</w:t>
      </w:r>
      <w:r>
        <w:rPr>
          <w:rFonts w:hint="eastAsia" w:cs="宋体"/>
          <w:color w:val="auto"/>
          <w:sz w:val="21"/>
          <w:szCs w:val="21"/>
        </w:rPr>
        <w:t>承担。</w:t>
      </w:r>
    </w:p>
    <w:p w14:paraId="19EDBEB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13.3.3 投料试车</w:t>
      </w:r>
    </w:p>
    <w:p w14:paraId="1EEF9F2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关于投料试车相关事项的约定：</w:t>
      </w:r>
      <w:r>
        <w:rPr>
          <w:rFonts w:hint="eastAsia" w:cs="宋体"/>
          <w:color w:val="auto"/>
          <w:sz w:val="21"/>
          <w:szCs w:val="21"/>
          <w:u w:val="single"/>
        </w:rPr>
        <w:t>执行通用条款</w:t>
      </w:r>
      <w:r>
        <w:rPr>
          <w:rFonts w:hint="eastAsia" w:cs="宋体"/>
          <w:color w:val="auto"/>
          <w:sz w:val="21"/>
          <w:szCs w:val="21"/>
        </w:rPr>
        <w:t>。</w:t>
      </w:r>
    </w:p>
    <w:p w14:paraId="7A07A914">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13.6 竣工退场</w:t>
      </w:r>
    </w:p>
    <w:p w14:paraId="4512293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13.6.1 竣工退场</w:t>
      </w:r>
    </w:p>
    <w:p w14:paraId="7C036213">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承包人完成竣工退场的期限：</w:t>
      </w:r>
      <w:r>
        <w:rPr>
          <w:rFonts w:hint="eastAsia" w:cs="宋体"/>
          <w:color w:val="auto"/>
          <w:sz w:val="21"/>
          <w:szCs w:val="21"/>
          <w:u w:val="single"/>
        </w:rPr>
        <w:t xml:space="preserve">  竣工验收合格之日起一周内  </w:t>
      </w:r>
      <w:r>
        <w:rPr>
          <w:rFonts w:hint="eastAsia" w:cs="宋体"/>
          <w:color w:val="auto"/>
          <w:sz w:val="21"/>
          <w:szCs w:val="21"/>
        </w:rPr>
        <w:t>。</w:t>
      </w:r>
    </w:p>
    <w:p w14:paraId="38A1942D">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551" w:name="_Toc351203646"/>
      <w:r>
        <w:rPr>
          <w:rFonts w:hint="eastAsia" w:cs="宋体"/>
          <w:color w:val="auto"/>
          <w:sz w:val="21"/>
          <w:szCs w:val="21"/>
        </w:rPr>
        <w:t>14. 竣工结算</w:t>
      </w:r>
      <w:bookmarkEnd w:id="551"/>
    </w:p>
    <w:p w14:paraId="4D02B7D6">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14.1 竣工结算申请</w:t>
      </w:r>
    </w:p>
    <w:p w14:paraId="7BD229A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承包人提交竣工结算申请单的期限：</w:t>
      </w:r>
      <w:r>
        <w:rPr>
          <w:rFonts w:hint="eastAsia" w:cs="宋体"/>
          <w:color w:val="auto"/>
          <w:sz w:val="21"/>
          <w:szCs w:val="21"/>
          <w:u w:val="single"/>
        </w:rPr>
        <w:t>承包人应在工程竣工验收合格后28天内</w:t>
      </w:r>
      <w:r>
        <w:rPr>
          <w:rFonts w:hint="eastAsia" w:cs="宋体"/>
          <w:color w:val="auto"/>
          <w:sz w:val="21"/>
          <w:szCs w:val="21"/>
        </w:rPr>
        <w:t>。</w:t>
      </w:r>
    </w:p>
    <w:p w14:paraId="7836F04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竣工结算申请单应包括的内容：</w:t>
      </w:r>
      <w:r>
        <w:rPr>
          <w:rFonts w:hint="eastAsia" w:cs="宋体"/>
          <w:color w:val="auto"/>
          <w:sz w:val="21"/>
          <w:szCs w:val="21"/>
          <w:u w:val="single"/>
        </w:rPr>
        <w:t>执行通用条款</w:t>
      </w:r>
      <w:r>
        <w:rPr>
          <w:rFonts w:hint="eastAsia" w:cs="宋体"/>
          <w:color w:val="auto"/>
          <w:sz w:val="21"/>
          <w:szCs w:val="21"/>
        </w:rPr>
        <w:t>。</w:t>
      </w:r>
    </w:p>
    <w:p w14:paraId="3DE242B6">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14.2 竣工结算审核</w:t>
      </w:r>
    </w:p>
    <w:p w14:paraId="142B2B8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发包人审批竣工付款申请单的期限：</w:t>
      </w:r>
      <w:r>
        <w:rPr>
          <w:rFonts w:hint="eastAsia" w:cs="宋体"/>
          <w:color w:val="auto"/>
          <w:sz w:val="21"/>
          <w:szCs w:val="21"/>
          <w:u w:val="single"/>
        </w:rPr>
        <w:t>发包人应在收到监理人提交的经审核的竣工结算申请单后14天内完成审批</w:t>
      </w:r>
      <w:r>
        <w:rPr>
          <w:rFonts w:hint="eastAsia" w:cs="宋体"/>
          <w:color w:val="auto"/>
          <w:sz w:val="21"/>
          <w:szCs w:val="21"/>
        </w:rPr>
        <w:t>。</w:t>
      </w:r>
    </w:p>
    <w:p w14:paraId="0720A80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发包人完成竣工付款的期限：</w:t>
      </w:r>
      <w:r>
        <w:rPr>
          <w:rFonts w:hint="eastAsia" w:cs="宋体"/>
          <w:color w:val="auto"/>
          <w:sz w:val="21"/>
          <w:szCs w:val="21"/>
          <w:u w:val="single"/>
        </w:rPr>
        <w:t>发包人应在签发竣工付款证书后的14 天内，完成对承包人的竣工付款</w:t>
      </w:r>
      <w:r>
        <w:rPr>
          <w:rFonts w:hint="eastAsia" w:cs="宋体"/>
          <w:color w:val="auto"/>
          <w:sz w:val="21"/>
          <w:szCs w:val="21"/>
        </w:rPr>
        <w:t>。</w:t>
      </w:r>
    </w:p>
    <w:p w14:paraId="19A6976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关于竣工付款证书异议部分复核的方式和程序：</w:t>
      </w:r>
      <w:r>
        <w:rPr>
          <w:rFonts w:hint="eastAsia" w:cs="宋体"/>
          <w:color w:val="auto"/>
          <w:sz w:val="21"/>
          <w:szCs w:val="21"/>
          <w:u w:val="single"/>
        </w:rPr>
        <w:t>执行通用条款</w:t>
      </w:r>
      <w:r>
        <w:rPr>
          <w:rFonts w:hint="eastAsia" w:cs="宋体"/>
          <w:color w:val="auto"/>
          <w:sz w:val="21"/>
          <w:szCs w:val="21"/>
        </w:rPr>
        <w:t>。</w:t>
      </w:r>
    </w:p>
    <w:p w14:paraId="683D7F9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14.4 最终结清</w:t>
      </w:r>
    </w:p>
    <w:p w14:paraId="67451BF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14.4.1 最终结清申请单</w:t>
      </w:r>
    </w:p>
    <w:p w14:paraId="6D9A6F2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承包人提交最终结清申请单的份数：</w:t>
      </w:r>
      <w:r>
        <w:rPr>
          <w:rFonts w:hint="eastAsia" w:cs="宋体"/>
          <w:color w:val="auto"/>
          <w:sz w:val="21"/>
          <w:szCs w:val="21"/>
          <w:u w:val="single"/>
        </w:rPr>
        <w:t xml:space="preserve">                    </w:t>
      </w:r>
      <w:r>
        <w:rPr>
          <w:rFonts w:hint="eastAsia" w:cs="宋体"/>
          <w:color w:val="auto"/>
          <w:sz w:val="21"/>
          <w:szCs w:val="21"/>
        </w:rPr>
        <w:t>。</w:t>
      </w:r>
    </w:p>
    <w:p w14:paraId="38C038D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承包人提交最终结算申请单的期限：</w:t>
      </w:r>
      <w:r>
        <w:rPr>
          <w:rFonts w:hint="eastAsia" w:cs="宋体"/>
          <w:color w:val="auto"/>
          <w:sz w:val="21"/>
          <w:szCs w:val="21"/>
          <w:u w:val="single"/>
        </w:rPr>
        <w:t>缺陷责任期终止证书颁发后7天内</w:t>
      </w:r>
      <w:r>
        <w:rPr>
          <w:rFonts w:hint="eastAsia" w:cs="宋体"/>
          <w:color w:val="auto"/>
          <w:sz w:val="21"/>
          <w:szCs w:val="21"/>
        </w:rPr>
        <w:t xml:space="preserve">。 </w:t>
      </w:r>
    </w:p>
    <w:p w14:paraId="2871C13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14.4.2 最终结清证书和支付</w:t>
      </w:r>
    </w:p>
    <w:p w14:paraId="498BA79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（1）发包人完成最终结清申请单的审批并颁发最终结清证书的期限：</w:t>
      </w:r>
      <w:r>
        <w:rPr>
          <w:rFonts w:hint="eastAsia" w:cs="宋体"/>
          <w:color w:val="auto"/>
          <w:sz w:val="21"/>
          <w:szCs w:val="21"/>
          <w:u w:val="single"/>
        </w:rPr>
        <w:t>收到承包人提交的最终结清申请单后14天内</w:t>
      </w:r>
      <w:r>
        <w:rPr>
          <w:rFonts w:hint="eastAsia" w:cs="宋体"/>
          <w:color w:val="auto"/>
          <w:sz w:val="21"/>
          <w:szCs w:val="21"/>
        </w:rPr>
        <w:t>。</w:t>
      </w:r>
    </w:p>
    <w:p w14:paraId="3FD1622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（2）发包人完成支付的期限：</w:t>
      </w:r>
      <w:r>
        <w:rPr>
          <w:rFonts w:hint="eastAsia" w:cs="宋体"/>
          <w:color w:val="auto"/>
          <w:sz w:val="21"/>
          <w:szCs w:val="21"/>
          <w:u w:val="single"/>
        </w:rPr>
        <w:t>颁发最终结清证书后7天内完成支付</w:t>
      </w:r>
      <w:r>
        <w:rPr>
          <w:rFonts w:hint="eastAsia" w:cs="宋体"/>
          <w:color w:val="auto"/>
          <w:sz w:val="21"/>
          <w:szCs w:val="21"/>
        </w:rPr>
        <w:t>。</w:t>
      </w:r>
    </w:p>
    <w:bookmarkEnd w:id="538"/>
    <w:bookmarkEnd w:id="539"/>
    <w:bookmarkEnd w:id="540"/>
    <w:bookmarkEnd w:id="541"/>
    <w:bookmarkEnd w:id="542"/>
    <w:bookmarkEnd w:id="543"/>
    <w:bookmarkEnd w:id="544"/>
    <w:bookmarkEnd w:id="550"/>
    <w:p w14:paraId="42BDED4F">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552" w:name="_Toc351203647"/>
      <w:bookmarkStart w:id="553" w:name="_Toc267251483"/>
      <w:bookmarkStart w:id="554" w:name="_Toc267251482"/>
      <w:bookmarkStart w:id="555" w:name="_Toc267251484"/>
      <w:bookmarkStart w:id="556" w:name="_Toc267251485"/>
      <w:bookmarkStart w:id="557" w:name="_Toc267251488"/>
      <w:bookmarkStart w:id="558" w:name="_Toc267251486"/>
      <w:bookmarkStart w:id="559" w:name="_Toc267251490"/>
      <w:bookmarkStart w:id="560" w:name="_Toc267251489"/>
      <w:bookmarkStart w:id="561" w:name="_Toc267251502"/>
      <w:bookmarkStart w:id="562" w:name="_Toc267251498"/>
      <w:bookmarkStart w:id="563" w:name="_Toc267251496"/>
      <w:bookmarkStart w:id="564" w:name="_Toc267251492"/>
      <w:bookmarkStart w:id="565" w:name="_Toc267251491"/>
      <w:bookmarkStart w:id="566" w:name="_Toc267251501"/>
      <w:bookmarkStart w:id="567" w:name="_Toc267251494"/>
      <w:bookmarkStart w:id="568" w:name="_Toc267251493"/>
      <w:bookmarkStart w:id="569" w:name="_Toc267251499"/>
      <w:bookmarkStart w:id="570" w:name="_Toc267251495"/>
      <w:bookmarkStart w:id="571" w:name="_Toc267251497"/>
      <w:bookmarkStart w:id="572" w:name="_Toc267251503"/>
      <w:bookmarkStart w:id="573" w:name="_Toc267251506"/>
      <w:bookmarkStart w:id="574" w:name="_Toc267251504"/>
      <w:bookmarkStart w:id="575" w:name="_Toc267251507"/>
      <w:bookmarkStart w:id="576" w:name="_Toc267251508"/>
      <w:bookmarkStart w:id="577" w:name="_Toc267251515"/>
      <w:bookmarkStart w:id="578" w:name="_Toc267251510"/>
      <w:bookmarkStart w:id="579" w:name="_Toc267251509"/>
      <w:bookmarkStart w:id="580" w:name="_Toc267251511"/>
      <w:bookmarkStart w:id="581" w:name="_Toc267251514"/>
      <w:bookmarkStart w:id="582" w:name="_Toc267251513"/>
      <w:r>
        <w:rPr>
          <w:rFonts w:hint="eastAsia" w:cs="宋体"/>
          <w:color w:val="auto"/>
          <w:sz w:val="21"/>
          <w:szCs w:val="21"/>
        </w:rPr>
        <w:t>15. 缺陷责任期与保修</w:t>
      </w:r>
      <w:bookmarkEnd w:id="552"/>
    </w:p>
    <w:p w14:paraId="6FCA5468">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15.2 缺陷责任期</w:t>
      </w:r>
      <w:bookmarkEnd w:id="553"/>
    </w:p>
    <w:p w14:paraId="0619ECE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缺陷责任期的具体期限：</w:t>
      </w:r>
      <w:r>
        <w:rPr>
          <w:rFonts w:hint="eastAsia" w:cs="宋体"/>
          <w:color w:val="auto"/>
          <w:sz w:val="21"/>
          <w:szCs w:val="21"/>
          <w:u w:val="single"/>
        </w:rPr>
        <w:t>见《专用合同条款数据表》</w:t>
      </w:r>
      <w:r>
        <w:rPr>
          <w:rFonts w:hint="eastAsia" w:cs="宋体"/>
          <w:color w:val="auto"/>
          <w:sz w:val="21"/>
          <w:szCs w:val="21"/>
        </w:rPr>
        <w:t>。</w:t>
      </w:r>
    </w:p>
    <w:p w14:paraId="37B36B5A">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15.3 质量保证金</w:t>
      </w:r>
    </w:p>
    <w:p w14:paraId="18F8204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关于是否扣留质量保证金的约定：</w:t>
      </w:r>
      <w:r>
        <w:rPr>
          <w:rFonts w:hint="eastAsia" w:cs="宋体"/>
          <w:color w:val="auto"/>
          <w:sz w:val="21"/>
          <w:szCs w:val="21"/>
          <w:highlight w:val="none"/>
          <w:u w:val="single"/>
        </w:rPr>
        <w:t>见《专用合同条款数据表》</w:t>
      </w:r>
      <w:r>
        <w:rPr>
          <w:rFonts w:hint="eastAsia" w:cs="宋体"/>
          <w:color w:val="auto"/>
          <w:sz w:val="21"/>
          <w:szCs w:val="21"/>
        </w:rPr>
        <w:t>。在工程项目竣工前，承包人按专用合同条款第3.7款提供履约保证金的，发包人不得同时预留工程质量保证金。</w:t>
      </w:r>
    </w:p>
    <w:p w14:paraId="174CE75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15.3.1 承包人提供质量保证金的方式</w:t>
      </w:r>
    </w:p>
    <w:p w14:paraId="15B9FF4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质量保证金可采用以下任意一种方式：</w:t>
      </w:r>
    </w:p>
    <w:p w14:paraId="39D4BEF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（1）由银行业金融机构、工程担保公司、保险机构出具银行保函、工程质量保险等担保方式，担保/保证金额为：</w:t>
      </w:r>
      <w:r>
        <w:rPr>
          <w:rFonts w:hint="eastAsia" w:cs="宋体"/>
          <w:color w:val="auto"/>
          <w:sz w:val="21"/>
          <w:szCs w:val="21"/>
          <w:u w:val="single"/>
        </w:rPr>
        <w:t>见《专用合同条款数据表》</w:t>
      </w:r>
      <w:r>
        <w:rPr>
          <w:rFonts w:hint="eastAsia" w:cs="宋体"/>
          <w:color w:val="auto"/>
          <w:sz w:val="21"/>
          <w:szCs w:val="21"/>
        </w:rPr>
        <w:t>；</w:t>
      </w:r>
    </w:p>
    <w:p w14:paraId="35E64FF5">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w:t>
      </w:r>
      <w:r>
        <w:rPr>
          <w:rFonts w:hint="eastAsia" w:cs="宋体"/>
          <w:color w:val="auto"/>
          <w:sz w:val="21"/>
          <w:szCs w:val="21"/>
          <w:u w:val="single"/>
        </w:rPr>
        <w:t>见《专用合同条款数据表》</w:t>
      </w:r>
      <w:r>
        <w:rPr>
          <w:rFonts w:hint="eastAsia" w:cs="宋体"/>
          <w:color w:val="auto"/>
          <w:sz w:val="21"/>
          <w:szCs w:val="21"/>
        </w:rPr>
        <w:t>；</w:t>
      </w:r>
    </w:p>
    <w:p w14:paraId="1B97541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（3）其他方式：</w:t>
      </w:r>
      <w:r>
        <w:rPr>
          <w:rFonts w:hint="eastAsia" w:cs="宋体"/>
          <w:color w:val="auto"/>
          <w:sz w:val="21"/>
          <w:szCs w:val="21"/>
          <w:u w:val="single"/>
        </w:rPr>
        <w:t>见《专用合同条款数据表》</w:t>
      </w:r>
      <w:r>
        <w:rPr>
          <w:rFonts w:hint="eastAsia" w:cs="宋体"/>
          <w:color w:val="auto"/>
          <w:sz w:val="21"/>
          <w:szCs w:val="21"/>
        </w:rPr>
        <w:t>。</w:t>
      </w:r>
    </w:p>
    <w:p w14:paraId="2489F0E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 xml:space="preserve">15.3.2 质量保证金的扣留 </w:t>
      </w:r>
    </w:p>
    <w:p w14:paraId="6E70D2E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质量保证金的扣留采取以下第</w:t>
      </w:r>
      <w:r>
        <w:rPr>
          <w:rFonts w:hint="eastAsia" w:cs="宋体"/>
          <w:color w:val="auto"/>
          <w:sz w:val="21"/>
          <w:szCs w:val="21"/>
          <w:u w:val="single"/>
        </w:rPr>
        <w:t xml:space="preserve"> </w:t>
      </w:r>
      <w:r>
        <w:rPr>
          <w:rFonts w:hint="eastAsia" w:cs="宋体"/>
          <w:color w:val="auto"/>
          <w:sz w:val="21"/>
          <w:szCs w:val="21"/>
          <w:u w:val="single"/>
          <w:lang w:eastAsia="zh-CN"/>
        </w:rPr>
        <w:t>（</w:t>
      </w:r>
      <w:r>
        <w:rPr>
          <w:rFonts w:hint="eastAsia" w:cs="宋体"/>
          <w:color w:val="auto"/>
          <w:sz w:val="21"/>
          <w:szCs w:val="21"/>
          <w:u w:val="single"/>
          <w:lang w:val="en-US" w:eastAsia="zh-CN"/>
        </w:rPr>
        <w:t>3）</w:t>
      </w:r>
      <w:r>
        <w:rPr>
          <w:rFonts w:hint="eastAsia" w:cs="宋体"/>
          <w:color w:val="auto"/>
          <w:sz w:val="21"/>
          <w:szCs w:val="21"/>
          <w:u w:val="single"/>
        </w:rPr>
        <w:t xml:space="preserve"> </w:t>
      </w:r>
      <w:r>
        <w:rPr>
          <w:rFonts w:hint="eastAsia" w:cs="宋体"/>
          <w:color w:val="auto"/>
          <w:sz w:val="21"/>
          <w:szCs w:val="21"/>
        </w:rPr>
        <w:t>种方式：</w:t>
      </w:r>
    </w:p>
    <w:p w14:paraId="7FBA8D5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（1）在支付工程进度款时逐次扣留，在此情形下，质量保证金的计算基数不包括预付款的支付、扣回以及价格调整的金额；</w:t>
      </w:r>
    </w:p>
    <w:p w14:paraId="1457E90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（2）工程竣工结算时一次性扣留质量保证金；</w:t>
      </w:r>
    </w:p>
    <w:p w14:paraId="64D5388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（3）其他扣留方式：</w:t>
      </w:r>
      <w:r>
        <w:rPr>
          <w:rFonts w:hint="eastAsia" w:cs="宋体"/>
          <w:bCs/>
          <w:color w:val="auto"/>
          <w:sz w:val="21"/>
          <w:szCs w:val="21"/>
          <w:u w:val="single"/>
          <w:lang w:val="en-US" w:eastAsia="zh-CN"/>
        </w:rPr>
        <w:t>工程竣工并验收合格</w:t>
      </w:r>
      <w:r>
        <w:rPr>
          <w:rFonts w:hint="eastAsia" w:cs="宋体"/>
          <w:bCs/>
          <w:color w:val="auto"/>
          <w:sz w:val="21"/>
          <w:szCs w:val="21"/>
          <w:u w:val="single"/>
        </w:rPr>
        <w:t>完成结算审核后付至结算审核价款的100%</w:t>
      </w:r>
      <w:r>
        <w:rPr>
          <w:rFonts w:hint="eastAsia" w:cs="宋体"/>
          <w:color w:val="auto"/>
          <w:sz w:val="21"/>
          <w:szCs w:val="21"/>
          <w:u w:val="single"/>
        </w:rPr>
        <w:t xml:space="preserve">。同时承包人须提交结算审核价款的2%（作为工程质量保证金）至采购人处。质量保证金支持保函（银行保函、担保机构担保、保证保险）使用，保函有效期须与工程缺陷责任期截止时间保持一致 </w:t>
      </w:r>
      <w:r>
        <w:rPr>
          <w:rFonts w:hint="eastAsia" w:cs="宋体"/>
          <w:color w:val="auto"/>
          <w:sz w:val="21"/>
          <w:szCs w:val="21"/>
        </w:rPr>
        <w:t>。</w:t>
      </w:r>
    </w:p>
    <w:p w14:paraId="61CABFE8">
      <w:pPr>
        <w:pageBreakBefore w:val="0"/>
        <w:widowControl w:val="0"/>
        <w:kinsoku/>
        <w:wordWrap/>
        <w:overflowPunct/>
        <w:topLinePunct w:val="0"/>
        <w:bidi w:val="0"/>
        <w:adjustRightInd w:val="0"/>
        <w:snapToGrid w:val="0"/>
        <w:spacing w:line="440" w:lineRule="exact"/>
        <w:ind w:firstLine="420" w:firstLineChars="200"/>
        <w:textAlignment w:val="auto"/>
        <w:rPr>
          <w:rFonts w:hint="eastAsia" w:cs="宋体"/>
          <w:color w:val="auto"/>
          <w:sz w:val="21"/>
          <w:szCs w:val="21"/>
          <w:u w:val="single"/>
        </w:rPr>
      </w:pPr>
      <w:r>
        <w:rPr>
          <w:rFonts w:hint="eastAsia" w:cs="宋体"/>
          <w:color w:val="auto"/>
          <w:sz w:val="21"/>
          <w:szCs w:val="21"/>
        </w:rPr>
        <w:t>关于质量保证金的补充约定：</w:t>
      </w:r>
      <w:bookmarkEnd w:id="554"/>
      <w:bookmarkEnd w:id="555"/>
      <w:r>
        <w:rPr>
          <w:rFonts w:hint="eastAsia" w:cs="宋体"/>
          <w:color w:val="auto"/>
          <w:sz w:val="21"/>
          <w:szCs w:val="21"/>
          <w:u w:val="single"/>
        </w:rPr>
        <w:t>质量保证金支持保函（银行保函、担保机构担保、保证保</w:t>
      </w:r>
    </w:p>
    <w:p w14:paraId="4A67AC7D">
      <w:pPr>
        <w:keepNext/>
        <w:keepLines/>
        <w:pageBreakBefore w:val="0"/>
        <w:widowControl w:val="0"/>
        <w:kinsoku/>
        <w:wordWrap/>
        <w:overflowPunct/>
        <w:topLinePunct w:val="0"/>
        <w:bidi w:val="0"/>
        <w:snapToGrid w:val="0"/>
        <w:spacing w:line="440" w:lineRule="exact"/>
        <w:textAlignment w:val="auto"/>
        <w:outlineLvl w:val="3"/>
        <w:rPr>
          <w:rFonts w:hint="eastAsia" w:cs="宋体"/>
          <w:color w:val="auto"/>
          <w:sz w:val="21"/>
          <w:szCs w:val="21"/>
          <w:u w:val="single"/>
        </w:rPr>
      </w:pPr>
      <w:r>
        <w:rPr>
          <w:rFonts w:hint="eastAsia" w:cs="宋体"/>
          <w:color w:val="auto"/>
          <w:sz w:val="21"/>
          <w:szCs w:val="21"/>
          <w:u w:val="single"/>
        </w:rPr>
        <w:t>险）使用，工程缺陷责任期（缺陷责任期</w:t>
      </w:r>
      <w:r>
        <w:rPr>
          <w:rFonts w:hint="eastAsia" w:cs="宋体"/>
          <w:color w:val="auto"/>
          <w:sz w:val="21"/>
          <w:szCs w:val="21"/>
          <w:u w:val="single"/>
          <w:lang w:val="en-US" w:eastAsia="zh-CN"/>
        </w:rPr>
        <w:t>2</w:t>
      </w:r>
      <w:r>
        <w:rPr>
          <w:rFonts w:hint="eastAsia" w:cs="宋体"/>
          <w:color w:val="auto"/>
          <w:sz w:val="21"/>
          <w:szCs w:val="21"/>
          <w:u w:val="single"/>
        </w:rPr>
        <w:t>年）满后退回，保函有效期须与工程缺陷责任期截止时间保持一致。</w:t>
      </w:r>
    </w:p>
    <w:p w14:paraId="05E3FB81">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15.4 保修</w:t>
      </w:r>
    </w:p>
    <w:bookmarkEnd w:id="556"/>
    <w:p w14:paraId="2F2107B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15.4.1 保修责任</w:t>
      </w:r>
    </w:p>
    <w:p w14:paraId="459999C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工程保修期为：</w:t>
      </w:r>
      <w:r>
        <w:rPr>
          <w:rFonts w:hint="eastAsia" w:cs="宋体"/>
          <w:color w:val="auto"/>
          <w:sz w:val="21"/>
          <w:szCs w:val="21"/>
          <w:u w:val="single"/>
        </w:rPr>
        <w:t>执行《工程质量保修书》规定</w:t>
      </w:r>
      <w:r>
        <w:rPr>
          <w:rFonts w:hint="eastAsia" w:cs="宋体"/>
          <w:color w:val="auto"/>
          <w:sz w:val="21"/>
          <w:szCs w:val="21"/>
        </w:rPr>
        <w:t>。</w:t>
      </w:r>
    </w:p>
    <w:p w14:paraId="36B75D5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15.4.3 修复通知</w:t>
      </w:r>
    </w:p>
    <w:p w14:paraId="5E3B804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承包人收到保修通知并到达工程现场的合理时间：</w:t>
      </w:r>
      <w:r>
        <w:rPr>
          <w:rFonts w:hint="eastAsia" w:cs="宋体"/>
          <w:color w:val="auto"/>
          <w:sz w:val="21"/>
          <w:szCs w:val="21"/>
          <w:u w:val="single"/>
        </w:rPr>
        <w:t xml:space="preserve">                 </w:t>
      </w:r>
      <w:r>
        <w:rPr>
          <w:rFonts w:hint="eastAsia" w:cs="宋体"/>
          <w:color w:val="auto"/>
          <w:sz w:val="21"/>
          <w:szCs w:val="21"/>
        </w:rPr>
        <w:t>。</w:t>
      </w:r>
    </w:p>
    <w:bookmarkEnd w:id="557"/>
    <w:bookmarkEnd w:id="558"/>
    <w:bookmarkEnd w:id="559"/>
    <w:bookmarkEnd w:id="560"/>
    <w:p w14:paraId="2BB6D117">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583" w:name="_Toc351203648"/>
      <w:bookmarkStart w:id="584" w:name="_Toc280868717"/>
      <w:bookmarkStart w:id="585" w:name="_Toc280868718"/>
      <w:r>
        <w:rPr>
          <w:rFonts w:hint="eastAsia" w:cs="宋体"/>
          <w:color w:val="auto"/>
          <w:sz w:val="21"/>
          <w:szCs w:val="21"/>
        </w:rPr>
        <w:t>16. 违约</w:t>
      </w:r>
      <w:bookmarkEnd w:id="583"/>
    </w:p>
    <w:p w14:paraId="46A65CB8">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16.1 发包人违约</w:t>
      </w:r>
    </w:p>
    <w:p w14:paraId="580A768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16.1.1 发包人违约的情形</w:t>
      </w:r>
    </w:p>
    <w:p w14:paraId="04C384A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发包人违约的其他情形：</w:t>
      </w:r>
      <w:r>
        <w:rPr>
          <w:rFonts w:hint="eastAsia" w:cs="宋体"/>
          <w:color w:val="auto"/>
          <w:sz w:val="21"/>
          <w:szCs w:val="21"/>
          <w:u w:val="single"/>
        </w:rPr>
        <w:t xml:space="preserve">                                  </w:t>
      </w:r>
      <w:r>
        <w:rPr>
          <w:rFonts w:hint="eastAsia" w:cs="宋体"/>
          <w:color w:val="auto"/>
          <w:sz w:val="21"/>
          <w:szCs w:val="21"/>
        </w:rPr>
        <w:t>。</w:t>
      </w:r>
    </w:p>
    <w:p w14:paraId="32DAE85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16.1.2 发包人违约的责任</w:t>
      </w:r>
    </w:p>
    <w:p w14:paraId="5844AE4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发包人违约责任的承担方式和计算方法：</w:t>
      </w:r>
    </w:p>
    <w:p w14:paraId="70606C1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（1）因发包人原因未能在计划开工日期前7天内下达开工通知的违约责任：</w:t>
      </w:r>
      <w:r>
        <w:rPr>
          <w:rFonts w:hint="eastAsia" w:cs="宋体"/>
          <w:color w:val="auto"/>
          <w:sz w:val="21"/>
          <w:szCs w:val="21"/>
          <w:u w:val="single"/>
        </w:rPr>
        <w:t xml:space="preserve">     </w:t>
      </w:r>
      <w:r>
        <w:rPr>
          <w:rFonts w:hint="eastAsia" w:cs="宋体"/>
          <w:color w:val="auto"/>
          <w:sz w:val="21"/>
          <w:szCs w:val="21"/>
        </w:rPr>
        <w:t>。</w:t>
      </w:r>
    </w:p>
    <w:p w14:paraId="735DCA8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（2）因发包人原因未能按合同约定支付合同价款的违约责任：</w:t>
      </w:r>
      <w:r>
        <w:rPr>
          <w:rFonts w:hint="eastAsia" w:cs="宋体"/>
          <w:color w:val="auto"/>
          <w:sz w:val="21"/>
          <w:szCs w:val="21"/>
          <w:u w:val="single"/>
        </w:rPr>
        <w:t xml:space="preserve">      </w:t>
      </w:r>
      <w:r>
        <w:rPr>
          <w:rFonts w:hint="eastAsia" w:cs="宋体"/>
          <w:color w:val="auto"/>
          <w:sz w:val="21"/>
          <w:szCs w:val="21"/>
        </w:rPr>
        <w:t>。</w:t>
      </w:r>
    </w:p>
    <w:p w14:paraId="32C3A708">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u w:val="single"/>
        </w:rPr>
      </w:pPr>
      <w:r>
        <w:rPr>
          <w:rFonts w:hint="eastAsia" w:cs="宋体"/>
          <w:color w:val="auto"/>
          <w:sz w:val="21"/>
          <w:szCs w:val="21"/>
        </w:rPr>
        <w:t>（3）发包人违反第10.1款〔变更的范围〕第（2）项约定，自行实施被取消的工作或转由他人实施的违约责任：</w:t>
      </w:r>
      <w:r>
        <w:rPr>
          <w:rFonts w:hint="eastAsia" w:cs="宋体"/>
          <w:color w:val="auto"/>
          <w:sz w:val="21"/>
          <w:szCs w:val="21"/>
          <w:u w:val="single"/>
        </w:rPr>
        <w:t xml:space="preserve">          </w:t>
      </w:r>
      <w:r>
        <w:rPr>
          <w:rFonts w:hint="eastAsia" w:cs="宋体"/>
          <w:color w:val="auto"/>
          <w:sz w:val="21"/>
          <w:szCs w:val="21"/>
        </w:rPr>
        <w:t>。</w:t>
      </w:r>
    </w:p>
    <w:p w14:paraId="7D49357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（4）发包人提供的材料、工程设备的规格、数量或质量不符合合同约定，或因发包人原因导致交货日期延误或交货地点变更等情况的违约责任：</w:t>
      </w:r>
      <w:r>
        <w:rPr>
          <w:rFonts w:hint="eastAsia" w:cs="宋体"/>
          <w:color w:val="auto"/>
          <w:sz w:val="21"/>
          <w:szCs w:val="21"/>
          <w:u w:val="single"/>
        </w:rPr>
        <w:t xml:space="preserve">          </w:t>
      </w:r>
      <w:r>
        <w:rPr>
          <w:rFonts w:hint="eastAsia" w:cs="宋体"/>
          <w:color w:val="auto"/>
          <w:sz w:val="21"/>
          <w:szCs w:val="21"/>
        </w:rPr>
        <w:t>。</w:t>
      </w:r>
    </w:p>
    <w:p w14:paraId="00E7EA1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（5）因发包人违反合同约定造成暂停施工的违约责任：</w:t>
      </w:r>
      <w:r>
        <w:rPr>
          <w:rFonts w:hint="eastAsia" w:cs="宋体"/>
          <w:color w:val="auto"/>
          <w:sz w:val="21"/>
          <w:szCs w:val="21"/>
          <w:u w:val="single"/>
        </w:rPr>
        <w:t xml:space="preserve">          </w:t>
      </w:r>
      <w:r>
        <w:rPr>
          <w:rFonts w:hint="eastAsia" w:cs="宋体"/>
          <w:color w:val="auto"/>
          <w:sz w:val="21"/>
          <w:szCs w:val="21"/>
        </w:rPr>
        <w:t>。</w:t>
      </w:r>
    </w:p>
    <w:p w14:paraId="08A1F2A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（6）发包人无正当理由没有在约定期限内发出复工指示，导致承包人无法复工的违约责任：</w:t>
      </w:r>
      <w:r>
        <w:rPr>
          <w:rFonts w:hint="eastAsia" w:cs="宋体"/>
          <w:color w:val="auto"/>
          <w:sz w:val="21"/>
          <w:szCs w:val="21"/>
          <w:u w:val="single"/>
        </w:rPr>
        <w:t xml:space="preserve">          </w:t>
      </w:r>
      <w:r>
        <w:rPr>
          <w:rFonts w:hint="eastAsia" w:cs="宋体"/>
          <w:color w:val="auto"/>
          <w:sz w:val="21"/>
          <w:szCs w:val="21"/>
        </w:rPr>
        <w:t>。</w:t>
      </w:r>
    </w:p>
    <w:p w14:paraId="0119FC8B">
      <w:pPr>
        <w:pageBreakBefore w:val="0"/>
        <w:widowControl w:val="0"/>
        <w:kinsoku/>
        <w:wordWrap/>
        <w:overflowPunct/>
        <w:topLinePunct w:val="0"/>
        <w:bidi w:val="0"/>
        <w:adjustRightInd w:val="0"/>
        <w:snapToGrid w:val="0"/>
        <w:spacing w:line="440" w:lineRule="exact"/>
        <w:ind w:firstLine="420" w:firstLineChars="200"/>
        <w:textAlignment w:val="auto"/>
        <w:rPr>
          <w:rFonts w:hint="eastAsia" w:cs="宋体"/>
          <w:color w:val="auto"/>
          <w:sz w:val="21"/>
          <w:szCs w:val="21"/>
          <w:u w:val="single"/>
        </w:rPr>
      </w:pPr>
      <w:r>
        <w:rPr>
          <w:rFonts w:hint="eastAsia" w:cs="宋体"/>
          <w:color w:val="auto"/>
          <w:sz w:val="21"/>
          <w:szCs w:val="21"/>
        </w:rPr>
        <w:t>（7）其他：</w:t>
      </w:r>
      <w:r>
        <w:rPr>
          <w:rFonts w:hint="eastAsia" w:cs="宋体"/>
          <w:color w:val="auto"/>
          <w:sz w:val="21"/>
          <w:szCs w:val="21"/>
          <w:u w:val="single"/>
        </w:rPr>
        <w:t xml:space="preserve"> 除不可抗力外，如果发包人没有按照本合同约定的付款方式付款，那么承</w:t>
      </w:r>
    </w:p>
    <w:p w14:paraId="786D0E4C">
      <w:pPr>
        <w:pageBreakBefore w:val="0"/>
        <w:widowControl w:val="0"/>
        <w:kinsoku/>
        <w:wordWrap/>
        <w:overflowPunct/>
        <w:topLinePunct w:val="0"/>
        <w:bidi w:val="0"/>
        <w:adjustRightInd w:val="0"/>
        <w:snapToGrid w:val="0"/>
        <w:spacing w:line="440" w:lineRule="exact"/>
        <w:textAlignment w:val="auto"/>
        <w:rPr>
          <w:rFonts w:hint="eastAsia" w:cs="宋体"/>
          <w:color w:val="auto"/>
          <w:sz w:val="21"/>
          <w:szCs w:val="21"/>
          <w:u w:val="single"/>
        </w:rPr>
      </w:pPr>
      <w:r>
        <w:rPr>
          <w:rFonts w:hint="eastAsia" w:cs="宋体"/>
          <w:color w:val="auto"/>
          <w:sz w:val="21"/>
          <w:szCs w:val="21"/>
          <w:u w:val="single"/>
        </w:rPr>
        <w:t>包人可要求发包人支付违约金，违约金按每迟延付款一日的应付而未付款的 0.</w:t>
      </w:r>
      <w:r>
        <w:rPr>
          <w:rFonts w:hint="eastAsia" w:cs="宋体"/>
          <w:color w:val="auto"/>
          <w:sz w:val="21"/>
          <w:szCs w:val="21"/>
          <w:u w:val="single"/>
          <w:lang w:val="en-US" w:eastAsia="zh-CN"/>
        </w:rPr>
        <w:t>1</w:t>
      </w:r>
      <w:r>
        <w:rPr>
          <w:rFonts w:hint="eastAsia" w:cs="宋体"/>
          <w:color w:val="auto"/>
          <w:sz w:val="21"/>
          <w:szCs w:val="21"/>
          <w:u w:val="single"/>
        </w:rPr>
        <w:t xml:space="preserve"> %计算，最高限额为本合同总价的 5 %；迟延付款的违约金计算数额达到前述最高限额之日起，承包人</w:t>
      </w:r>
    </w:p>
    <w:p w14:paraId="161C2211">
      <w:pPr>
        <w:pageBreakBefore w:val="0"/>
        <w:widowControl w:val="0"/>
        <w:kinsoku/>
        <w:wordWrap/>
        <w:overflowPunct/>
        <w:topLinePunct w:val="0"/>
        <w:bidi w:val="0"/>
        <w:adjustRightInd w:val="0"/>
        <w:snapToGrid w:val="0"/>
        <w:spacing w:line="440" w:lineRule="exact"/>
        <w:textAlignment w:val="auto"/>
        <w:rPr>
          <w:rFonts w:cs="宋体"/>
          <w:color w:val="auto"/>
          <w:sz w:val="21"/>
          <w:szCs w:val="21"/>
        </w:rPr>
      </w:pPr>
      <w:r>
        <w:rPr>
          <w:rFonts w:hint="eastAsia" w:cs="宋体"/>
          <w:color w:val="auto"/>
          <w:sz w:val="21"/>
          <w:szCs w:val="21"/>
          <w:u w:val="single"/>
        </w:rPr>
        <w:t xml:space="preserve">有权在要求发包人支付违约金的同时，书面通知发包人解除本合同 </w:t>
      </w:r>
      <w:r>
        <w:rPr>
          <w:rFonts w:hint="eastAsia" w:cs="宋体"/>
          <w:color w:val="auto"/>
          <w:sz w:val="21"/>
          <w:szCs w:val="21"/>
        </w:rPr>
        <w:t>。</w:t>
      </w:r>
    </w:p>
    <w:p w14:paraId="6423706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16.1.3 因发包人违约解除合同</w:t>
      </w:r>
    </w:p>
    <w:p w14:paraId="4068C4E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承包人按16.1.1项〔发包人违约的情形〕约定暂停施工满</w:t>
      </w:r>
      <w:r>
        <w:rPr>
          <w:rFonts w:hint="eastAsia" w:cs="宋体"/>
          <w:color w:val="auto"/>
          <w:sz w:val="21"/>
          <w:szCs w:val="21"/>
          <w:u w:val="single"/>
        </w:rPr>
        <w:t>28</w:t>
      </w:r>
      <w:r>
        <w:rPr>
          <w:rFonts w:hint="eastAsia" w:cs="宋体"/>
          <w:color w:val="auto"/>
          <w:sz w:val="21"/>
          <w:szCs w:val="21"/>
        </w:rPr>
        <w:t>天后发包人仍不纠正其违约行为并致使合同目的不能实现的，承包人有权解除合同。</w:t>
      </w:r>
    </w:p>
    <w:p w14:paraId="01748E91">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16.2 承包人违约</w:t>
      </w:r>
    </w:p>
    <w:p w14:paraId="45D5972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16.2.1 承包人违约的情形</w:t>
      </w:r>
    </w:p>
    <w:p w14:paraId="405C241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承包人违约的其他情形：</w:t>
      </w:r>
      <w:r>
        <w:rPr>
          <w:rFonts w:hint="eastAsia" w:cs="宋体"/>
          <w:color w:val="auto"/>
          <w:sz w:val="21"/>
          <w:szCs w:val="21"/>
          <w:u w:val="single"/>
        </w:rPr>
        <w:t xml:space="preserve">     执行通用条款          </w:t>
      </w:r>
      <w:r>
        <w:rPr>
          <w:rFonts w:hint="eastAsia" w:cs="宋体"/>
          <w:color w:val="auto"/>
          <w:sz w:val="21"/>
          <w:szCs w:val="21"/>
        </w:rPr>
        <w:t>。</w:t>
      </w:r>
    </w:p>
    <w:p w14:paraId="64E68EF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16.2.2 承包人违约的责任</w:t>
      </w:r>
    </w:p>
    <w:p w14:paraId="0E9208C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承包人违约责任的承担方式和计算方法：</w:t>
      </w:r>
      <w:r>
        <w:rPr>
          <w:rFonts w:hint="eastAsia" w:ascii="宋体" w:hAnsi="宋体" w:eastAsia="宋体" w:cs="宋体"/>
          <w:color w:val="auto"/>
          <w:kern w:val="0"/>
          <w:sz w:val="21"/>
          <w:szCs w:val="21"/>
          <w:highlight w:val="none"/>
          <w:u w:val="single"/>
        </w:rPr>
        <w:t>由承包人承担全部费用并承担相关法律责任</w:t>
      </w:r>
      <w:r>
        <w:rPr>
          <w:rFonts w:hint="eastAsia" w:cs="宋体"/>
          <w:color w:val="auto"/>
          <w:sz w:val="21"/>
          <w:szCs w:val="21"/>
        </w:rPr>
        <w:t>。</w:t>
      </w:r>
    </w:p>
    <w:p w14:paraId="77B2B5B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16.2.3 因承包人违约解除合同</w:t>
      </w:r>
    </w:p>
    <w:p w14:paraId="09074B6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关于承包人违约解除合同的特别约定：</w:t>
      </w:r>
      <w:r>
        <w:rPr>
          <w:rFonts w:hint="eastAsia" w:ascii="宋体" w:hAnsi="宋体" w:eastAsia="宋体" w:cs="宋体"/>
          <w:color w:val="auto"/>
          <w:kern w:val="0"/>
          <w:sz w:val="21"/>
          <w:szCs w:val="21"/>
          <w:highlight w:val="none"/>
          <w:u w:val="single"/>
        </w:rPr>
        <w:t>除专用条款约定情形外，其余执行通用条款</w:t>
      </w:r>
      <w:r>
        <w:rPr>
          <w:rFonts w:hint="eastAsia" w:cs="宋体"/>
          <w:color w:val="auto"/>
          <w:sz w:val="21"/>
          <w:szCs w:val="21"/>
          <w:lang w:val="en-US" w:eastAsia="zh-CN"/>
        </w:rPr>
        <w:t xml:space="preserve"> </w:t>
      </w:r>
      <w:r>
        <w:rPr>
          <w:rFonts w:hint="eastAsia" w:cs="宋体"/>
          <w:color w:val="auto"/>
          <w:sz w:val="21"/>
          <w:szCs w:val="21"/>
        </w:rPr>
        <w:t>。</w:t>
      </w:r>
    </w:p>
    <w:p w14:paraId="4966860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发包人继续使用承包人在施工现场的材料、设备、临时工程、承包人文件和由承包人或以其名义编制的其他文件的费用承担方式：</w:t>
      </w:r>
      <w:r>
        <w:rPr>
          <w:rFonts w:hint="eastAsia" w:cs="宋体"/>
          <w:color w:val="auto"/>
          <w:sz w:val="21"/>
          <w:szCs w:val="21"/>
          <w:u w:val="single"/>
        </w:rPr>
        <w:t xml:space="preserve"> </w:t>
      </w:r>
      <w:r>
        <w:rPr>
          <w:rFonts w:hint="eastAsia" w:ascii="宋体" w:hAnsi="宋体" w:eastAsia="宋体" w:cs="宋体"/>
          <w:color w:val="auto"/>
          <w:kern w:val="0"/>
          <w:sz w:val="21"/>
          <w:szCs w:val="21"/>
          <w:highlight w:val="none"/>
          <w:u w:val="single"/>
        </w:rPr>
        <w:t>承包人承担费用</w:t>
      </w:r>
      <w:r>
        <w:rPr>
          <w:rFonts w:hint="eastAsia" w:cs="宋体"/>
          <w:color w:val="auto"/>
          <w:sz w:val="21"/>
          <w:szCs w:val="21"/>
          <w:u w:val="single"/>
        </w:rPr>
        <w:t xml:space="preserve"> </w:t>
      </w:r>
      <w:r>
        <w:rPr>
          <w:rFonts w:hint="eastAsia" w:cs="宋体"/>
          <w:color w:val="auto"/>
          <w:sz w:val="21"/>
          <w:szCs w:val="21"/>
        </w:rPr>
        <w:t>。</w:t>
      </w:r>
    </w:p>
    <w:p w14:paraId="66381170">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586" w:name="_Toc351203649"/>
      <w:r>
        <w:rPr>
          <w:rFonts w:hint="eastAsia" w:cs="宋体"/>
          <w:color w:val="auto"/>
          <w:sz w:val="21"/>
          <w:szCs w:val="21"/>
        </w:rPr>
        <w:t>17. 不可抗力</w:t>
      </w:r>
      <w:bookmarkEnd w:id="586"/>
      <w:r>
        <w:rPr>
          <w:rFonts w:hint="eastAsia" w:cs="宋体"/>
          <w:color w:val="auto"/>
          <w:sz w:val="21"/>
          <w:szCs w:val="21"/>
        </w:rPr>
        <w:t xml:space="preserve"> </w:t>
      </w:r>
      <w:bookmarkEnd w:id="584"/>
    </w:p>
    <w:p w14:paraId="64D83814">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17.1 不可抗力的确认</w:t>
      </w:r>
    </w:p>
    <w:p w14:paraId="524A68CB">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u w:val="single"/>
        </w:rPr>
      </w:pPr>
      <w:r>
        <w:rPr>
          <w:rFonts w:hint="eastAsia" w:cs="宋体"/>
          <w:color w:val="auto"/>
          <w:sz w:val="21"/>
          <w:szCs w:val="21"/>
        </w:rPr>
        <w:t>除通用合同条款约定的不可抗力事件之外，视为不可抗力的其他情形：</w:t>
      </w:r>
      <w:r>
        <w:rPr>
          <w:rFonts w:hint="eastAsia" w:cs="宋体"/>
          <w:color w:val="auto"/>
          <w:sz w:val="21"/>
          <w:szCs w:val="21"/>
          <w:u w:val="single"/>
        </w:rPr>
        <w:t>执行通用条款</w:t>
      </w:r>
      <w:r>
        <w:rPr>
          <w:rFonts w:hint="eastAsia" w:cs="宋体"/>
          <w:color w:val="auto"/>
          <w:sz w:val="21"/>
          <w:szCs w:val="21"/>
        </w:rPr>
        <w:t>。</w:t>
      </w:r>
    </w:p>
    <w:p w14:paraId="74F29347">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17.4 因不可抗力解除合同</w:t>
      </w:r>
    </w:p>
    <w:p w14:paraId="385FA90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合同解除后，发包人应在商定或确定发包人应支付款项后</w:t>
      </w:r>
      <w:r>
        <w:rPr>
          <w:rFonts w:hint="eastAsia" w:cs="宋体"/>
          <w:color w:val="auto"/>
          <w:sz w:val="21"/>
          <w:szCs w:val="21"/>
          <w:u w:val="single"/>
        </w:rPr>
        <w:t>28</w:t>
      </w:r>
      <w:r>
        <w:rPr>
          <w:rFonts w:hint="eastAsia" w:cs="宋体"/>
          <w:color w:val="auto"/>
          <w:sz w:val="21"/>
          <w:szCs w:val="21"/>
        </w:rPr>
        <w:t>天内完成款项的支付。</w:t>
      </w:r>
    </w:p>
    <w:p w14:paraId="41B2964E">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587" w:name="_Toc351203650"/>
      <w:r>
        <w:rPr>
          <w:rFonts w:hint="eastAsia" w:cs="宋体"/>
          <w:color w:val="auto"/>
          <w:sz w:val="21"/>
          <w:szCs w:val="21"/>
        </w:rPr>
        <w:t>18. 保险</w:t>
      </w:r>
      <w:bookmarkEnd w:id="587"/>
    </w:p>
    <w:bookmarkEnd w:id="585"/>
    <w:p w14:paraId="14BAED3E">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18.1 工程保险</w:t>
      </w:r>
    </w:p>
    <w:p w14:paraId="346E4D23">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rPr>
      </w:pPr>
      <w:r>
        <w:rPr>
          <w:rFonts w:hint="eastAsia" w:cs="宋体"/>
          <w:color w:val="auto"/>
          <w:sz w:val="21"/>
          <w:szCs w:val="21"/>
        </w:rPr>
        <w:t>关于工程保险的特别约定：</w:t>
      </w:r>
      <w:r>
        <w:rPr>
          <w:rFonts w:hint="eastAsia" w:cs="宋体"/>
          <w:color w:val="auto"/>
          <w:sz w:val="21"/>
          <w:szCs w:val="21"/>
          <w:u w:val="single"/>
          <w:lang w:val="en-US" w:eastAsia="zh-CN"/>
        </w:rPr>
        <w:t xml:space="preserve"> 承包人自行考虑</w:t>
      </w:r>
      <w:r>
        <w:rPr>
          <w:rFonts w:hint="eastAsia" w:cs="宋体"/>
          <w:color w:val="auto"/>
          <w:sz w:val="21"/>
          <w:szCs w:val="21"/>
          <w:lang w:val="en-US" w:eastAsia="zh-CN"/>
        </w:rPr>
        <w:t xml:space="preserve"> </w:t>
      </w:r>
      <w:r>
        <w:rPr>
          <w:rFonts w:hint="eastAsia" w:cs="宋体"/>
          <w:b w:val="0"/>
          <w:bCs/>
          <w:color w:val="auto"/>
          <w:sz w:val="21"/>
          <w:szCs w:val="21"/>
        </w:rPr>
        <w:t>。</w:t>
      </w:r>
    </w:p>
    <w:p w14:paraId="3AEFFF36">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18.3 其他保险</w:t>
      </w:r>
    </w:p>
    <w:p w14:paraId="1DEB2853">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关于其他保险的约定：</w:t>
      </w:r>
      <w:r>
        <w:rPr>
          <w:rFonts w:hint="eastAsia" w:cs="宋体"/>
          <w:color w:val="auto"/>
          <w:sz w:val="21"/>
          <w:szCs w:val="21"/>
          <w:u w:val="single"/>
        </w:rPr>
        <w:t>承包人须为其施工现场的全部人员办理意外伤害保险并支付保险费，包括其员工及为履行合同聘请的第三方的人员</w:t>
      </w:r>
      <w:r>
        <w:rPr>
          <w:rFonts w:hint="eastAsia" w:cs="宋体"/>
          <w:color w:val="auto"/>
          <w:sz w:val="21"/>
          <w:szCs w:val="21"/>
        </w:rPr>
        <w:t>。</w:t>
      </w:r>
    </w:p>
    <w:p w14:paraId="09A617C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承包人是否应为其施工设备等办理财产保险：</w:t>
      </w:r>
      <w:r>
        <w:rPr>
          <w:rFonts w:hint="eastAsia" w:cs="宋体"/>
          <w:color w:val="auto"/>
          <w:sz w:val="21"/>
          <w:szCs w:val="21"/>
          <w:u w:val="single"/>
        </w:rPr>
        <w:t>执行通用条款</w:t>
      </w:r>
      <w:r>
        <w:rPr>
          <w:rFonts w:hint="eastAsia" w:cs="宋体"/>
          <w:color w:val="auto"/>
          <w:sz w:val="21"/>
          <w:szCs w:val="21"/>
        </w:rPr>
        <w:t>。</w:t>
      </w:r>
    </w:p>
    <w:p w14:paraId="76F1AD2F">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18.7 通知义务</w:t>
      </w:r>
    </w:p>
    <w:p w14:paraId="711039DB">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u w:val="single"/>
        </w:rPr>
      </w:pPr>
      <w:r>
        <w:rPr>
          <w:rFonts w:hint="eastAsia" w:cs="宋体"/>
          <w:color w:val="auto"/>
          <w:sz w:val="21"/>
          <w:szCs w:val="21"/>
        </w:rPr>
        <w:t>关于变更保险合同时的通知义务的约定：</w:t>
      </w:r>
      <w:r>
        <w:rPr>
          <w:rFonts w:hint="eastAsia" w:cs="宋体"/>
          <w:color w:val="auto"/>
          <w:sz w:val="21"/>
          <w:szCs w:val="21"/>
          <w:u w:val="single"/>
        </w:rPr>
        <w:t>执行通用条款</w:t>
      </w:r>
      <w:r>
        <w:rPr>
          <w:rFonts w:hint="eastAsia" w:cs="宋体"/>
          <w:color w:val="auto"/>
          <w:sz w:val="21"/>
          <w:szCs w:val="21"/>
        </w:rPr>
        <w:t>。</w:t>
      </w:r>
    </w:p>
    <w:bookmarkEnd w:id="561"/>
    <w:bookmarkEnd w:id="562"/>
    <w:bookmarkEnd w:id="563"/>
    <w:bookmarkEnd w:id="564"/>
    <w:bookmarkEnd w:id="565"/>
    <w:bookmarkEnd w:id="566"/>
    <w:bookmarkEnd w:id="567"/>
    <w:bookmarkEnd w:id="568"/>
    <w:bookmarkEnd w:id="569"/>
    <w:bookmarkEnd w:id="570"/>
    <w:bookmarkEnd w:id="571"/>
    <w:bookmarkEnd w:id="572"/>
    <w:p w14:paraId="5593806A">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588" w:name="_Toc351203651"/>
      <w:r>
        <w:rPr>
          <w:rFonts w:hint="eastAsia" w:cs="宋体"/>
          <w:color w:val="auto"/>
          <w:sz w:val="21"/>
          <w:szCs w:val="21"/>
        </w:rPr>
        <w:t>20. 争议解决</w:t>
      </w:r>
      <w:bookmarkEnd w:id="588"/>
    </w:p>
    <w:bookmarkEnd w:id="573"/>
    <w:bookmarkEnd w:id="574"/>
    <w:p w14:paraId="15F7150A">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20.3 争</w:t>
      </w:r>
      <w:bookmarkEnd w:id="575"/>
      <w:r>
        <w:rPr>
          <w:rFonts w:hint="eastAsia" w:cs="宋体"/>
          <w:bCs/>
          <w:color w:val="auto"/>
          <w:sz w:val="21"/>
          <w:szCs w:val="21"/>
        </w:rPr>
        <w:t>议评审</w:t>
      </w:r>
    </w:p>
    <w:p w14:paraId="11950E8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合同当事人是否同意将工程争议提交争议评审小组决定：</w:t>
      </w:r>
      <w:r>
        <w:rPr>
          <w:rFonts w:hint="eastAsia" w:cs="宋体"/>
          <w:color w:val="auto"/>
          <w:sz w:val="21"/>
          <w:szCs w:val="21"/>
          <w:u w:val="single"/>
        </w:rPr>
        <w:t xml:space="preserve">               </w:t>
      </w:r>
      <w:r>
        <w:rPr>
          <w:rFonts w:hint="eastAsia" w:cs="宋体"/>
          <w:color w:val="auto"/>
          <w:sz w:val="21"/>
          <w:szCs w:val="21"/>
        </w:rPr>
        <w:t>。</w:t>
      </w:r>
    </w:p>
    <w:p w14:paraId="00B4CBB5">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20.3.1 争议评审小组的确定</w:t>
      </w:r>
    </w:p>
    <w:p w14:paraId="443D250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争议评审小组成员的确定：</w:t>
      </w:r>
      <w:r>
        <w:rPr>
          <w:rFonts w:hint="eastAsia" w:cs="宋体"/>
          <w:color w:val="auto"/>
          <w:sz w:val="21"/>
          <w:szCs w:val="21"/>
          <w:u w:val="single"/>
        </w:rPr>
        <w:t xml:space="preserve">                             </w:t>
      </w:r>
      <w:r>
        <w:rPr>
          <w:rFonts w:hint="eastAsia" w:cs="宋体"/>
          <w:color w:val="auto"/>
          <w:sz w:val="21"/>
          <w:szCs w:val="21"/>
        </w:rPr>
        <w:t>。</w:t>
      </w:r>
    </w:p>
    <w:p w14:paraId="5B052E3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选定争议评审员的期限：</w:t>
      </w:r>
      <w:r>
        <w:rPr>
          <w:rFonts w:hint="eastAsia" w:cs="宋体"/>
          <w:color w:val="auto"/>
          <w:sz w:val="21"/>
          <w:szCs w:val="21"/>
          <w:u w:val="single"/>
        </w:rPr>
        <w:t xml:space="preserve">                               </w:t>
      </w:r>
      <w:r>
        <w:rPr>
          <w:rFonts w:hint="eastAsia" w:cs="宋体"/>
          <w:color w:val="auto"/>
          <w:sz w:val="21"/>
          <w:szCs w:val="21"/>
        </w:rPr>
        <w:t>。</w:t>
      </w:r>
    </w:p>
    <w:p w14:paraId="3AF1B4E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争议评审小组成员的报酬承担方式：</w:t>
      </w:r>
      <w:r>
        <w:rPr>
          <w:rFonts w:hint="eastAsia" w:cs="宋体"/>
          <w:color w:val="auto"/>
          <w:sz w:val="21"/>
          <w:szCs w:val="21"/>
          <w:u w:val="single"/>
        </w:rPr>
        <w:t xml:space="preserve">                     </w:t>
      </w:r>
      <w:r>
        <w:rPr>
          <w:rFonts w:hint="eastAsia" w:cs="宋体"/>
          <w:color w:val="auto"/>
          <w:sz w:val="21"/>
          <w:szCs w:val="21"/>
        </w:rPr>
        <w:t>。</w:t>
      </w:r>
    </w:p>
    <w:p w14:paraId="7B455C9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其他事项的约定：</w:t>
      </w:r>
      <w:r>
        <w:rPr>
          <w:rFonts w:hint="eastAsia" w:cs="宋体"/>
          <w:color w:val="auto"/>
          <w:sz w:val="21"/>
          <w:szCs w:val="21"/>
          <w:u w:val="single"/>
        </w:rPr>
        <w:t xml:space="preserve">                                     </w:t>
      </w:r>
      <w:r>
        <w:rPr>
          <w:rFonts w:hint="eastAsia" w:cs="宋体"/>
          <w:color w:val="auto"/>
          <w:sz w:val="21"/>
          <w:szCs w:val="21"/>
        </w:rPr>
        <w:t>。</w:t>
      </w:r>
    </w:p>
    <w:p w14:paraId="3F43AEB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20.3.2 争议评审小组的决定</w:t>
      </w:r>
    </w:p>
    <w:p w14:paraId="6865E48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合同当事人关于本项的约定：</w:t>
      </w:r>
      <w:r>
        <w:rPr>
          <w:rFonts w:hint="eastAsia" w:cs="宋体"/>
          <w:color w:val="auto"/>
          <w:sz w:val="21"/>
          <w:szCs w:val="21"/>
          <w:u w:val="single"/>
        </w:rPr>
        <w:t xml:space="preserve">                           </w:t>
      </w:r>
      <w:r>
        <w:rPr>
          <w:rFonts w:hint="eastAsia" w:cs="宋体"/>
          <w:color w:val="auto"/>
          <w:sz w:val="21"/>
          <w:szCs w:val="21"/>
        </w:rPr>
        <w:t>。</w:t>
      </w:r>
    </w:p>
    <w:p w14:paraId="312A0932">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20.4 仲裁或诉讼</w:t>
      </w:r>
      <w:bookmarkEnd w:id="576"/>
    </w:p>
    <w:bookmarkEnd w:id="577"/>
    <w:bookmarkEnd w:id="578"/>
    <w:bookmarkEnd w:id="579"/>
    <w:bookmarkEnd w:id="580"/>
    <w:bookmarkEnd w:id="581"/>
    <w:bookmarkEnd w:id="582"/>
    <w:p w14:paraId="4A16039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因合同及合同有关事项发生的争议，按下列</w:t>
      </w:r>
      <w:r>
        <w:rPr>
          <w:rFonts w:hint="eastAsia" w:cs="宋体"/>
          <w:b/>
          <w:bCs/>
          <w:color w:val="auto"/>
          <w:sz w:val="21"/>
          <w:szCs w:val="21"/>
        </w:rPr>
        <w:t>第</w:t>
      </w:r>
      <w:r>
        <w:rPr>
          <w:rFonts w:hint="eastAsia" w:cs="宋体"/>
          <w:b/>
          <w:bCs/>
          <w:color w:val="auto"/>
          <w:sz w:val="21"/>
          <w:szCs w:val="21"/>
          <w:u w:val="single"/>
        </w:rPr>
        <w:t xml:space="preserve"> 2 </w:t>
      </w:r>
      <w:r>
        <w:rPr>
          <w:rFonts w:hint="eastAsia" w:cs="宋体"/>
          <w:b/>
          <w:bCs/>
          <w:color w:val="auto"/>
          <w:sz w:val="21"/>
          <w:szCs w:val="21"/>
        </w:rPr>
        <w:t>种</w:t>
      </w:r>
      <w:r>
        <w:rPr>
          <w:rFonts w:hint="eastAsia" w:cs="宋体"/>
          <w:color w:val="auto"/>
          <w:sz w:val="21"/>
          <w:szCs w:val="21"/>
        </w:rPr>
        <w:t>方式解决：</w:t>
      </w:r>
    </w:p>
    <w:p w14:paraId="624B9896">
      <w:pPr>
        <w:pageBreakBefore w:val="0"/>
        <w:widowControl w:val="0"/>
        <w:numPr>
          <w:ilvl w:val="0"/>
          <w:numId w:val="3"/>
        </w:numPr>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向</w:t>
      </w:r>
      <w:r>
        <w:rPr>
          <w:rFonts w:hint="eastAsia" w:cs="宋体"/>
          <w:color w:val="auto"/>
          <w:sz w:val="21"/>
          <w:szCs w:val="21"/>
          <w:u w:val="single"/>
        </w:rPr>
        <w:t xml:space="preserve"> </w:t>
      </w:r>
      <w:r>
        <w:rPr>
          <w:rFonts w:hint="eastAsia" w:cs="宋体"/>
          <w:color w:val="auto"/>
          <w:sz w:val="21"/>
          <w:szCs w:val="21"/>
          <w:u w:val="single"/>
          <w:lang w:val="en-US" w:eastAsia="zh-CN"/>
        </w:rPr>
        <w:t>滁州</w:t>
      </w:r>
      <w:r>
        <w:rPr>
          <w:rFonts w:hint="eastAsia" w:cs="宋体"/>
          <w:color w:val="auto"/>
          <w:sz w:val="21"/>
          <w:szCs w:val="21"/>
          <w:u w:val="single"/>
        </w:rPr>
        <w:t xml:space="preserve"> </w:t>
      </w:r>
      <w:r>
        <w:rPr>
          <w:rFonts w:hint="eastAsia" w:cs="宋体"/>
          <w:color w:val="auto"/>
          <w:sz w:val="21"/>
          <w:szCs w:val="21"/>
        </w:rPr>
        <w:t>仲裁委员会申请仲裁；</w:t>
      </w:r>
    </w:p>
    <w:p w14:paraId="2784F3D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（2）向</w:t>
      </w:r>
      <w:r>
        <w:rPr>
          <w:rFonts w:hint="eastAsia" w:cs="宋体"/>
          <w:color w:val="auto"/>
          <w:sz w:val="21"/>
          <w:szCs w:val="21"/>
          <w:u w:val="single"/>
        </w:rPr>
        <w:t>工程所在地</w:t>
      </w:r>
      <w:r>
        <w:rPr>
          <w:rFonts w:hint="eastAsia" w:cs="宋体"/>
          <w:color w:val="auto"/>
          <w:sz w:val="21"/>
          <w:szCs w:val="21"/>
        </w:rPr>
        <w:t>人民法院起诉。</w:t>
      </w:r>
    </w:p>
    <w:p w14:paraId="2F42D710">
      <w:pPr>
        <w:pageBreakBefore w:val="0"/>
        <w:widowControl w:val="0"/>
        <w:kinsoku/>
        <w:wordWrap/>
        <w:overflowPunct/>
        <w:topLinePunct w:val="0"/>
        <w:bidi w:val="0"/>
        <w:snapToGrid w:val="0"/>
        <w:spacing w:line="440" w:lineRule="exact"/>
        <w:textAlignment w:val="auto"/>
        <w:outlineLvl w:val="2"/>
        <w:rPr>
          <w:rFonts w:hint="eastAsia" w:cs="宋体"/>
          <w:color w:val="auto"/>
          <w:sz w:val="21"/>
          <w:szCs w:val="21"/>
        </w:rPr>
      </w:pPr>
      <w:r>
        <w:rPr>
          <w:rFonts w:hint="eastAsia" w:cs="宋体"/>
          <w:color w:val="auto"/>
          <w:sz w:val="21"/>
          <w:szCs w:val="21"/>
        </w:rPr>
        <w:t xml:space="preserve">21. 补充条款 </w:t>
      </w:r>
    </w:p>
    <w:p w14:paraId="26E62CB4">
      <w:pPr>
        <w:pageBreakBefore w:val="0"/>
        <w:widowControl w:val="0"/>
        <w:kinsoku/>
        <w:wordWrap/>
        <w:overflowPunct/>
        <w:topLinePunct w:val="0"/>
        <w:bidi w:val="0"/>
        <w:snapToGrid w:val="0"/>
        <w:spacing w:line="440" w:lineRule="exact"/>
        <w:textAlignment w:val="auto"/>
        <w:outlineLvl w:val="2"/>
        <w:rPr>
          <w:rFonts w:cs="宋体"/>
          <w:b/>
          <w:color w:val="auto"/>
          <w:sz w:val="21"/>
          <w:szCs w:val="21"/>
        </w:rPr>
      </w:pP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p>
    <w:p w14:paraId="27C572DA">
      <w:pPr>
        <w:snapToGrid w:val="0"/>
        <w:spacing w:line="360" w:lineRule="auto"/>
        <w:rPr>
          <w:rFonts w:hint="eastAsia" w:cs="宋体"/>
          <w:color w:val="auto"/>
          <w:sz w:val="21"/>
          <w:szCs w:val="21"/>
        </w:rPr>
      </w:pPr>
    </w:p>
    <w:p w14:paraId="174AE378">
      <w:pPr>
        <w:snapToGrid w:val="0"/>
        <w:spacing w:line="360" w:lineRule="auto"/>
        <w:rPr>
          <w:rFonts w:hint="eastAsia" w:cs="宋体"/>
          <w:color w:val="auto"/>
          <w:sz w:val="21"/>
          <w:szCs w:val="21"/>
        </w:rPr>
      </w:pPr>
    </w:p>
    <w:p w14:paraId="4555A1EE">
      <w:pPr>
        <w:snapToGrid w:val="0"/>
        <w:spacing w:line="360" w:lineRule="auto"/>
        <w:rPr>
          <w:rFonts w:hint="eastAsia" w:cs="宋体"/>
          <w:color w:val="auto"/>
          <w:sz w:val="21"/>
          <w:szCs w:val="21"/>
        </w:rPr>
      </w:pPr>
    </w:p>
    <w:p w14:paraId="72C033D6">
      <w:pPr>
        <w:snapToGrid w:val="0"/>
        <w:spacing w:line="360" w:lineRule="auto"/>
        <w:rPr>
          <w:rFonts w:hint="eastAsia" w:cs="宋体"/>
          <w:color w:val="auto"/>
          <w:sz w:val="21"/>
          <w:szCs w:val="21"/>
        </w:rPr>
      </w:pPr>
    </w:p>
    <w:p w14:paraId="5A1FB287">
      <w:pPr>
        <w:snapToGrid w:val="0"/>
        <w:spacing w:line="360" w:lineRule="auto"/>
        <w:rPr>
          <w:rFonts w:hint="eastAsia" w:cs="宋体"/>
          <w:color w:val="auto"/>
          <w:sz w:val="21"/>
          <w:szCs w:val="21"/>
        </w:rPr>
      </w:pPr>
    </w:p>
    <w:p w14:paraId="4E310639">
      <w:pPr>
        <w:snapToGrid w:val="0"/>
        <w:spacing w:line="360" w:lineRule="auto"/>
        <w:rPr>
          <w:rFonts w:cs="宋体"/>
          <w:color w:val="auto"/>
          <w:sz w:val="21"/>
          <w:szCs w:val="21"/>
        </w:rPr>
      </w:pPr>
      <w:r>
        <w:rPr>
          <w:rFonts w:hint="eastAsia" w:cs="宋体"/>
          <w:color w:val="auto"/>
          <w:sz w:val="21"/>
          <w:szCs w:val="21"/>
        </w:rPr>
        <w:t>发包人：  （公章）                         承包人：  （公章）</w:t>
      </w:r>
    </w:p>
    <w:p w14:paraId="2852C5EF">
      <w:pPr>
        <w:snapToGrid w:val="0"/>
        <w:spacing w:line="360" w:lineRule="auto"/>
        <w:rPr>
          <w:rFonts w:hint="eastAsia" w:cs="宋体"/>
          <w:color w:val="auto"/>
          <w:sz w:val="21"/>
          <w:szCs w:val="21"/>
        </w:rPr>
      </w:pPr>
      <w:r>
        <w:rPr>
          <w:rFonts w:hint="eastAsia" w:cs="宋体"/>
          <w:color w:val="auto"/>
          <w:sz w:val="21"/>
          <w:szCs w:val="21"/>
        </w:rPr>
        <w:t>法定代表人或其委托代理人：                 法定代表人或其委托代理人：</w:t>
      </w:r>
    </w:p>
    <w:p w14:paraId="4514A2F9">
      <w:pPr>
        <w:snapToGrid w:val="0"/>
        <w:spacing w:line="360" w:lineRule="auto"/>
        <w:rPr>
          <w:rFonts w:cs="宋体"/>
          <w:color w:val="auto"/>
          <w:sz w:val="21"/>
          <w:szCs w:val="21"/>
        </w:rPr>
      </w:pPr>
      <w:r>
        <w:rPr>
          <w:rFonts w:hint="eastAsia" w:cs="宋体"/>
          <w:color w:val="auto"/>
          <w:sz w:val="21"/>
          <w:szCs w:val="21"/>
        </w:rPr>
        <w:t xml:space="preserve">（签字）                                  </w:t>
      </w:r>
      <w:r>
        <w:rPr>
          <w:rFonts w:hint="eastAsia" w:cs="宋体"/>
          <w:color w:val="auto"/>
          <w:sz w:val="21"/>
          <w:szCs w:val="21"/>
          <w:lang w:val="en-US" w:eastAsia="zh-CN"/>
        </w:rPr>
        <w:t xml:space="preserve"> </w:t>
      </w:r>
      <w:r>
        <w:rPr>
          <w:rFonts w:hint="eastAsia" w:cs="宋体"/>
          <w:color w:val="auto"/>
          <w:sz w:val="21"/>
          <w:szCs w:val="21"/>
        </w:rPr>
        <w:t>（签字）</w:t>
      </w:r>
    </w:p>
    <w:p w14:paraId="346DF794">
      <w:pPr>
        <w:snapToGrid w:val="0"/>
        <w:spacing w:line="360" w:lineRule="auto"/>
        <w:rPr>
          <w:rFonts w:cs="宋体"/>
          <w:color w:val="auto"/>
          <w:sz w:val="21"/>
          <w:szCs w:val="21"/>
        </w:rPr>
      </w:pPr>
      <w:r>
        <w:rPr>
          <w:rFonts w:hint="eastAsia" w:cs="宋体"/>
          <w:color w:val="auto"/>
          <w:sz w:val="21"/>
          <w:szCs w:val="21"/>
        </w:rPr>
        <w:t>组织机构代码：</w:t>
      </w:r>
      <w:r>
        <w:rPr>
          <w:rFonts w:hint="eastAsia" w:cs="宋体"/>
          <w:color w:val="auto"/>
          <w:sz w:val="21"/>
          <w:szCs w:val="21"/>
          <w:u w:val="single"/>
        </w:rPr>
        <w:t xml:space="preserve">       </w:t>
      </w:r>
      <w:r>
        <w:rPr>
          <w:rFonts w:hint="eastAsia" w:cs="宋体"/>
          <w:color w:val="auto"/>
          <w:sz w:val="21"/>
          <w:szCs w:val="21"/>
        </w:rPr>
        <w:t xml:space="preserve">                组织机构代码：</w:t>
      </w:r>
      <w:r>
        <w:rPr>
          <w:rFonts w:hint="eastAsia" w:cs="宋体"/>
          <w:color w:val="auto"/>
          <w:sz w:val="21"/>
          <w:szCs w:val="21"/>
          <w:u w:val="single"/>
        </w:rPr>
        <w:t xml:space="preserve">          </w:t>
      </w:r>
      <w:r>
        <w:rPr>
          <w:rFonts w:hint="eastAsia" w:cs="宋体"/>
          <w:color w:val="auto"/>
          <w:sz w:val="21"/>
          <w:szCs w:val="21"/>
        </w:rPr>
        <w:t xml:space="preserve"> </w:t>
      </w:r>
    </w:p>
    <w:p w14:paraId="0E65AEA1">
      <w:pPr>
        <w:snapToGrid w:val="0"/>
        <w:spacing w:line="360" w:lineRule="auto"/>
        <w:rPr>
          <w:rFonts w:cs="宋体"/>
          <w:color w:val="auto"/>
          <w:sz w:val="21"/>
          <w:szCs w:val="21"/>
        </w:rPr>
      </w:pPr>
      <w:r>
        <w:rPr>
          <w:rFonts w:hint="eastAsia" w:cs="宋体"/>
          <w:color w:val="auto"/>
          <w:sz w:val="21"/>
          <w:szCs w:val="21"/>
        </w:rPr>
        <w:t>地  址：</w:t>
      </w:r>
      <w:r>
        <w:rPr>
          <w:rFonts w:hint="eastAsia" w:cs="宋体"/>
          <w:color w:val="auto"/>
          <w:sz w:val="21"/>
          <w:szCs w:val="21"/>
          <w:u w:val="single"/>
        </w:rPr>
        <w:t xml:space="preserve">     </w:t>
      </w:r>
      <w:r>
        <w:rPr>
          <w:rFonts w:hint="eastAsia" w:cs="宋体"/>
          <w:color w:val="auto"/>
          <w:sz w:val="21"/>
          <w:szCs w:val="21"/>
        </w:rPr>
        <w:t xml:space="preserve">                地  址：</w:t>
      </w:r>
      <w:r>
        <w:rPr>
          <w:rFonts w:hint="eastAsia" w:cs="宋体"/>
          <w:color w:val="auto"/>
          <w:sz w:val="21"/>
          <w:szCs w:val="21"/>
          <w:u w:val="single"/>
        </w:rPr>
        <w:t xml:space="preserve">        </w:t>
      </w:r>
    </w:p>
    <w:p w14:paraId="31F3F858">
      <w:pPr>
        <w:snapToGrid w:val="0"/>
        <w:spacing w:line="360" w:lineRule="auto"/>
        <w:rPr>
          <w:rFonts w:cs="宋体"/>
          <w:color w:val="auto"/>
          <w:sz w:val="21"/>
          <w:szCs w:val="21"/>
        </w:rPr>
      </w:pPr>
      <w:r>
        <w:rPr>
          <w:rFonts w:hint="eastAsia" w:cs="宋体"/>
          <w:color w:val="auto"/>
          <w:sz w:val="21"/>
          <w:szCs w:val="21"/>
        </w:rPr>
        <w:t>邮政编码：</w:t>
      </w:r>
      <w:r>
        <w:rPr>
          <w:rFonts w:hint="eastAsia" w:cs="宋体"/>
          <w:color w:val="auto"/>
          <w:sz w:val="21"/>
          <w:szCs w:val="21"/>
          <w:u w:val="single"/>
        </w:rPr>
        <w:t xml:space="preserve">      </w:t>
      </w:r>
      <w:r>
        <w:rPr>
          <w:rFonts w:hint="eastAsia" w:cs="宋体"/>
          <w:color w:val="auto"/>
          <w:sz w:val="21"/>
          <w:szCs w:val="21"/>
        </w:rPr>
        <w:t xml:space="preserve">               邮政编码：</w:t>
      </w:r>
      <w:r>
        <w:rPr>
          <w:rFonts w:hint="eastAsia" w:cs="宋体"/>
          <w:color w:val="auto"/>
          <w:sz w:val="21"/>
          <w:szCs w:val="21"/>
          <w:u w:val="single"/>
        </w:rPr>
        <w:t xml:space="preserve">   </w:t>
      </w:r>
    </w:p>
    <w:p w14:paraId="255D8EC0">
      <w:pPr>
        <w:snapToGrid w:val="0"/>
        <w:spacing w:line="360" w:lineRule="auto"/>
        <w:rPr>
          <w:rFonts w:cs="宋体"/>
          <w:color w:val="auto"/>
          <w:sz w:val="21"/>
          <w:szCs w:val="21"/>
        </w:rPr>
      </w:pPr>
      <w:r>
        <w:rPr>
          <w:rFonts w:hint="eastAsia" w:cs="宋体"/>
          <w:color w:val="auto"/>
          <w:sz w:val="21"/>
          <w:szCs w:val="21"/>
        </w:rPr>
        <w:t>法定代表人：</w:t>
      </w:r>
      <w:r>
        <w:rPr>
          <w:rFonts w:hint="eastAsia" w:cs="宋体"/>
          <w:color w:val="auto"/>
          <w:sz w:val="21"/>
          <w:szCs w:val="21"/>
          <w:u w:val="single"/>
        </w:rPr>
        <w:t xml:space="preserve">           </w:t>
      </w:r>
      <w:r>
        <w:rPr>
          <w:rFonts w:hint="eastAsia" w:cs="宋体"/>
          <w:color w:val="auto"/>
          <w:sz w:val="21"/>
          <w:szCs w:val="21"/>
        </w:rPr>
        <w:t xml:space="preserve">                法定代表人：</w:t>
      </w:r>
      <w:r>
        <w:rPr>
          <w:rFonts w:hint="eastAsia" w:cs="宋体"/>
          <w:color w:val="auto"/>
          <w:sz w:val="21"/>
          <w:szCs w:val="21"/>
          <w:u w:val="single"/>
        </w:rPr>
        <w:t xml:space="preserve">             </w:t>
      </w:r>
    </w:p>
    <w:p w14:paraId="19F49456">
      <w:pPr>
        <w:snapToGrid w:val="0"/>
        <w:spacing w:line="360" w:lineRule="auto"/>
        <w:rPr>
          <w:rFonts w:cs="宋体"/>
          <w:color w:val="auto"/>
          <w:sz w:val="21"/>
          <w:szCs w:val="21"/>
        </w:rPr>
      </w:pPr>
      <w:r>
        <w:rPr>
          <w:rFonts w:hint="eastAsia" w:cs="宋体"/>
          <w:color w:val="auto"/>
          <w:sz w:val="21"/>
          <w:szCs w:val="21"/>
        </w:rPr>
        <w:t>委托代理人：</w:t>
      </w:r>
      <w:r>
        <w:rPr>
          <w:rFonts w:hint="eastAsia" w:cs="宋体"/>
          <w:color w:val="auto"/>
          <w:sz w:val="21"/>
          <w:szCs w:val="21"/>
          <w:u w:val="single"/>
        </w:rPr>
        <w:t xml:space="preserve">           </w:t>
      </w:r>
      <w:r>
        <w:rPr>
          <w:rFonts w:hint="eastAsia" w:cs="宋体"/>
          <w:color w:val="auto"/>
          <w:sz w:val="21"/>
          <w:szCs w:val="21"/>
        </w:rPr>
        <w:t xml:space="preserve">                委托代理人：</w:t>
      </w:r>
      <w:r>
        <w:rPr>
          <w:rFonts w:hint="eastAsia" w:cs="宋体"/>
          <w:color w:val="auto"/>
          <w:sz w:val="21"/>
          <w:szCs w:val="21"/>
          <w:u w:val="single"/>
        </w:rPr>
        <w:t xml:space="preserve">             </w:t>
      </w:r>
    </w:p>
    <w:p w14:paraId="22387D20">
      <w:pPr>
        <w:snapToGrid w:val="0"/>
        <w:spacing w:line="360" w:lineRule="auto"/>
        <w:rPr>
          <w:rFonts w:cs="宋体"/>
          <w:color w:val="auto"/>
          <w:sz w:val="21"/>
          <w:szCs w:val="21"/>
        </w:rPr>
      </w:pPr>
      <w:r>
        <w:rPr>
          <w:rFonts w:hint="eastAsia" w:cs="宋体"/>
          <w:color w:val="auto"/>
          <w:sz w:val="21"/>
          <w:szCs w:val="21"/>
        </w:rPr>
        <w:t>电  话：</w:t>
      </w:r>
      <w:r>
        <w:rPr>
          <w:rFonts w:hint="eastAsia" w:cs="宋体"/>
          <w:color w:val="auto"/>
          <w:sz w:val="21"/>
          <w:szCs w:val="21"/>
          <w:u w:val="single"/>
        </w:rPr>
        <w:t xml:space="preserve">   </w:t>
      </w:r>
      <w:r>
        <w:rPr>
          <w:rFonts w:hint="eastAsia" w:cs="宋体"/>
          <w:color w:val="auto"/>
          <w:sz w:val="21"/>
          <w:szCs w:val="21"/>
        </w:rPr>
        <w:t xml:space="preserve">                电  话：</w:t>
      </w:r>
      <w:r>
        <w:rPr>
          <w:rFonts w:hint="eastAsia" w:cs="宋体"/>
          <w:color w:val="auto"/>
          <w:sz w:val="21"/>
          <w:szCs w:val="21"/>
          <w:u w:val="single"/>
        </w:rPr>
        <w:t xml:space="preserve">     </w:t>
      </w:r>
    </w:p>
    <w:p w14:paraId="658EDA7C">
      <w:pPr>
        <w:snapToGrid w:val="0"/>
        <w:spacing w:line="360" w:lineRule="auto"/>
        <w:rPr>
          <w:rFonts w:cs="宋体"/>
          <w:color w:val="auto"/>
          <w:sz w:val="21"/>
          <w:szCs w:val="21"/>
        </w:rPr>
      </w:pPr>
      <w:r>
        <w:rPr>
          <w:rFonts w:hint="eastAsia" w:cs="宋体"/>
          <w:color w:val="auto"/>
          <w:sz w:val="21"/>
          <w:szCs w:val="21"/>
        </w:rPr>
        <w:t>传  真：</w:t>
      </w:r>
      <w:r>
        <w:rPr>
          <w:rFonts w:hint="eastAsia" w:cs="宋体"/>
          <w:color w:val="auto"/>
          <w:sz w:val="21"/>
          <w:szCs w:val="21"/>
          <w:u w:val="single"/>
        </w:rPr>
        <w:t xml:space="preserve">   </w:t>
      </w:r>
      <w:r>
        <w:rPr>
          <w:rFonts w:hint="eastAsia" w:cs="宋体"/>
          <w:color w:val="auto"/>
          <w:sz w:val="21"/>
          <w:szCs w:val="21"/>
        </w:rPr>
        <w:t xml:space="preserve">                传  真：</w:t>
      </w:r>
      <w:r>
        <w:rPr>
          <w:rFonts w:hint="eastAsia" w:cs="宋体"/>
          <w:color w:val="auto"/>
          <w:sz w:val="21"/>
          <w:szCs w:val="21"/>
          <w:u w:val="single"/>
        </w:rPr>
        <w:t xml:space="preserve">     </w:t>
      </w:r>
    </w:p>
    <w:p w14:paraId="6271B195">
      <w:pPr>
        <w:snapToGrid w:val="0"/>
        <w:spacing w:line="360" w:lineRule="auto"/>
        <w:rPr>
          <w:rFonts w:cs="宋体"/>
          <w:color w:val="auto"/>
          <w:sz w:val="21"/>
          <w:szCs w:val="21"/>
        </w:rPr>
      </w:pPr>
      <w:r>
        <w:rPr>
          <w:rFonts w:hint="eastAsia" w:cs="宋体"/>
          <w:color w:val="auto"/>
          <w:sz w:val="21"/>
          <w:szCs w:val="21"/>
        </w:rPr>
        <w:t>电子信箱：</w:t>
      </w:r>
      <w:r>
        <w:rPr>
          <w:rFonts w:hint="eastAsia" w:cs="宋体"/>
          <w:color w:val="auto"/>
          <w:sz w:val="21"/>
          <w:szCs w:val="21"/>
          <w:u w:val="single"/>
        </w:rPr>
        <w:t xml:space="preserve">                 </w:t>
      </w:r>
      <w:r>
        <w:rPr>
          <w:rFonts w:hint="eastAsia" w:cs="宋体"/>
          <w:color w:val="auto"/>
          <w:sz w:val="21"/>
          <w:szCs w:val="21"/>
        </w:rPr>
        <w:t xml:space="preserve">                电子信箱：</w:t>
      </w:r>
      <w:r>
        <w:rPr>
          <w:rFonts w:hint="eastAsia" w:cs="宋体"/>
          <w:color w:val="auto"/>
          <w:sz w:val="21"/>
          <w:szCs w:val="21"/>
          <w:u w:val="single"/>
        </w:rPr>
        <w:t xml:space="preserve">   </w:t>
      </w:r>
    </w:p>
    <w:p w14:paraId="67CAAF5D">
      <w:pPr>
        <w:snapToGrid w:val="0"/>
        <w:spacing w:line="360" w:lineRule="auto"/>
        <w:rPr>
          <w:rFonts w:cs="宋体"/>
          <w:color w:val="auto"/>
          <w:sz w:val="21"/>
          <w:szCs w:val="21"/>
        </w:rPr>
      </w:pPr>
      <w:r>
        <w:rPr>
          <w:rFonts w:hint="eastAsia" w:cs="宋体"/>
          <w:color w:val="auto"/>
          <w:sz w:val="21"/>
          <w:szCs w:val="21"/>
        </w:rPr>
        <w:t>开户银行：</w:t>
      </w:r>
      <w:r>
        <w:rPr>
          <w:rFonts w:hint="eastAsia" w:cs="宋体"/>
          <w:color w:val="auto"/>
          <w:sz w:val="21"/>
          <w:szCs w:val="21"/>
          <w:u w:val="single"/>
        </w:rPr>
        <w:t xml:space="preserve">   </w:t>
      </w:r>
      <w:r>
        <w:rPr>
          <w:rFonts w:hint="eastAsia" w:cs="宋体"/>
          <w:color w:val="auto"/>
          <w:sz w:val="21"/>
          <w:szCs w:val="21"/>
        </w:rPr>
        <w:t xml:space="preserve">                开户银行：</w:t>
      </w:r>
      <w:r>
        <w:rPr>
          <w:rFonts w:hint="eastAsia" w:cs="宋体"/>
          <w:color w:val="auto"/>
          <w:sz w:val="21"/>
          <w:szCs w:val="21"/>
          <w:u w:val="single"/>
        </w:rPr>
        <w:t xml:space="preserve">   </w:t>
      </w:r>
    </w:p>
    <w:p w14:paraId="03667112">
      <w:pPr>
        <w:snapToGrid w:val="0"/>
        <w:spacing w:line="360" w:lineRule="auto"/>
        <w:rPr>
          <w:rFonts w:cs="宋体"/>
          <w:color w:val="auto"/>
          <w:sz w:val="21"/>
          <w:szCs w:val="21"/>
        </w:rPr>
      </w:pPr>
      <w:r>
        <w:rPr>
          <w:rFonts w:hint="eastAsia" w:cs="宋体"/>
          <w:color w:val="auto"/>
          <w:sz w:val="21"/>
          <w:szCs w:val="21"/>
        </w:rPr>
        <w:t>账  号：</w:t>
      </w:r>
      <w:r>
        <w:rPr>
          <w:rFonts w:hint="eastAsia" w:cs="宋体"/>
          <w:color w:val="auto"/>
          <w:sz w:val="21"/>
          <w:szCs w:val="21"/>
          <w:u w:val="single"/>
        </w:rPr>
        <w:t xml:space="preserve">       </w:t>
      </w:r>
      <w:r>
        <w:rPr>
          <w:rFonts w:hint="eastAsia" w:cs="宋体"/>
          <w:color w:val="auto"/>
          <w:sz w:val="21"/>
          <w:szCs w:val="21"/>
        </w:rPr>
        <w:t xml:space="preserve">                账  号：</w:t>
      </w:r>
      <w:r>
        <w:rPr>
          <w:rFonts w:hint="eastAsia" w:cs="宋体"/>
          <w:color w:val="auto"/>
          <w:sz w:val="21"/>
          <w:szCs w:val="21"/>
          <w:u w:val="single"/>
        </w:rPr>
        <w:t xml:space="preserve">     </w:t>
      </w:r>
    </w:p>
    <w:bookmarkEnd w:id="55"/>
    <w:p w14:paraId="0DC944D1">
      <w:pPr>
        <w:snapToGrid w:val="0"/>
        <w:spacing w:line="360" w:lineRule="auto"/>
        <w:rPr>
          <w:rFonts w:hint="eastAsia" w:cs="宋体"/>
          <w:b/>
          <w:color w:val="auto"/>
          <w:sz w:val="21"/>
          <w:szCs w:val="21"/>
        </w:rPr>
      </w:pPr>
    </w:p>
    <w:p w14:paraId="305725F2">
      <w:pPr>
        <w:snapToGrid w:val="0"/>
        <w:spacing w:line="360" w:lineRule="auto"/>
        <w:rPr>
          <w:rFonts w:hint="eastAsia" w:cs="宋体"/>
          <w:b/>
          <w:color w:val="auto"/>
          <w:sz w:val="21"/>
          <w:szCs w:val="21"/>
        </w:rPr>
      </w:pPr>
    </w:p>
    <w:p w14:paraId="37B2AFC8">
      <w:pPr>
        <w:snapToGrid w:val="0"/>
        <w:spacing w:line="360" w:lineRule="auto"/>
        <w:rPr>
          <w:rFonts w:hint="eastAsia" w:cs="宋体"/>
          <w:b/>
          <w:color w:val="auto"/>
          <w:sz w:val="21"/>
          <w:szCs w:val="21"/>
        </w:rPr>
      </w:pPr>
    </w:p>
    <w:p w14:paraId="44BFCF49">
      <w:pPr>
        <w:snapToGrid w:val="0"/>
        <w:spacing w:line="360" w:lineRule="auto"/>
        <w:rPr>
          <w:rFonts w:hint="eastAsia" w:cs="宋体"/>
          <w:b/>
          <w:color w:val="auto"/>
          <w:sz w:val="21"/>
          <w:szCs w:val="21"/>
        </w:rPr>
      </w:pPr>
    </w:p>
    <w:p w14:paraId="7F5E6E7D">
      <w:pPr>
        <w:snapToGrid w:val="0"/>
        <w:spacing w:line="360" w:lineRule="auto"/>
        <w:rPr>
          <w:rFonts w:cs="宋体"/>
          <w:b/>
          <w:color w:val="auto"/>
          <w:sz w:val="21"/>
          <w:szCs w:val="21"/>
        </w:rPr>
      </w:pPr>
      <w:r>
        <w:rPr>
          <w:rFonts w:hint="eastAsia" w:cs="宋体"/>
          <w:b/>
          <w:color w:val="auto"/>
          <w:sz w:val="21"/>
          <w:szCs w:val="21"/>
        </w:rPr>
        <w:t>附件</w:t>
      </w:r>
    </w:p>
    <w:p w14:paraId="6B9DD1AA">
      <w:pPr>
        <w:snapToGrid w:val="0"/>
        <w:spacing w:line="360" w:lineRule="auto"/>
        <w:rPr>
          <w:rFonts w:cs="宋体"/>
          <w:color w:val="auto"/>
          <w:sz w:val="21"/>
          <w:szCs w:val="21"/>
        </w:rPr>
      </w:pPr>
      <w:r>
        <w:rPr>
          <w:rFonts w:hint="eastAsia" w:cs="宋体"/>
          <w:color w:val="auto"/>
          <w:sz w:val="21"/>
          <w:szCs w:val="21"/>
        </w:rPr>
        <w:t>协议书附件：</w:t>
      </w:r>
    </w:p>
    <w:p w14:paraId="00169864">
      <w:pPr>
        <w:snapToGrid w:val="0"/>
        <w:spacing w:line="360" w:lineRule="auto"/>
        <w:rPr>
          <w:rFonts w:cs="宋体"/>
          <w:color w:val="auto"/>
          <w:sz w:val="21"/>
          <w:szCs w:val="21"/>
        </w:rPr>
      </w:pPr>
      <w:bookmarkStart w:id="589" w:name="_Toc128950221"/>
      <w:r>
        <w:rPr>
          <w:rFonts w:hint="eastAsia" w:cs="宋体"/>
          <w:color w:val="auto"/>
          <w:sz w:val="21"/>
          <w:szCs w:val="21"/>
        </w:rPr>
        <w:t>附件1：承包人承揽工程项目一览表</w:t>
      </w:r>
      <w:bookmarkEnd w:id="589"/>
    </w:p>
    <w:p w14:paraId="41F3C8A7">
      <w:pPr>
        <w:snapToGrid w:val="0"/>
        <w:spacing w:line="360" w:lineRule="auto"/>
        <w:rPr>
          <w:rFonts w:cs="宋体"/>
          <w:color w:val="auto"/>
          <w:sz w:val="21"/>
          <w:szCs w:val="21"/>
        </w:rPr>
      </w:pPr>
      <w:r>
        <w:rPr>
          <w:rFonts w:hint="eastAsia" w:cs="宋体"/>
          <w:color w:val="auto"/>
          <w:sz w:val="21"/>
          <w:szCs w:val="21"/>
        </w:rPr>
        <w:t>专用合同条款附件：</w:t>
      </w:r>
    </w:p>
    <w:p w14:paraId="7D2871F9">
      <w:pPr>
        <w:snapToGrid w:val="0"/>
        <w:spacing w:line="360" w:lineRule="auto"/>
        <w:rPr>
          <w:rFonts w:cs="宋体"/>
          <w:color w:val="auto"/>
          <w:sz w:val="21"/>
          <w:szCs w:val="21"/>
        </w:rPr>
      </w:pPr>
      <w:bookmarkStart w:id="590" w:name="_Toc128950222"/>
      <w:r>
        <w:rPr>
          <w:rFonts w:hint="eastAsia" w:cs="宋体"/>
          <w:color w:val="auto"/>
          <w:sz w:val="21"/>
          <w:szCs w:val="21"/>
        </w:rPr>
        <w:t>附件2：发包人供应材料设备一览表</w:t>
      </w:r>
      <w:bookmarkEnd w:id="590"/>
    </w:p>
    <w:p w14:paraId="1786494A">
      <w:pPr>
        <w:snapToGrid w:val="0"/>
        <w:spacing w:line="360" w:lineRule="auto"/>
        <w:rPr>
          <w:rFonts w:cs="宋体"/>
          <w:color w:val="auto"/>
          <w:sz w:val="21"/>
          <w:szCs w:val="21"/>
        </w:rPr>
      </w:pPr>
      <w:bookmarkStart w:id="591" w:name="_Toc128950223"/>
      <w:r>
        <w:rPr>
          <w:rFonts w:hint="eastAsia" w:cs="宋体"/>
          <w:color w:val="auto"/>
          <w:sz w:val="21"/>
          <w:szCs w:val="21"/>
        </w:rPr>
        <w:t>附件3：工程质量保修书</w:t>
      </w:r>
      <w:bookmarkEnd w:id="591"/>
    </w:p>
    <w:p w14:paraId="7C992CD8">
      <w:pPr>
        <w:snapToGrid w:val="0"/>
        <w:spacing w:line="360" w:lineRule="auto"/>
        <w:rPr>
          <w:rFonts w:cs="宋体"/>
          <w:color w:val="auto"/>
          <w:sz w:val="21"/>
          <w:szCs w:val="21"/>
        </w:rPr>
      </w:pPr>
      <w:bookmarkStart w:id="592" w:name="_Toc128950224"/>
      <w:r>
        <w:rPr>
          <w:rFonts w:hint="eastAsia" w:cs="宋体"/>
          <w:color w:val="auto"/>
          <w:sz w:val="21"/>
          <w:szCs w:val="21"/>
        </w:rPr>
        <w:t>附件4：主要建设工程文件目录</w:t>
      </w:r>
      <w:bookmarkEnd w:id="592"/>
    </w:p>
    <w:p w14:paraId="539E8F63">
      <w:pPr>
        <w:snapToGrid w:val="0"/>
        <w:spacing w:line="360" w:lineRule="auto"/>
        <w:rPr>
          <w:rFonts w:cs="宋体"/>
          <w:color w:val="auto"/>
          <w:sz w:val="21"/>
          <w:szCs w:val="21"/>
        </w:rPr>
      </w:pPr>
      <w:bookmarkStart w:id="593" w:name="_Toc128950225"/>
      <w:r>
        <w:rPr>
          <w:rFonts w:hint="eastAsia" w:cs="宋体"/>
          <w:color w:val="auto"/>
          <w:sz w:val="21"/>
          <w:szCs w:val="21"/>
        </w:rPr>
        <w:t>附件5：承包人用于本工程施工的机械设备表</w:t>
      </w:r>
      <w:bookmarkEnd w:id="593"/>
    </w:p>
    <w:p w14:paraId="59D98FBD">
      <w:pPr>
        <w:snapToGrid w:val="0"/>
        <w:spacing w:line="360" w:lineRule="auto"/>
        <w:rPr>
          <w:rFonts w:cs="宋体"/>
          <w:color w:val="auto"/>
          <w:sz w:val="21"/>
          <w:szCs w:val="21"/>
        </w:rPr>
      </w:pPr>
      <w:bookmarkStart w:id="594" w:name="_Toc128950226"/>
      <w:r>
        <w:rPr>
          <w:rFonts w:hint="eastAsia" w:cs="宋体"/>
          <w:color w:val="auto"/>
          <w:sz w:val="21"/>
          <w:szCs w:val="21"/>
        </w:rPr>
        <w:t>附件6：承包人主要施工管理人员表</w:t>
      </w:r>
      <w:bookmarkEnd w:id="594"/>
    </w:p>
    <w:p w14:paraId="5525EA8E">
      <w:pPr>
        <w:snapToGrid w:val="0"/>
        <w:spacing w:line="360" w:lineRule="auto"/>
        <w:rPr>
          <w:rFonts w:cs="宋体"/>
          <w:color w:val="auto"/>
          <w:sz w:val="21"/>
          <w:szCs w:val="21"/>
        </w:rPr>
      </w:pPr>
      <w:bookmarkStart w:id="595" w:name="_Toc128950227"/>
      <w:r>
        <w:rPr>
          <w:rFonts w:hint="eastAsia" w:cs="宋体"/>
          <w:color w:val="auto"/>
          <w:sz w:val="21"/>
          <w:szCs w:val="21"/>
        </w:rPr>
        <w:t>附件7：分包人主要施工管理人员表</w:t>
      </w:r>
      <w:bookmarkEnd w:id="595"/>
    </w:p>
    <w:p w14:paraId="3C1A6C23">
      <w:pPr>
        <w:snapToGrid w:val="0"/>
        <w:spacing w:line="360" w:lineRule="auto"/>
        <w:rPr>
          <w:rFonts w:cs="宋体"/>
          <w:color w:val="auto"/>
          <w:sz w:val="21"/>
          <w:szCs w:val="21"/>
        </w:rPr>
      </w:pPr>
      <w:bookmarkStart w:id="596" w:name="_Toc128950228"/>
      <w:r>
        <w:rPr>
          <w:rFonts w:hint="eastAsia" w:cs="宋体"/>
          <w:color w:val="auto"/>
          <w:sz w:val="21"/>
          <w:szCs w:val="21"/>
        </w:rPr>
        <w:t>附件8：廉政协议</w:t>
      </w:r>
      <w:bookmarkEnd w:id="596"/>
    </w:p>
    <w:p w14:paraId="08A721A8">
      <w:pPr>
        <w:snapToGrid w:val="0"/>
        <w:spacing w:line="360" w:lineRule="auto"/>
        <w:rPr>
          <w:rFonts w:cs="宋体"/>
          <w:color w:val="auto"/>
          <w:sz w:val="21"/>
          <w:szCs w:val="21"/>
        </w:rPr>
      </w:pPr>
      <w:bookmarkStart w:id="597" w:name="_Toc128950229"/>
      <w:r>
        <w:rPr>
          <w:rFonts w:hint="eastAsia" w:cs="宋体"/>
          <w:color w:val="auto"/>
          <w:sz w:val="21"/>
          <w:szCs w:val="21"/>
        </w:rPr>
        <w:t>附件9：履约保证金格式</w:t>
      </w:r>
      <w:bookmarkEnd w:id="597"/>
    </w:p>
    <w:p w14:paraId="67F8A04D">
      <w:pPr>
        <w:snapToGrid w:val="0"/>
        <w:spacing w:line="360" w:lineRule="auto"/>
        <w:rPr>
          <w:rFonts w:cs="宋体"/>
          <w:color w:val="auto"/>
          <w:sz w:val="21"/>
          <w:szCs w:val="21"/>
        </w:rPr>
      </w:pPr>
      <w:bookmarkStart w:id="598" w:name="_Toc128950230"/>
      <w:r>
        <w:rPr>
          <w:rFonts w:hint="eastAsia" w:cs="宋体"/>
          <w:color w:val="auto"/>
          <w:sz w:val="21"/>
          <w:szCs w:val="21"/>
        </w:rPr>
        <w:t>附件10：预付款担保格式</w:t>
      </w:r>
      <w:bookmarkEnd w:id="598"/>
    </w:p>
    <w:p w14:paraId="04803CAB">
      <w:pPr>
        <w:snapToGrid w:val="0"/>
        <w:spacing w:line="360" w:lineRule="auto"/>
        <w:rPr>
          <w:rFonts w:cs="宋体"/>
          <w:color w:val="auto"/>
          <w:sz w:val="21"/>
          <w:szCs w:val="21"/>
        </w:rPr>
      </w:pPr>
      <w:bookmarkStart w:id="599" w:name="_Toc128950231"/>
      <w:r>
        <w:rPr>
          <w:rFonts w:hint="eastAsia" w:cs="宋体"/>
          <w:color w:val="auto"/>
          <w:sz w:val="21"/>
          <w:szCs w:val="21"/>
        </w:rPr>
        <w:t>附件11：支付担保格式</w:t>
      </w:r>
      <w:bookmarkEnd w:id="599"/>
    </w:p>
    <w:p w14:paraId="678CC7AE">
      <w:pPr>
        <w:snapToGrid w:val="0"/>
        <w:spacing w:line="360" w:lineRule="auto"/>
        <w:rPr>
          <w:rFonts w:cs="宋体"/>
          <w:color w:val="auto"/>
          <w:sz w:val="21"/>
          <w:szCs w:val="21"/>
        </w:rPr>
      </w:pPr>
      <w:bookmarkStart w:id="600" w:name="_Toc128950232"/>
      <w:r>
        <w:rPr>
          <w:rFonts w:hint="eastAsia" w:cs="宋体"/>
          <w:color w:val="auto"/>
          <w:sz w:val="21"/>
          <w:szCs w:val="21"/>
        </w:rPr>
        <w:t>附件12：暂估价一览表</w:t>
      </w:r>
      <w:bookmarkEnd w:id="600"/>
    </w:p>
    <w:p w14:paraId="0EBE5A79">
      <w:pPr>
        <w:snapToGrid w:val="0"/>
        <w:spacing w:line="360" w:lineRule="auto"/>
        <w:rPr>
          <w:rFonts w:cs="宋体"/>
          <w:color w:val="auto"/>
          <w:sz w:val="21"/>
          <w:szCs w:val="21"/>
        </w:rPr>
      </w:pPr>
      <w:bookmarkStart w:id="601" w:name="_Toc128950233"/>
      <w:r>
        <w:rPr>
          <w:rFonts w:hint="eastAsia" w:cs="宋体"/>
          <w:color w:val="auto"/>
          <w:sz w:val="21"/>
          <w:szCs w:val="21"/>
        </w:rPr>
        <w:t>附件13：安全生产合同</w:t>
      </w:r>
      <w:bookmarkEnd w:id="601"/>
    </w:p>
    <w:p w14:paraId="693D835D">
      <w:pPr>
        <w:snapToGrid w:val="0"/>
        <w:spacing w:line="360" w:lineRule="auto"/>
        <w:rPr>
          <w:rFonts w:cs="宋体"/>
          <w:color w:val="auto"/>
          <w:sz w:val="21"/>
          <w:szCs w:val="21"/>
        </w:rPr>
      </w:pPr>
      <w:bookmarkStart w:id="602" w:name="_Toc128950234"/>
      <w:r>
        <w:rPr>
          <w:rFonts w:hint="eastAsia" w:cs="宋体"/>
          <w:color w:val="auto"/>
          <w:sz w:val="21"/>
          <w:szCs w:val="21"/>
        </w:rPr>
        <w:t>附件14：项目经理质量终身责任制承诺</w:t>
      </w:r>
      <w:bookmarkEnd w:id="602"/>
    </w:p>
    <w:p w14:paraId="738EE58D">
      <w:pPr>
        <w:snapToGrid w:val="0"/>
        <w:spacing w:before="312" w:beforeLines="100" w:after="312" w:afterLines="100" w:line="360" w:lineRule="auto"/>
        <w:outlineLvl w:val="2"/>
        <w:rPr>
          <w:rFonts w:ascii="Times New Roman" w:eastAsia="黑体"/>
          <w:color w:val="auto"/>
          <w:szCs w:val="24"/>
        </w:rPr>
      </w:pPr>
      <w:r>
        <w:rPr>
          <w:rFonts w:hint="eastAsia" w:cs="宋体"/>
          <w:bCs/>
          <w:color w:val="auto"/>
          <w:sz w:val="21"/>
          <w:szCs w:val="21"/>
        </w:rPr>
        <w:br w:type="page"/>
      </w:r>
      <w:bookmarkStart w:id="603" w:name="_Toc128950235"/>
      <w:r>
        <w:rPr>
          <w:rFonts w:hint="eastAsia" w:ascii="Times New Roman" w:eastAsia="黑体"/>
          <w:color w:val="auto"/>
          <w:szCs w:val="24"/>
        </w:rPr>
        <w:t>附件</w:t>
      </w:r>
      <w:r>
        <w:rPr>
          <w:rFonts w:ascii="Times New Roman" w:eastAsia="黑体"/>
          <w:color w:val="auto"/>
          <w:szCs w:val="24"/>
        </w:rPr>
        <w:t>1</w:t>
      </w:r>
      <w:r>
        <w:rPr>
          <w:rFonts w:hint="eastAsia" w:ascii="Times New Roman" w:eastAsia="黑体"/>
          <w:color w:val="auto"/>
          <w:szCs w:val="24"/>
        </w:rPr>
        <w:t>：承包人承揽工程项目一览表</w:t>
      </w:r>
      <w:bookmarkEnd w:id="603"/>
    </w:p>
    <w:p w14:paraId="3FEFA440">
      <w:pPr>
        <w:spacing w:line="360" w:lineRule="auto"/>
        <w:jc w:val="center"/>
        <w:rPr>
          <w:rFonts w:cs="宋体"/>
          <w:color w:val="auto"/>
          <w:sz w:val="22"/>
          <w:szCs w:val="21"/>
        </w:rPr>
      </w:pPr>
      <w:r>
        <w:rPr>
          <w:rFonts w:hint="eastAsia" w:cs="宋体"/>
          <w:color w:val="auto"/>
          <w:sz w:val="22"/>
          <w:szCs w:val="21"/>
        </w:rPr>
        <w:t>承包人承揽工程项目一览表</w:t>
      </w:r>
    </w:p>
    <w:tbl>
      <w:tblPr>
        <w:tblStyle w:val="55"/>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1059"/>
        <w:gridCol w:w="746"/>
        <w:gridCol w:w="1406"/>
        <w:gridCol w:w="746"/>
        <w:gridCol w:w="434"/>
        <w:gridCol w:w="746"/>
        <w:gridCol w:w="1061"/>
        <w:gridCol w:w="1345"/>
        <w:gridCol w:w="746"/>
        <w:gridCol w:w="747"/>
      </w:tblGrid>
      <w:tr w14:paraId="1F38A5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586" w:type="pct"/>
            <w:tcBorders>
              <w:top w:val="single" w:color="auto" w:sz="12" w:space="0"/>
              <w:bottom w:val="double" w:color="auto" w:sz="6" w:space="0"/>
            </w:tcBorders>
            <w:vAlign w:val="center"/>
          </w:tcPr>
          <w:p w14:paraId="510C5B63">
            <w:pPr>
              <w:keepNext/>
              <w:snapToGrid w:val="0"/>
              <w:spacing w:line="360" w:lineRule="auto"/>
              <w:jc w:val="center"/>
              <w:rPr>
                <w:rFonts w:cs="宋体"/>
                <w:color w:val="auto"/>
                <w:sz w:val="22"/>
                <w:szCs w:val="21"/>
              </w:rPr>
            </w:pPr>
            <w:r>
              <w:rPr>
                <w:rFonts w:hint="eastAsia" w:cs="宋体"/>
                <w:color w:val="auto"/>
                <w:sz w:val="22"/>
                <w:szCs w:val="21"/>
              </w:rPr>
              <w:t>单位工程名称</w:t>
            </w:r>
          </w:p>
        </w:tc>
        <w:tc>
          <w:tcPr>
            <w:tcW w:w="413" w:type="pct"/>
            <w:tcBorders>
              <w:top w:val="single" w:color="auto" w:sz="12" w:space="0"/>
              <w:bottom w:val="double" w:color="auto" w:sz="6" w:space="0"/>
            </w:tcBorders>
            <w:vAlign w:val="center"/>
          </w:tcPr>
          <w:p w14:paraId="7502B20C">
            <w:pPr>
              <w:keepNext/>
              <w:snapToGrid w:val="0"/>
              <w:spacing w:line="360" w:lineRule="auto"/>
              <w:jc w:val="center"/>
              <w:rPr>
                <w:rFonts w:cs="宋体"/>
                <w:color w:val="auto"/>
                <w:sz w:val="22"/>
                <w:szCs w:val="21"/>
              </w:rPr>
            </w:pPr>
            <w:r>
              <w:rPr>
                <w:rFonts w:hint="eastAsia" w:cs="宋体"/>
                <w:color w:val="auto"/>
                <w:sz w:val="22"/>
                <w:szCs w:val="21"/>
              </w:rPr>
              <w:t>建设规模</w:t>
            </w:r>
          </w:p>
        </w:tc>
        <w:tc>
          <w:tcPr>
            <w:tcW w:w="778" w:type="pct"/>
            <w:tcBorders>
              <w:top w:val="single" w:color="auto" w:sz="12" w:space="0"/>
              <w:bottom w:val="double" w:color="auto" w:sz="6" w:space="0"/>
            </w:tcBorders>
            <w:vAlign w:val="center"/>
          </w:tcPr>
          <w:p w14:paraId="7E79682C">
            <w:pPr>
              <w:keepNext/>
              <w:snapToGrid w:val="0"/>
              <w:spacing w:line="360" w:lineRule="auto"/>
              <w:jc w:val="center"/>
              <w:rPr>
                <w:rFonts w:cs="宋体"/>
                <w:color w:val="auto"/>
                <w:sz w:val="22"/>
                <w:szCs w:val="21"/>
              </w:rPr>
            </w:pPr>
            <w:r>
              <w:rPr>
                <w:rFonts w:hint="eastAsia" w:cs="宋体"/>
                <w:color w:val="auto"/>
                <w:sz w:val="22"/>
                <w:szCs w:val="21"/>
              </w:rPr>
              <w:t>建筑面积（平方米）</w:t>
            </w:r>
          </w:p>
        </w:tc>
        <w:tc>
          <w:tcPr>
            <w:tcW w:w="413" w:type="pct"/>
            <w:tcBorders>
              <w:top w:val="single" w:color="auto" w:sz="12" w:space="0"/>
              <w:bottom w:val="double" w:color="auto" w:sz="6" w:space="0"/>
            </w:tcBorders>
            <w:vAlign w:val="center"/>
          </w:tcPr>
          <w:p w14:paraId="58FABBD7">
            <w:pPr>
              <w:keepNext/>
              <w:snapToGrid w:val="0"/>
              <w:spacing w:line="360" w:lineRule="auto"/>
              <w:jc w:val="center"/>
              <w:rPr>
                <w:rFonts w:cs="宋体"/>
                <w:color w:val="auto"/>
                <w:sz w:val="22"/>
                <w:szCs w:val="21"/>
              </w:rPr>
            </w:pPr>
            <w:r>
              <w:rPr>
                <w:rFonts w:hint="eastAsia" w:cs="宋体"/>
                <w:color w:val="auto"/>
                <w:sz w:val="22"/>
                <w:szCs w:val="21"/>
              </w:rPr>
              <w:t>结构形式</w:t>
            </w:r>
          </w:p>
        </w:tc>
        <w:tc>
          <w:tcPr>
            <w:tcW w:w="240" w:type="pct"/>
            <w:tcBorders>
              <w:top w:val="single" w:color="auto" w:sz="12" w:space="0"/>
              <w:bottom w:val="double" w:color="auto" w:sz="6" w:space="0"/>
            </w:tcBorders>
            <w:vAlign w:val="center"/>
          </w:tcPr>
          <w:p w14:paraId="6A8C3B08">
            <w:pPr>
              <w:keepNext/>
              <w:snapToGrid w:val="0"/>
              <w:spacing w:line="360" w:lineRule="auto"/>
              <w:jc w:val="center"/>
              <w:rPr>
                <w:rFonts w:cs="宋体"/>
                <w:color w:val="auto"/>
                <w:sz w:val="22"/>
                <w:szCs w:val="21"/>
              </w:rPr>
            </w:pPr>
            <w:r>
              <w:rPr>
                <w:rFonts w:hint="eastAsia" w:cs="宋体"/>
                <w:color w:val="auto"/>
                <w:sz w:val="22"/>
                <w:szCs w:val="21"/>
              </w:rPr>
              <w:t>层数</w:t>
            </w:r>
          </w:p>
        </w:tc>
        <w:tc>
          <w:tcPr>
            <w:tcW w:w="413" w:type="pct"/>
            <w:tcBorders>
              <w:top w:val="single" w:color="auto" w:sz="12" w:space="0"/>
              <w:bottom w:val="double" w:color="auto" w:sz="6" w:space="0"/>
            </w:tcBorders>
            <w:vAlign w:val="center"/>
          </w:tcPr>
          <w:p w14:paraId="7AA48BF1">
            <w:pPr>
              <w:keepNext/>
              <w:snapToGrid w:val="0"/>
              <w:spacing w:line="360" w:lineRule="auto"/>
              <w:jc w:val="center"/>
              <w:rPr>
                <w:rFonts w:cs="宋体"/>
                <w:color w:val="auto"/>
                <w:sz w:val="22"/>
                <w:szCs w:val="21"/>
              </w:rPr>
            </w:pPr>
            <w:r>
              <w:rPr>
                <w:rFonts w:hint="eastAsia" w:cs="宋体"/>
                <w:color w:val="auto"/>
                <w:sz w:val="22"/>
                <w:szCs w:val="21"/>
              </w:rPr>
              <w:t>生产能力</w:t>
            </w:r>
          </w:p>
        </w:tc>
        <w:tc>
          <w:tcPr>
            <w:tcW w:w="587" w:type="pct"/>
            <w:tcBorders>
              <w:top w:val="single" w:color="auto" w:sz="12" w:space="0"/>
              <w:bottom w:val="double" w:color="auto" w:sz="6" w:space="0"/>
            </w:tcBorders>
            <w:vAlign w:val="center"/>
          </w:tcPr>
          <w:p w14:paraId="44F68CF3">
            <w:pPr>
              <w:keepNext/>
              <w:snapToGrid w:val="0"/>
              <w:spacing w:line="360" w:lineRule="auto"/>
              <w:jc w:val="center"/>
              <w:rPr>
                <w:rFonts w:cs="宋体"/>
                <w:color w:val="auto"/>
                <w:sz w:val="22"/>
                <w:szCs w:val="21"/>
              </w:rPr>
            </w:pPr>
            <w:r>
              <w:rPr>
                <w:rFonts w:hint="eastAsia" w:cs="宋体"/>
                <w:color w:val="auto"/>
                <w:sz w:val="22"/>
                <w:szCs w:val="21"/>
              </w:rPr>
              <w:t>设备安装内容</w:t>
            </w:r>
          </w:p>
        </w:tc>
        <w:tc>
          <w:tcPr>
            <w:tcW w:w="744" w:type="pct"/>
            <w:tcBorders>
              <w:top w:val="single" w:color="auto" w:sz="12" w:space="0"/>
              <w:bottom w:val="double" w:color="auto" w:sz="6" w:space="0"/>
            </w:tcBorders>
            <w:vAlign w:val="center"/>
          </w:tcPr>
          <w:p w14:paraId="7417D57A">
            <w:pPr>
              <w:keepNext/>
              <w:snapToGrid w:val="0"/>
              <w:spacing w:line="360" w:lineRule="auto"/>
              <w:jc w:val="center"/>
              <w:rPr>
                <w:rFonts w:cs="宋体"/>
                <w:color w:val="auto"/>
                <w:sz w:val="22"/>
                <w:szCs w:val="21"/>
              </w:rPr>
            </w:pPr>
            <w:r>
              <w:rPr>
                <w:rFonts w:hint="eastAsia" w:cs="宋体"/>
                <w:color w:val="auto"/>
                <w:sz w:val="22"/>
                <w:szCs w:val="21"/>
              </w:rPr>
              <w:t>合同价格（元）</w:t>
            </w:r>
          </w:p>
        </w:tc>
        <w:tc>
          <w:tcPr>
            <w:tcW w:w="413" w:type="pct"/>
            <w:tcBorders>
              <w:top w:val="single" w:color="auto" w:sz="12" w:space="0"/>
              <w:bottom w:val="double" w:color="auto" w:sz="6" w:space="0"/>
            </w:tcBorders>
            <w:vAlign w:val="center"/>
          </w:tcPr>
          <w:p w14:paraId="42FCD168">
            <w:pPr>
              <w:keepNext/>
              <w:snapToGrid w:val="0"/>
              <w:spacing w:line="360" w:lineRule="auto"/>
              <w:jc w:val="center"/>
              <w:rPr>
                <w:rFonts w:cs="宋体"/>
                <w:color w:val="auto"/>
                <w:sz w:val="22"/>
                <w:szCs w:val="21"/>
              </w:rPr>
            </w:pPr>
            <w:r>
              <w:rPr>
                <w:rFonts w:hint="eastAsia" w:cs="宋体"/>
                <w:color w:val="auto"/>
                <w:sz w:val="22"/>
                <w:szCs w:val="21"/>
              </w:rPr>
              <w:t>开工日期</w:t>
            </w:r>
          </w:p>
        </w:tc>
        <w:tc>
          <w:tcPr>
            <w:tcW w:w="413" w:type="pct"/>
            <w:tcBorders>
              <w:top w:val="single" w:color="auto" w:sz="12" w:space="0"/>
              <w:bottom w:val="double" w:color="auto" w:sz="6" w:space="0"/>
            </w:tcBorders>
            <w:vAlign w:val="center"/>
          </w:tcPr>
          <w:p w14:paraId="11FF5CC0">
            <w:pPr>
              <w:keepNext/>
              <w:snapToGrid w:val="0"/>
              <w:spacing w:line="360" w:lineRule="auto"/>
              <w:jc w:val="center"/>
              <w:rPr>
                <w:rFonts w:cs="宋体"/>
                <w:color w:val="auto"/>
                <w:sz w:val="22"/>
                <w:szCs w:val="21"/>
              </w:rPr>
            </w:pPr>
            <w:r>
              <w:rPr>
                <w:rFonts w:hint="eastAsia" w:cs="宋体"/>
                <w:color w:val="auto"/>
                <w:sz w:val="22"/>
                <w:szCs w:val="21"/>
              </w:rPr>
              <w:t>竣工日期</w:t>
            </w:r>
          </w:p>
        </w:tc>
      </w:tr>
      <w:tr w14:paraId="4E585B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6" w:type="pct"/>
            <w:tcBorders>
              <w:top w:val="double" w:color="auto" w:sz="6" w:space="0"/>
            </w:tcBorders>
            <w:vAlign w:val="center"/>
          </w:tcPr>
          <w:p w14:paraId="27EC8731">
            <w:pPr>
              <w:keepNext/>
              <w:snapToGrid w:val="0"/>
              <w:spacing w:line="360" w:lineRule="auto"/>
              <w:jc w:val="center"/>
              <w:rPr>
                <w:rFonts w:cs="宋体"/>
                <w:color w:val="auto"/>
                <w:sz w:val="22"/>
                <w:szCs w:val="21"/>
              </w:rPr>
            </w:pPr>
          </w:p>
        </w:tc>
        <w:tc>
          <w:tcPr>
            <w:tcW w:w="413" w:type="pct"/>
            <w:tcBorders>
              <w:top w:val="double" w:color="auto" w:sz="6" w:space="0"/>
            </w:tcBorders>
            <w:vAlign w:val="center"/>
          </w:tcPr>
          <w:p w14:paraId="28F4FEF8">
            <w:pPr>
              <w:keepNext/>
              <w:snapToGrid w:val="0"/>
              <w:spacing w:line="360" w:lineRule="auto"/>
              <w:jc w:val="center"/>
              <w:rPr>
                <w:rFonts w:cs="宋体"/>
                <w:color w:val="auto"/>
                <w:sz w:val="22"/>
                <w:szCs w:val="21"/>
              </w:rPr>
            </w:pPr>
          </w:p>
        </w:tc>
        <w:tc>
          <w:tcPr>
            <w:tcW w:w="778" w:type="pct"/>
            <w:tcBorders>
              <w:top w:val="double" w:color="auto" w:sz="6" w:space="0"/>
            </w:tcBorders>
            <w:vAlign w:val="center"/>
          </w:tcPr>
          <w:p w14:paraId="2FC189BF">
            <w:pPr>
              <w:keepNext/>
              <w:snapToGrid w:val="0"/>
              <w:spacing w:line="360" w:lineRule="auto"/>
              <w:jc w:val="center"/>
              <w:rPr>
                <w:rFonts w:cs="宋体"/>
                <w:color w:val="auto"/>
                <w:sz w:val="22"/>
                <w:szCs w:val="21"/>
              </w:rPr>
            </w:pPr>
          </w:p>
        </w:tc>
        <w:tc>
          <w:tcPr>
            <w:tcW w:w="413" w:type="pct"/>
            <w:tcBorders>
              <w:top w:val="double" w:color="auto" w:sz="6" w:space="0"/>
            </w:tcBorders>
            <w:vAlign w:val="center"/>
          </w:tcPr>
          <w:p w14:paraId="7A7F36B5">
            <w:pPr>
              <w:keepNext/>
              <w:snapToGrid w:val="0"/>
              <w:spacing w:line="360" w:lineRule="auto"/>
              <w:jc w:val="center"/>
              <w:rPr>
                <w:rFonts w:cs="宋体"/>
                <w:color w:val="auto"/>
                <w:sz w:val="22"/>
                <w:szCs w:val="21"/>
              </w:rPr>
            </w:pPr>
          </w:p>
        </w:tc>
        <w:tc>
          <w:tcPr>
            <w:tcW w:w="240" w:type="pct"/>
            <w:tcBorders>
              <w:top w:val="double" w:color="auto" w:sz="6" w:space="0"/>
            </w:tcBorders>
            <w:vAlign w:val="center"/>
          </w:tcPr>
          <w:p w14:paraId="0B30F7A9">
            <w:pPr>
              <w:keepNext/>
              <w:snapToGrid w:val="0"/>
              <w:spacing w:line="360" w:lineRule="auto"/>
              <w:jc w:val="center"/>
              <w:rPr>
                <w:rFonts w:cs="宋体"/>
                <w:color w:val="auto"/>
                <w:sz w:val="22"/>
                <w:szCs w:val="21"/>
              </w:rPr>
            </w:pPr>
          </w:p>
        </w:tc>
        <w:tc>
          <w:tcPr>
            <w:tcW w:w="413" w:type="pct"/>
            <w:tcBorders>
              <w:top w:val="double" w:color="auto" w:sz="6" w:space="0"/>
            </w:tcBorders>
            <w:vAlign w:val="center"/>
          </w:tcPr>
          <w:p w14:paraId="689E1CAC">
            <w:pPr>
              <w:keepNext/>
              <w:snapToGrid w:val="0"/>
              <w:spacing w:line="360" w:lineRule="auto"/>
              <w:jc w:val="center"/>
              <w:rPr>
                <w:rFonts w:cs="宋体"/>
                <w:color w:val="auto"/>
                <w:sz w:val="22"/>
                <w:szCs w:val="21"/>
              </w:rPr>
            </w:pPr>
          </w:p>
        </w:tc>
        <w:tc>
          <w:tcPr>
            <w:tcW w:w="587" w:type="pct"/>
            <w:tcBorders>
              <w:top w:val="double" w:color="auto" w:sz="6" w:space="0"/>
            </w:tcBorders>
            <w:vAlign w:val="center"/>
          </w:tcPr>
          <w:p w14:paraId="08A17153">
            <w:pPr>
              <w:keepNext/>
              <w:snapToGrid w:val="0"/>
              <w:spacing w:line="360" w:lineRule="auto"/>
              <w:jc w:val="center"/>
              <w:rPr>
                <w:rFonts w:cs="宋体"/>
                <w:color w:val="auto"/>
                <w:sz w:val="22"/>
                <w:szCs w:val="21"/>
              </w:rPr>
            </w:pPr>
          </w:p>
        </w:tc>
        <w:tc>
          <w:tcPr>
            <w:tcW w:w="744" w:type="pct"/>
            <w:tcBorders>
              <w:top w:val="double" w:color="auto" w:sz="6" w:space="0"/>
            </w:tcBorders>
            <w:vAlign w:val="center"/>
          </w:tcPr>
          <w:p w14:paraId="4FFEA5F3">
            <w:pPr>
              <w:keepNext/>
              <w:snapToGrid w:val="0"/>
              <w:spacing w:line="360" w:lineRule="auto"/>
              <w:jc w:val="center"/>
              <w:rPr>
                <w:rFonts w:cs="宋体"/>
                <w:color w:val="auto"/>
                <w:sz w:val="22"/>
                <w:szCs w:val="21"/>
              </w:rPr>
            </w:pPr>
          </w:p>
        </w:tc>
        <w:tc>
          <w:tcPr>
            <w:tcW w:w="413" w:type="pct"/>
            <w:tcBorders>
              <w:top w:val="double" w:color="auto" w:sz="6" w:space="0"/>
            </w:tcBorders>
            <w:vAlign w:val="center"/>
          </w:tcPr>
          <w:p w14:paraId="5994F312">
            <w:pPr>
              <w:keepNext/>
              <w:snapToGrid w:val="0"/>
              <w:spacing w:line="360" w:lineRule="auto"/>
              <w:jc w:val="center"/>
              <w:rPr>
                <w:rFonts w:cs="宋体"/>
                <w:color w:val="auto"/>
                <w:sz w:val="22"/>
                <w:szCs w:val="21"/>
              </w:rPr>
            </w:pPr>
          </w:p>
        </w:tc>
        <w:tc>
          <w:tcPr>
            <w:tcW w:w="413" w:type="pct"/>
            <w:tcBorders>
              <w:top w:val="double" w:color="auto" w:sz="6" w:space="0"/>
            </w:tcBorders>
            <w:vAlign w:val="center"/>
          </w:tcPr>
          <w:p w14:paraId="4E8F5BC2">
            <w:pPr>
              <w:keepNext/>
              <w:snapToGrid w:val="0"/>
              <w:spacing w:line="360" w:lineRule="auto"/>
              <w:jc w:val="center"/>
              <w:rPr>
                <w:rFonts w:cs="宋体"/>
                <w:color w:val="auto"/>
                <w:sz w:val="22"/>
                <w:szCs w:val="21"/>
              </w:rPr>
            </w:pPr>
          </w:p>
        </w:tc>
      </w:tr>
      <w:tr w14:paraId="655272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6" w:type="pct"/>
            <w:tcBorders>
              <w:top w:val="nil"/>
            </w:tcBorders>
            <w:vAlign w:val="center"/>
          </w:tcPr>
          <w:p w14:paraId="106BC598">
            <w:pPr>
              <w:keepNext/>
              <w:snapToGrid w:val="0"/>
              <w:spacing w:line="360" w:lineRule="auto"/>
              <w:jc w:val="center"/>
              <w:rPr>
                <w:rFonts w:cs="宋体"/>
                <w:color w:val="auto"/>
                <w:sz w:val="22"/>
                <w:szCs w:val="21"/>
              </w:rPr>
            </w:pPr>
          </w:p>
        </w:tc>
        <w:tc>
          <w:tcPr>
            <w:tcW w:w="413" w:type="pct"/>
            <w:tcBorders>
              <w:top w:val="nil"/>
            </w:tcBorders>
            <w:vAlign w:val="center"/>
          </w:tcPr>
          <w:p w14:paraId="0ADA1A6D">
            <w:pPr>
              <w:keepNext/>
              <w:snapToGrid w:val="0"/>
              <w:spacing w:line="360" w:lineRule="auto"/>
              <w:jc w:val="center"/>
              <w:rPr>
                <w:rFonts w:cs="宋体"/>
                <w:color w:val="auto"/>
                <w:sz w:val="22"/>
                <w:szCs w:val="21"/>
              </w:rPr>
            </w:pPr>
          </w:p>
        </w:tc>
        <w:tc>
          <w:tcPr>
            <w:tcW w:w="778" w:type="pct"/>
            <w:tcBorders>
              <w:top w:val="nil"/>
            </w:tcBorders>
            <w:vAlign w:val="center"/>
          </w:tcPr>
          <w:p w14:paraId="5E9D4A6E">
            <w:pPr>
              <w:keepNext/>
              <w:snapToGrid w:val="0"/>
              <w:spacing w:line="360" w:lineRule="auto"/>
              <w:jc w:val="center"/>
              <w:rPr>
                <w:rFonts w:cs="宋体"/>
                <w:color w:val="auto"/>
                <w:sz w:val="22"/>
                <w:szCs w:val="21"/>
              </w:rPr>
            </w:pPr>
          </w:p>
        </w:tc>
        <w:tc>
          <w:tcPr>
            <w:tcW w:w="413" w:type="pct"/>
            <w:tcBorders>
              <w:top w:val="nil"/>
            </w:tcBorders>
            <w:vAlign w:val="center"/>
          </w:tcPr>
          <w:p w14:paraId="66A7014C">
            <w:pPr>
              <w:keepNext/>
              <w:snapToGrid w:val="0"/>
              <w:spacing w:line="360" w:lineRule="auto"/>
              <w:jc w:val="center"/>
              <w:rPr>
                <w:rFonts w:cs="宋体"/>
                <w:color w:val="auto"/>
                <w:sz w:val="22"/>
                <w:szCs w:val="21"/>
              </w:rPr>
            </w:pPr>
          </w:p>
        </w:tc>
        <w:tc>
          <w:tcPr>
            <w:tcW w:w="240" w:type="pct"/>
            <w:tcBorders>
              <w:top w:val="nil"/>
            </w:tcBorders>
            <w:vAlign w:val="center"/>
          </w:tcPr>
          <w:p w14:paraId="34387498">
            <w:pPr>
              <w:keepNext/>
              <w:snapToGrid w:val="0"/>
              <w:spacing w:line="360" w:lineRule="auto"/>
              <w:jc w:val="center"/>
              <w:rPr>
                <w:rFonts w:cs="宋体"/>
                <w:color w:val="auto"/>
                <w:sz w:val="22"/>
                <w:szCs w:val="21"/>
              </w:rPr>
            </w:pPr>
          </w:p>
        </w:tc>
        <w:tc>
          <w:tcPr>
            <w:tcW w:w="413" w:type="pct"/>
            <w:tcBorders>
              <w:top w:val="nil"/>
            </w:tcBorders>
            <w:vAlign w:val="center"/>
          </w:tcPr>
          <w:p w14:paraId="0E7D0834">
            <w:pPr>
              <w:keepNext/>
              <w:snapToGrid w:val="0"/>
              <w:spacing w:line="360" w:lineRule="auto"/>
              <w:jc w:val="center"/>
              <w:rPr>
                <w:rFonts w:cs="宋体"/>
                <w:color w:val="auto"/>
                <w:sz w:val="22"/>
                <w:szCs w:val="21"/>
              </w:rPr>
            </w:pPr>
          </w:p>
        </w:tc>
        <w:tc>
          <w:tcPr>
            <w:tcW w:w="587" w:type="pct"/>
            <w:tcBorders>
              <w:top w:val="nil"/>
            </w:tcBorders>
            <w:vAlign w:val="center"/>
          </w:tcPr>
          <w:p w14:paraId="68837049">
            <w:pPr>
              <w:keepNext/>
              <w:snapToGrid w:val="0"/>
              <w:spacing w:line="360" w:lineRule="auto"/>
              <w:jc w:val="center"/>
              <w:rPr>
                <w:rFonts w:cs="宋体"/>
                <w:color w:val="auto"/>
                <w:sz w:val="22"/>
                <w:szCs w:val="21"/>
              </w:rPr>
            </w:pPr>
          </w:p>
        </w:tc>
        <w:tc>
          <w:tcPr>
            <w:tcW w:w="744" w:type="pct"/>
            <w:tcBorders>
              <w:top w:val="nil"/>
            </w:tcBorders>
            <w:vAlign w:val="center"/>
          </w:tcPr>
          <w:p w14:paraId="28218BA0">
            <w:pPr>
              <w:keepNext/>
              <w:snapToGrid w:val="0"/>
              <w:spacing w:line="360" w:lineRule="auto"/>
              <w:jc w:val="center"/>
              <w:rPr>
                <w:rFonts w:cs="宋体"/>
                <w:color w:val="auto"/>
                <w:sz w:val="22"/>
                <w:szCs w:val="21"/>
              </w:rPr>
            </w:pPr>
          </w:p>
        </w:tc>
        <w:tc>
          <w:tcPr>
            <w:tcW w:w="413" w:type="pct"/>
            <w:tcBorders>
              <w:top w:val="nil"/>
            </w:tcBorders>
            <w:vAlign w:val="center"/>
          </w:tcPr>
          <w:p w14:paraId="77E9CEEB">
            <w:pPr>
              <w:keepNext/>
              <w:snapToGrid w:val="0"/>
              <w:spacing w:line="360" w:lineRule="auto"/>
              <w:jc w:val="center"/>
              <w:rPr>
                <w:rFonts w:cs="宋体"/>
                <w:color w:val="auto"/>
                <w:sz w:val="22"/>
                <w:szCs w:val="21"/>
              </w:rPr>
            </w:pPr>
          </w:p>
        </w:tc>
        <w:tc>
          <w:tcPr>
            <w:tcW w:w="413" w:type="pct"/>
            <w:tcBorders>
              <w:top w:val="nil"/>
            </w:tcBorders>
            <w:vAlign w:val="center"/>
          </w:tcPr>
          <w:p w14:paraId="76CF5362">
            <w:pPr>
              <w:keepNext/>
              <w:snapToGrid w:val="0"/>
              <w:spacing w:line="360" w:lineRule="auto"/>
              <w:jc w:val="center"/>
              <w:rPr>
                <w:rFonts w:cs="宋体"/>
                <w:color w:val="auto"/>
                <w:sz w:val="22"/>
                <w:szCs w:val="21"/>
              </w:rPr>
            </w:pPr>
          </w:p>
        </w:tc>
      </w:tr>
      <w:tr w14:paraId="19797E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6" w:type="pct"/>
            <w:tcBorders>
              <w:top w:val="nil"/>
            </w:tcBorders>
            <w:vAlign w:val="center"/>
          </w:tcPr>
          <w:p w14:paraId="58E28196">
            <w:pPr>
              <w:keepNext/>
              <w:snapToGrid w:val="0"/>
              <w:spacing w:line="360" w:lineRule="auto"/>
              <w:jc w:val="center"/>
              <w:rPr>
                <w:rFonts w:cs="宋体"/>
                <w:color w:val="auto"/>
                <w:sz w:val="22"/>
                <w:szCs w:val="21"/>
              </w:rPr>
            </w:pPr>
          </w:p>
        </w:tc>
        <w:tc>
          <w:tcPr>
            <w:tcW w:w="413" w:type="pct"/>
            <w:tcBorders>
              <w:top w:val="nil"/>
            </w:tcBorders>
            <w:vAlign w:val="center"/>
          </w:tcPr>
          <w:p w14:paraId="47BEA492">
            <w:pPr>
              <w:keepNext/>
              <w:snapToGrid w:val="0"/>
              <w:spacing w:line="360" w:lineRule="auto"/>
              <w:jc w:val="center"/>
              <w:rPr>
                <w:rFonts w:cs="宋体"/>
                <w:color w:val="auto"/>
                <w:sz w:val="22"/>
                <w:szCs w:val="21"/>
              </w:rPr>
            </w:pPr>
          </w:p>
        </w:tc>
        <w:tc>
          <w:tcPr>
            <w:tcW w:w="778" w:type="pct"/>
            <w:tcBorders>
              <w:top w:val="nil"/>
            </w:tcBorders>
            <w:vAlign w:val="center"/>
          </w:tcPr>
          <w:p w14:paraId="1F18A841">
            <w:pPr>
              <w:keepNext/>
              <w:snapToGrid w:val="0"/>
              <w:spacing w:line="360" w:lineRule="auto"/>
              <w:jc w:val="center"/>
              <w:rPr>
                <w:rFonts w:cs="宋体"/>
                <w:color w:val="auto"/>
                <w:sz w:val="22"/>
                <w:szCs w:val="21"/>
              </w:rPr>
            </w:pPr>
          </w:p>
        </w:tc>
        <w:tc>
          <w:tcPr>
            <w:tcW w:w="413" w:type="pct"/>
            <w:tcBorders>
              <w:top w:val="nil"/>
            </w:tcBorders>
            <w:vAlign w:val="center"/>
          </w:tcPr>
          <w:p w14:paraId="06DD4EE5">
            <w:pPr>
              <w:keepNext/>
              <w:snapToGrid w:val="0"/>
              <w:spacing w:line="360" w:lineRule="auto"/>
              <w:jc w:val="center"/>
              <w:rPr>
                <w:rFonts w:cs="宋体"/>
                <w:color w:val="auto"/>
                <w:sz w:val="22"/>
                <w:szCs w:val="21"/>
              </w:rPr>
            </w:pPr>
          </w:p>
        </w:tc>
        <w:tc>
          <w:tcPr>
            <w:tcW w:w="240" w:type="pct"/>
            <w:tcBorders>
              <w:top w:val="nil"/>
            </w:tcBorders>
            <w:vAlign w:val="center"/>
          </w:tcPr>
          <w:p w14:paraId="3628073F">
            <w:pPr>
              <w:keepNext/>
              <w:snapToGrid w:val="0"/>
              <w:spacing w:line="360" w:lineRule="auto"/>
              <w:jc w:val="center"/>
              <w:rPr>
                <w:rFonts w:cs="宋体"/>
                <w:color w:val="auto"/>
                <w:sz w:val="22"/>
                <w:szCs w:val="21"/>
              </w:rPr>
            </w:pPr>
          </w:p>
        </w:tc>
        <w:tc>
          <w:tcPr>
            <w:tcW w:w="413" w:type="pct"/>
            <w:tcBorders>
              <w:top w:val="nil"/>
            </w:tcBorders>
            <w:vAlign w:val="center"/>
          </w:tcPr>
          <w:p w14:paraId="7B94A544">
            <w:pPr>
              <w:keepNext/>
              <w:snapToGrid w:val="0"/>
              <w:spacing w:line="360" w:lineRule="auto"/>
              <w:jc w:val="center"/>
              <w:rPr>
                <w:rFonts w:cs="宋体"/>
                <w:color w:val="auto"/>
                <w:sz w:val="22"/>
                <w:szCs w:val="21"/>
              </w:rPr>
            </w:pPr>
          </w:p>
        </w:tc>
        <w:tc>
          <w:tcPr>
            <w:tcW w:w="587" w:type="pct"/>
            <w:tcBorders>
              <w:top w:val="nil"/>
            </w:tcBorders>
            <w:vAlign w:val="center"/>
          </w:tcPr>
          <w:p w14:paraId="4FA0424C">
            <w:pPr>
              <w:keepNext/>
              <w:snapToGrid w:val="0"/>
              <w:spacing w:line="360" w:lineRule="auto"/>
              <w:jc w:val="center"/>
              <w:rPr>
                <w:rFonts w:cs="宋体"/>
                <w:color w:val="auto"/>
                <w:sz w:val="22"/>
                <w:szCs w:val="21"/>
              </w:rPr>
            </w:pPr>
          </w:p>
        </w:tc>
        <w:tc>
          <w:tcPr>
            <w:tcW w:w="744" w:type="pct"/>
            <w:tcBorders>
              <w:top w:val="nil"/>
            </w:tcBorders>
            <w:vAlign w:val="center"/>
          </w:tcPr>
          <w:p w14:paraId="5FB70041">
            <w:pPr>
              <w:keepNext/>
              <w:snapToGrid w:val="0"/>
              <w:spacing w:line="360" w:lineRule="auto"/>
              <w:jc w:val="center"/>
              <w:rPr>
                <w:rFonts w:cs="宋体"/>
                <w:color w:val="auto"/>
                <w:sz w:val="22"/>
                <w:szCs w:val="21"/>
              </w:rPr>
            </w:pPr>
          </w:p>
        </w:tc>
        <w:tc>
          <w:tcPr>
            <w:tcW w:w="413" w:type="pct"/>
            <w:tcBorders>
              <w:top w:val="nil"/>
            </w:tcBorders>
            <w:vAlign w:val="center"/>
          </w:tcPr>
          <w:p w14:paraId="7B781192">
            <w:pPr>
              <w:keepNext/>
              <w:snapToGrid w:val="0"/>
              <w:spacing w:line="360" w:lineRule="auto"/>
              <w:jc w:val="center"/>
              <w:rPr>
                <w:rFonts w:cs="宋体"/>
                <w:color w:val="auto"/>
                <w:sz w:val="22"/>
                <w:szCs w:val="21"/>
              </w:rPr>
            </w:pPr>
          </w:p>
        </w:tc>
        <w:tc>
          <w:tcPr>
            <w:tcW w:w="413" w:type="pct"/>
            <w:tcBorders>
              <w:top w:val="nil"/>
            </w:tcBorders>
            <w:vAlign w:val="center"/>
          </w:tcPr>
          <w:p w14:paraId="2F1BDEEA">
            <w:pPr>
              <w:keepNext/>
              <w:snapToGrid w:val="0"/>
              <w:spacing w:line="360" w:lineRule="auto"/>
              <w:jc w:val="center"/>
              <w:rPr>
                <w:rFonts w:cs="宋体"/>
                <w:color w:val="auto"/>
                <w:sz w:val="22"/>
                <w:szCs w:val="21"/>
              </w:rPr>
            </w:pPr>
          </w:p>
        </w:tc>
      </w:tr>
      <w:tr w14:paraId="5502F9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6" w:type="pct"/>
            <w:tcBorders>
              <w:bottom w:val="single" w:color="auto" w:sz="12" w:space="0"/>
            </w:tcBorders>
            <w:vAlign w:val="center"/>
          </w:tcPr>
          <w:p w14:paraId="7C1CBECF">
            <w:pPr>
              <w:keepNext/>
              <w:snapToGrid w:val="0"/>
              <w:spacing w:line="360" w:lineRule="auto"/>
              <w:jc w:val="center"/>
              <w:rPr>
                <w:rFonts w:cs="宋体"/>
                <w:color w:val="auto"/>
                <w:sz w:val="22"/>
                <w:szCs w:val="21"/>
              </w:rPr>
            </w:pPr>
          </w:p>
        </w:tc>
        <w:tc>
          <w:tcPr>
            <w:tcW w:w="413" w:type="pct"/>
            <w:tcBorders>
              <w:bottom w:val="single" w:color="auto" w:sz="12" w:space="0"/>
            </w:tcBorders>
            <w:vAlign w:val="center"/>
          </w:tcPr>
          <w:p w14:paraId="7B1E606D">
            <w:pPr>
              <w:keepNext/>
              <w:snapToGrid w:val="0"/>
              <w:spacing w:line="360" w:lineRule="auto"/>
              <w:jc w:val="center"/>
              <w:rPr>
                <w:rFonts w:cs="宋体"/>
                <w:color w:val="auto"/>
                <w:sz w:val="22"/>
                <w:szCs w:val="21"/>
              </w:rPr>
            </w:pPr>
          </w:p>
        </w:tc>
        <w:tc>
          <w:tcPr>
            <w:tcW w:w="778" w:type="pct"/>
            <w:tcBorders>
              <w:bottom w:val="single" w:color="auto" w:sz="12" w:space="0"/>
            </w:tcBorders>
            <w:vAlign w:val="center"/>
          </w:tcPr>
          <w:p w14:paraId="400F3916">
            <w:pPr>
              <w:keepNext/>
              <w:snapToGrid w:val="0"/>
              <w:spacing w:line="360" w:lineRule="auto"/>
              <w:jc w:val="center"/>
              <w:rPr>
                <w:rFonts w:cs="宋体"/>
                <w:color w:val="auto"/>
                <w:sz w:val="22"/>
                <w:szCs w:val="21"/>
              </w:rPr>
            </w:pPr>
          </w:p>
        </w:tc>
        <w:tc>
          <w:tcPr>
            <w:tcW w:w="413" w:type="pct"/>
            <w:tcBorders>
              <w:bottom w:val="single" w:color="auto" w:sz="12" w:space="0"/>
            </w:tcBorders>
            <w:vAlign w:val="center"/>
          </w:tcPr>
          <w:p w14:paraId="60741A6D">
            <w:pPr>
              <w:keepNext/>
              <w:snapToGrid w:val="0"/>
              <w:spacing w:line="360" w:lineRule="auto"/>
              <w:jc w:val="center"/>
              <w:rPr>
                <w:rFonts w:cs="宋体"/>
                <w:color w:val="auto"/>
                <w:sz w:val="22"/>
                <w:szCs w:val="21"/>
              </w:rPr>
            </w:pPr>
          </w:p>
        </w:tc>
        <w:tc>
          <w:tcPr>
            <w:tcW w:w="240" w:type="pct"/>
            <w:tcBorders>
              <w:bottom w:val="single" w:color="auto" w:sz="12" w:space="0"/>
            </w:tcBorders>
            <w:vAlign w:val="center"/>
          </w:tcPr>
          <w:p w14:paraId="68D158D7">
            <w:pPr>
              <w:keepNext/>
              <w:snapToGrid w:val="0"/>
              <w:spacing w:line="360" w:lineRule="auto"/>
              <w:jc w:val="center"/>
              <w:rPr>
                <w:rFonts w:cs="宋体"/>
                <w:color w:val="auto"/>
                <w:sz w:val="22"/>
                <w:szCs w:val="21"/>
              </w:rPr>
            </w:pPr>
          </w:p>
        </w:tc>
        <w:tc>
          <w:tcPr>
            <w:tcW w:w="413" w:type="pct"/>
            <w:tcBorders>
              <w:bottom w:val="single" w:color="auto" w:sz="12" w:space="0"/>
            </w:tcBorders>
            <w:vAlign w:val="center"/>
          </w:tcPr>
          <w:p w14:paraId="27FA6BB1">
            <w:pPr>
              <w:keepNext/>
              <w:snapToGrid w:val="0"/>
              <w:spacing w:line="360" w:lineRule="auto"/>
              <w:jc w:val="center"/>
              <w:rPr>
                <w:rFonts w:cs="宋体"/>
                <w:color w:val="auto"/>
                <w:sz w:val="22"/>
                <w:szCs w:val="21"/>
              </w:rPr>
            </w:pPr>
          </w:p>
        </w:tc>
        <w:tc>
          <w:tcPr>
            <w:tcW w:w="587" w:type="pct"/>
            <w:tcBorders>
              <w:bottom w:val="single" w:color="auto" w:sz="12" w:space="0"/>
            </w:tcBorders>
            <w:vAlign w:val="center"/>
          </w:tcPr>
          <w:p w14:paraId="0DDB27AF">
            <w:pPr>
              <w:keepNext/>
              <w:snapToGrid w:val="0"/>
              <w:spacing w:line="360" w:lineRule="auto"/>
              <w:jc w:val="center"/>
              <w:rPr>
                <w:rFonts w:cs="宋体"/>
                <w:color w:val="auto"/>
                <w:sz w:val="22"/>
                <w:szCs w:val="21"/>
              </w:rPr>
            </w:pPr>
          </w:p>
        </w:tc>
        <w:tc>
          <w:tcPr>
            <w:tcW w:w="744" w:type="pct"/>
            <w:tcBorders>
              <w:bottom w:val="single" w:color="auto" w:sz="12" w:space="0"/>
            </w:tcBorders>
            <w:vAlign w:val="center"/>
          </w:tcPr>
          <w:p w14:paraId="0A0B37D7">
            <w:pPr>
              <w:keepNext/>
              <w:snapToGrid w:val="0"/>
              <w:spacing w:line="360" w:lineRule="auto"/>
              <w:jc w:val="center"/>
              <w:rPr>
                <w:rFonts w:cs="宋体"/>
                <w:color w:val="auto"/>
                <w:sz w:val="22"/>
                <w:szCs w:val="21"/>
              </w:rPr>
            </w:pPr>
          </w:p>
        </w:tc>
        <w:tc>
          <w:tcPr>
            <w:tcW w:w="413" w:type="pct"/>
            <w:tcBorders>
              <w:bottom w:val="single" w:color="auto" w:sz="12" w:space="0"/>
            </w:tcBorders>
            <w:vAlign w:val="center"/>
          </w:tcPr>
          <w:p w14:paraId="2EDE3F74">
            <w:pPr>
              <w:keepNext/>
              <w:snapToGrid w:val="0"/>
              <w:spacing w:line="360" w:lineRule="auto"/>
              <w:jc w:val="center"/>
              <w:rPr>
                <w:rFonts w:cs="宋体"/>
                <w:color w:val="auto"/>
                <w:sz w:val="22"/>
                <w:szCs w:val="21"/>
              </w:rPr>
            </w:pPr>
          </w:p>
        </w:tc>
        <w:tc>
          <w:tcPr>
            <w:tcW w:w="413" w:type="pct"/>
            <w:tcBorders>
              <w:bottom w:val="single" w:color="auto" w:sz="12" w:space="0"/>
            </w:tcBorders>
            <w:vAlign w:val="center"/>
          </w:tcPr>
          <w:p w14:paraId="58AC7021">
            <w:pPr>
              <w:keepNext/>
              <w:snapToGrid w:val="0"/>
              <w:spacing w:line="360" w:lineRule="auto"/>
              <w:jc w:val="center"/>
              <w:rPr>
                <w:rFonts w:cs="宋体"/>
                <w:color w:val="auto"/>
                <w:sz w:val="22"/>
                <w:szCs w:val="21"/>
              </w:rPr>
            </w:pPr>
          </w:p>
        </w:tc>
      </w:tr>
    </w:tbl>
    <w:p w14:paraId="3810969D">
      <w:pPr>
        <w:spacing w:before="312" w:beforeLines="100" w:after="312" w:afterLines="100"/>
        <w:outlineLvl w:val="2"/>
        <w:rPr>
          <w:rFonts w:ascii="Times New Roman" w:eastAsia="黑体"/>
          <w:color w:val="auto"/>
          <w:szCs w:val="24"/>
        </w:rPr>
      </w:pPr>
      <w:r>
        <w:rPr>
          <w:rFonts w:hint="eastAsia" w:ascii="Times New Roman" w:eastAsia="黑体"/>
          <w:bCs/>
          <w:color w:val="auto"/>
        </w:rPr>
        <w:br w:type="page"/>
      </w:r>
      <w:bookmarkStart w:id="604" w:name="_Toc128950236"/>
      <w:r>
        <w:rPr>
          <w:rFonts w:hint="eastAsia" w:ascii="Times New Roman" w:eastAsia="黑体"/>
          <w:color w:val="auto"/>
          <w:szCs w:val="24"/>
        </w:rPr>
        <w:t>附</w:t>
      </w:r>
      <w:bookmarkStart w:id="605" w:name="_Toc296347224"/>
      <w:bookmarkStart w:id="606" w:name="_Toc267261692"/>
      <w:bookmarkStart w:id="607" w:name="_Toc296346726"/>
      <w:bookmarkStart w:id="608" w:name="_Toc296891053"/>
      <w:bookmarkStart w:id="609" w:name="_Toc296944564"/>
      <w:bookmarkStart w:id="610" w:name="_Toc296891265"/>
      <w:bookmarkStart w:id="611" w:name="_Toc296503225"/>
      <w:r>
        <w:rPr>
          <w:rFonts w:hint="eastAsia" w:ascii="Times New Roman" w:eastAsia="黑体"/>
          <w:color w:val="auto"/>
          <w:szCs w:val="24"/>
        </w:rPr>
        <w:t>件</w:t>
      </w:r>
      <w:r>
        <w:rPr>
          <w:rFonts w:ascii="Times New Roman" w:eastAsia="黑体"/>
          <w:color w:val="auto"/>
          <w:szCs w:val="24"/>
        </w:rPr>
        <w:t>2</w:t>
      </w:r>
      <w:r>
        <w:rPr>
          <w:rFonts w:hint="eastAsia" w:ascii="Times New Roman" w:eastAsia="黑体"/>
          <w:color w:val="auto"/>
          <w:szCs w:val="24"/>
        </w:rPr>
        <w:t>：发包人供应材料设备一览表</w:t>
      </w:r>
      <w:bookmarkEnd w:id="604"/>
    </w:p>
    <w:bookmarkEnd w:id="605"/>
    <w:bookmarkEnd w:id="606"/>
    <w:bookmarkEnd w:id="607"/>
    <w:bookmarkEnd w:id="608"/>
    <w:bookmarkEnd w:id="609"/>
    <w:bookmarkEnd w:id="610"/>
    <w:bookmarkEnd w:id="611"/>
    <w:p w14:paraId="1BB6BD5D">
      <w:pPr>
        <w:spacing w:line="360" w:lineRule="auto"/>
        <w:jc w:val="center"/>
        <w:rPr>
          <w:rFonts w:cs="宋体"/>
          <w:color w:val="auto"/>
          <w:sz w:val="22"/>
          <w:szCs w:val="21"/>
        </w:rPr>
      </w:pPr>
      <w:r>
        <w:rPr>
          <w:rFonts w:hint="eastAsia" w:cs="宋体"/>
          <w:color w:val="auto"/>
          <w:sz w:val="22"/>
          <w:szCs w:val="21"/>
        </w:rPr>
        <w:t>发包人供应材料设备一览表</w:t>
      </w:r>
    </w:p>
    <w:tbl>
      <w:tblPr>
        <w:tblStyle w:val="5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527"/>
        <w:gridCol w:w="1700"/>
        <w:gridCol w:w="998"/>
        <w:gridCol w:w="528"/>
        <w:gridCol w:w="528"/>
        <w:gridCol w:w="1233"/>
        <w:gridCol w:w="998"/>
        <w:gridCol w:w="998"/>
        <w:gridCol w:w="998"/>
        <w:gridCol w:w="528"/>
      </w:tblGrid>
      <w:tr w14:paraId="0BCA76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292" w:type="pct"/>
            <w:tcBorders>
              <w:top w:val="single" w:color="auto" w:sz="12" w:space="0"/>
              <w:bottom w:val="double" w:color="auto" w:sz="6" w:space="0"/>
            </w:tcBorders>
            <w:vAlign w:val="center"/>
          </w:tcPr>
          <w:p w14:paraId="4665C60D">
            <w:pPr>
              <w:keepNext/>
              <w:snapToGrid w:val="0"/>
              <w:spacing w:line="360" w:lineRule="auto"/>
              <w:jc w:val="center"/>
              <w:rPr>
                <w:rFonts w:cs="宋体"/>
                <w:color w:val="auto"/>
                <w:sz w:val="22"/>
                <w:szCs w:val="21"/>
              </w:rPr>
            </w:pPr>
            <w:r>
              <w:rPr>
                <w:rFonts w:hint="eastAsia" w:cs="宋体"/>
                <w:color w:val="auto"/>
                <w:sz w:val="22"/>
                <w:szCs w:val="21"/>
              </w:rPr>
              <w:t>序号</w:t>
            </w:r>
          </w:p>
        </w:tc>
        <w:tc>
          <w:tcPr>
            <w:tcW w:w="941" w:type="pct"/>
            <w:tcBorders>
              <w:top w:val="single" w:color="auto" w:sz="12" w:space="0"/>
              <w:bottom w:val="double" w:color="auto" w:sz="6" w:space="0"/>
            </w:tcBorders>
            <w:vAlign w:val="center"/>
          </w:tcPr>
          <w:p w14:paraId="0E5BCBBC">
            <w:pPr>
              <w:keepNext/>
              <w:snapToGrid w:val="0"/>
              <w:spacing w:line="360" w:lineRule="auto"/>
              <w:jc w:val="center"/>
              <w:rPr>
                <w:rFonts w:cs="宋体"/>
                <w:color w:val="auto"/>
                <w:sz w:val="22"/>
                <w:szCs w:val="21"/>
              </w:rPr>
            </w:pPr>
            <w:r>
              <w:rPr>
                <w:rFonts w:hint="eastAsia" w:cs="宋体"/>
                <w:color w:val="auto"/>
                <w:sz w:val="22"/>
                <w:szCs w:val="21"/>
              </w:rPr>
              <w:t>材料、设备品种</w:t>
            </w:r>
          </w:p>
        </w:tc>
        <w:tc>
          <w:tcPr>
            <w:tcW w:w="552" w:type="pct"/>
            <w:tcBorders>
              <w:top w:val="single" w:color="auto" w:sz="12" w:space="0"/>
              <w:bottom w:val="double" w:color="auto" w:sz="6" w:space="0"/>
            </w:tcBorders>
            <w:vAlign w:val="center"/>
          </w:tcPr>
          <w:p w14:paraId="7A4F00A8">
            <w:pPr>
              <w:keepNext/>
              <w:snapToGrid w:val="0"/>
              <w:spacing w:line="360" w:lineRule="auto"/>
              <w:jc w:val="center"/>
              <w:rPr>
                <w:rFonts w:cs="宋体"/>
                <w:color w:val="auto"/>
                <w:sz w:val="22"/>
                <w:szCs w:val="21"/>
              </w:rPr>
            </w:pPr>
            <w:r>
              <w:rPr>
                <w:rFonts w:hint="eastAsia" w:cs="宋体"/>
                <w:color w:val="auto"/>
                <w:sz w:val="22"/>
                <w:szCs w:val="21"/>
              </w:rPr>
              <w:t>规格型号</w:t>
            </w:r>
          </w:p>
        </w:tc>
        <w:tc>
          <w:tcPr>
            <w:tcW w:w="292" w:type="pct"/>
            <w:tcBorders>
              <w:top w:val="single" w:color="auto" w:sz="12" w:space="0"/>
              <w:bottom w:val="double" w:color="auto" w:sz="6" w:space="0"/>
            </w:tcBorders>
            <w:vAlign w:val="center"/>
          </w:tcPr>
          <w:p w14:paraId="01F33EE5">
            <w:pPr>
              <w:keepNext/>
              <w:snapToGrid w:val="0"/>
              <w:spacing w:line="360" w:lineRule="auto"/>
              <w:jc w:val="center"/>
              <w:rPr>
                <w:rFonts w:cs="宋体"/>
                <w:color w:val="auto"/>
                <w:sz w:val="22"/>
                <w:szCs w:val="21"/>
              </w:rPr>
            </w:pPr>
            <w:r>
              <w:rPr>
                <w:rFonts w:hint="eastAsia" w:cs="宋体"/>
                <w:color w:val="auto"/>
                <w:sz w:val="22"/>
                <w:szCs w:val="21"/>
              </w:rPr>
              <w:t>单位</w:t>
            </w:r>
          </w:p>
        </w:tc>
        <w:tc>
          <w:tcPr>
            <w:tcW w:w="292" w:type="pct"/>
            <w:tcBorders>
              <w:top w:val="single" w:color="auto" w:sz="12" w:space="0"/>
              <w:bottom w:val="double" w:color="auto" w:sz="6" w:space="0"/>
            </w:tcBorders>
            <w:vAlign w:val="center"/>
          </w:tcPr>
          <w:p w14:paraId="68E341D5">
            <w:pPr>
              <w:keepNext/>
              <w:snapToGrid w:val="0"/>
              <w:spacing w:line="360" w:lineRule="auto"/>
              <w:jc w:val="center"/>
              <w:rPr>
                <w:rFonts w:cs="宋体"/>
                <w:color w:val="auto"/>
                <w:sz w:val="22"/>
                <w:szCs w:val="21"/>
              </w:rPr>
            </w:pPr>
            <w:r>
              <w:rPr>
                <w:rFonts w:hint="eastAsia" w:cs="宋体"/>
                <w:color w:val="auto"/>
                <w:sz w:val="22"/>
                <w:szCs w:val="21"/>
              </w:rPr>
              <w:t>数量</w:t>
            </w:r>
          </w:p>
        </w:tc>
        <w:tc>
          <w:tcPr>
            <w:tcW w:w="682" w:type="pct"/>
            <w:tcBorders>
              <w:top w:val="single" w:color="auto" w:sz="12" w:space="0"/>
              <w:bottom w:val="double" w:color="auto" w:sz="6" w:space="0"/>
            </w:tcBorders>
            <w:vAlign w:val="center"/>
          </w:tcPr>
          <w:p w14:paraId="0BEE2FEF">
            <w:pPr>
              <w:keepNext/>
              <w:snapToGrid w:val="0"/>
              <w:spacing w:line="360" w:lineRule="auto"/>
              <w:jc w:val="center"/>
              <w:rPr>
                <w:rFonts w:cs="宋体"/>
                <w:color w:val="auto"/>
                <w:sz w:val="22"/>
                <w:szCs w:val="21"/>
              </w:rPr>
            </w:pPr>
            <w:r>
              <w:rPr>
                <w:rFonts w:hint="eastAsia" w:cs="宋体"/>
                <w:color w:val="auto"/>
                <w:sz w:val="22"/>
                <w:szCs w:val="21"/>
              </w:rPr>
              <w:t>单价（元）</w:t>
            </w:r>
          </w:p>
        </w:tc>
        <w:tc>
          <w:tcPr>
            <w:tcW w:w="552" w:type="pct"/>
            <w:tcBorders>
              <w:top w:val="single" w:color="auto" w:sz="12" w:space="0"/>
              <w:bottom w:val="double" w:color="auto" w:sz="6" w:space="0"/>
            </w:tcBorders>
            <w:vAlign w:val="center"/>
          </w:tcPr>
          <w:p w14:paraId="26FB2C89">
            <w:pPr>
              <w:keepNext/>
              <w:snapToGrid w:val="0"/>
              <w:spacing w:line="360" w:lineRule="auto"/>
              <w:jc w:val="center"/>
              <w:rPr>
                <w:rFonts w:cs="宋体"/>
                <w:color w:val="auto"/>
                <w:sz w:val="22"/>
                <w:szCs w:val="21"/>
              </w:rPr>
            </w:pPr>
            <w:r>
              <w:rPr>
                <w:rFonts w:hint="eastAsia" w:cs="宋体"/>
                <w:color w:val="auto"/>
                <w:sz w:val="22"/>
                <w:szCs w:val="21"/>
              </w:rPr>
              <w:t>质量等级</w:t>
            </w:r>
          </w:p>
        </w:tc>
        <w:tc>
          <w:tcPr>
            <w:tcW w:w="552" w:type="pct"/>
            <w:tcBorders>
              <w:top w:val="single" w:color="auto" w:sz="12" w:space="0"/>
              <w:bottom w:val="double" w:color="auto" w:sz="6" w:space="0"/>
            </w:tcBorders>
            <w:vAlign w:val="center"/>
          </w:tcPr>
          <w:p w14:paraId="192F41BE">
            <w:pPr>
              <w:keepNext/>
              <w:snapToGrid w:val="0"/>
              <w:spacing w:line="360" w:lineRule="auto"/>
              <w:jc w:val="center"/>
              <w:rPr>
                <w:rFonts w:cs="宋体"/>
                <w:color w:val="auto"/>
                <w:sz w:val="22"/>
                <w:szCs w:val="21"/>
              </w:rPr>
            </w:pPr>
            <w:r>
              <w:rPr>
                <w:rFonts w:hint="eastAsia" w:cs="宋体"/>
                <w:color w:val="auto"/>
                <w:sz w:val="22"/>
                <w:szCs w:val="21"/>
              </w:rPr>
              <w:t>供应时间</w:t>
            </w:r>
          </w:p>
        </w:tc>
        <w:tc>
          <w:tcPr>
            <w:tcW w:w="552" w:type="pct"/>
            <w:tcBorders>
              <w:top w:val="single" w:color="auto" w:sz="12" w:space="0"/>
              <w:bottom w:val="double" w:color="auto" w:sz="6" w:space="0"/>
            </w:tcBorders>
            <w:vAlign w:val="center"/>
          </w:tcPr>
          <w:p w14:paraId="227F3584">
            <w:pPr>
              <w:keepNext/>
              <w:snapToGrid w:val="0"/>
              <w:spacing w:line="360" w:lineRule="auto"/>
              <w:jc w:val="center"/>
              <w:rPr>
                <w:rFonts w:cs="宋体"/>
                <w:color w:val="auto"/>
                <w:sz w:val="22"/>
                <w:szCs w:val="21"/>
              </w:rPr>
            </w:pPr>
            <w:r>
              <w:rPr>
                <w:rFonts w:hint="eastAsia" w:cs="宋体"/>
                <w:color w:val="auto"/>
                <w:sz w:val="22"/>
                <w:szCs w:val="21"/>
              </w:rPr>
              <w:t>送达地点</w:t>
            </w:r>
          </w:p>
        </w:tc>
        <w:tc>
          <w:tcPr>
            <w:tcW w:w="292" w:type="pct"/>
            <w:tcBorders>
              <w:top w:val="single" w:color="auto" w:sz="12" w:space="0"/>
              <w:bottom w:val="double" w:color="auto" w:sz="6" w:space="0"/>
            </w:tcBorders>
            <w:vAlign w:val="center"/>
          </w:tcPr>
          <w:p w14:paraId="6F4DE6E1">
            <w:pPr>
              <w:keepNext/>
              <w:snapToGrid w:val="0"/>
              <w:spacing w:line="360" w:lineRule="auto"/>
              <w:jc w:val="center"/>
              <w:rPr>
                <w:rFonts w:cs="宋体"/>
                <w:color w:val="auto"/>
                <w:sz w:val="22"/>
                <w:szCs w:val="21"/>
              </w:rPr>
            </w:pPr>
            <w:r>
              <w:rPr>
                <w:rFonts w:hint="eastAsia" w:cs="宋体"/>
                <w:color w:val="auto"/>
                <w:sz w:val="22"/>
                <w:szCs w:val="21"/>
              </w:rPr>
              <w:t>备注</w:t>
            </w:r>
          </w:p>
        </w:tc>
      </w:tr>
      <w:tr w14:paraId="26A867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292" w:type="pct"/>
            <w:tcBorders>
              <w:top w:val="double" w:color="auto" w:sz="6" w:space="0"/>
            </w:tcBorders>
            <w:vAlign w:val="center"/>
          </w:tcPr>
          <w:p w14:paraId="1BCAD829">
            <w:pPr>
              <w:keepNext/>
              <w:snapToGrid w:val="0"/>
              <w:spacing w:line="360" w:lineRule="auto"/>
              <w:jc w:val="center"/>
              <w:rPr>
                <w:rFonts w:cs="宋体"/>
                <w:color w:val="auto"/>
                <w:sz w:val="22"/>
                <w:szCs w:val="21"/>
              </w:rPr>
            </w:pPr>
          </w:p>
        </w:tc>
        <w:tc>
          <w:tcPr>
            <w:tcW w:w="941" w:type="pct"/>
            <w:tcBorders>
              <w:top w:val="double" w:color="auto" w:sz="6" w:space="0"/>
            </w:tcBorders>
            <w:vAlign w:val="center"/>
          </w:tcPr>
          <w:p w14:paraId="6CACB3CA">
            <w:pPr>
              <w:keepNext/>
              <w:snapToGrid w:val="0"/>
              <w:spacing w:line="360" w:lineRule="auto"/>
              <w:jc w:val="center"/>
              <w:rPr>
                <w:rFonts w:cs="宋体"/>
                <w:color w:val="auto"/>
                <w:sz w:val="22"/>
                <w:szCs w:val="21"/>
              </w:rPr>
            </w:pPr>
          </w:p>
        </w:tc>
        <w:tc>
          <w:tcPr>
            <w:tcW w:w="552" w:type="pct"/>
            <w:tcBorders>
              <w:top w:val="double" w:color="auto" w:sz="6" w:space="0"/>
            </w:tcBorders>
            <w:vAlign w:val="center"/>
          </w:tcPr>
          <w:p w14:paraId="7789C883">
            <w:pPr>
              <w:keepNext/>
              <w:snapToGrid w:val="0"/>
              <w:spacing w:line="360" w:lineRule="auto"/>
              <w:jc w:val="center"/>
              <w:rPr>
                <w:rFonts w:cs="宋体"/>
                <w:color w:val="auto"/>
                <w:sz w:val="22"/>
                <w:szCs w:val="21"/>
              </w:rPr>
            </w:pPr>
          </w:p>
        </w:tc>
        <w:tc>
          <w:tcPr>
            <w:tcW w:w="292" w:type="pct"/>
            <w:tcBorders>
              <w:top w:val="double" w:color="auto" w:sz="6" w:space="0"/>
            </w:tcBorders>
            <w:vAlign w:val="center"/>
          </w:tcPr>
          <w:p w14:paraId="775D6139">
            <w:pPr>
              <w:keepNext/>
              <w:snapToGrid w:val="0"/>
              <w:spacing w:line="360" w:lineRule="auto"/>
              <w:jc w:val="center"/>
              <w:rPr>
                <w:rFonts w:cs="宋体"/>
                <w:color w:val="auto"/>
                <w:sz w:val="22"/>
                <w:szCs w:val="21"/>
              </w:rPr>
            </w:pPr>
          </w:p>
        </w:tc>
        <w:tc>
          <w:tcPr>
            <w:tcW w:w="292" w:type="pct"/>
            <w:tcBorders>
              <w:top w:val="double" w:color="auto" w:sz="6" w:space="0"/>
            </w:tcBorders>
            <w:vAlign w:val="center"/>
          </w:tcPr>
          <w:p w14:paraId="65ABF2D3">
            <w:pPr>
              <w:keepNext/>
              <w:snapToGrid w:val="0"/>
              <w:spacing w:line="360" w:lineRule="auto"/>
              <w:jc w:val="center"/>
              <w:rPr>
                <w:rFonts w:cs="宋体"/>
                <w:color w:val="auto"/>
                <w:sz w:val="22"/>
                <w:szCs w:val="21"/>
              </w:rPr>
            </w:pPr>
          </w:p>
        </w:tc>
        <w:tc>
          <w:tcPr>
            <w:tcW w:w="682" w:type="pct"/>
            <w:tcBorders>
              <w:top w:val="double" w:color="auto" w:sz="6" w:space="0"/>
            </w:tcBorders>
            <w:vAlign w:val="center"/>
          </w:tcPr>
          <w:p w14:paraId="37C2A2D3">
            <w:pPr>
              <w:keepNext/>
              <w:snapToGrid w:val="0"/>
              <w:spacing w:line="360" w:lineRule="auto"/>
              <w:jc w:val="center"/>
              <w:rPr>
                <w:rFonts w:cs="宋体"/>
                <w:color w:val="auto"/>
                <w:sz w:val="22"/>
                <w:szCs w:val="21"/>
              </w:rPr>
            </w:pPr>
          </w:p>
        </w:tc>
        <w:tc>
          <w:tcPr>
            <w:tcW w:w="552" w:type="pct"/>
            <w:tcBorders>
              <w:top w:val="double" w:color="auto" w:sz="6" w:space="0"/>
            </w:tcBorders>
            <w:vAlign w:val="center"/>
          </w:tcPr>
          <w:p w14:paraId="50E0834E">
            <w:pPr>
              <w:keepNext/>
              <w:snapToGrid w:val="0"/>
              <w:spacing w:line="360" w:lineRule="auto"/>
              <w:jc w:val="center"/>
              <w:rPr>
                <w:rFonts w:cs="宋体"/>
                <w:color w:val="auto"/>
                <w:sz w:val="22"/>
                <w:szCs w:val="21"/>
              </w:rPr>
            </w:pPr>
          </w:p>
        </w:tc>
        <w:tc>
          <w:tcPr>
            <w:tcW w:w="552" w:type="pct"/>
            <w:tcBorders>
              <w:top w:val="double" w:color="auto" w:sz="6" w:space="0"/>
            </w:tcBorders>
            <w:vAlign w:val="center"/>
          </w:tcPr>
          <w:p w14:paraId="1082730B">
            <w:pPr>
              <w:keepNext/>
              <w:snapToGrid w:val="0"/>
              <w:spacing w:line="360" w:lineRule="auto"/>
              <w:jc w:val="center"/>
              <w:rPr>
                <w:rFonts w:cs="宋体"/>
                <w:color w:val="auto"/>
                <w:sz w:val="22"/>
                <w:szCs w:val="21"/>
              </w:rPr>
            </w:pPr>
          </w:p>
        </w:tc>
        <w:tc>
          <w:tcPr>
            <w:tcW w:w="552" w:type="pct"/>
            <w:tcBorders>
              <w:top w:val="double" w:color="auto" w:sz="6" w:space="0"/>
            </w:tcBorders>
            <w:vAlign w:val="center"/>
          </w:tcPr>
          <w:p w14:paraId="6C12F966">
            <w:pPr>
              <w:keepNext/>
              <w:snapToGrid w:val="0"/>
              <w:spacing w:line="360" w:lineRule="auto"/>
              <w:jc w:val="center"/>
              <w:rPr>
                <w:rFonts w:cs="宋体"/>
                <w:color w:val="auto"/>
                <w:sz w:val="22"/>
                <w:szCs w:val="21"/>
              </w:rPr>
            </w:pPr>
          </w:p>
        </w:tc>
        <w:tc>
          <w:tcPr>
            <w:tcW w:w="292" w:type="pct"/>
            <w:tcBorders>
              <w:top w:val="double" w:color="auto" w:sz="6" w:space="0"/>
            </w:tcBorders>
            <w:vAlign w:val="center"/>
          </w:tcPr>
          <w:p w14:paraId="70071C04">
            <w:pPr>
              <w:keepNext/>
              <w:snapToGrid w:val="0"/>
              <w:spacing w:line="360" w:lineRule="auto"/>
              <w:jc w:val="center"/>
              <w:rPr>
                <w:rFonts w:cs="宋体"/>
                <w:color w:val="auto"/>
                <w:sz w:val="22"/>
                <w:szCs w:val="21"/>
              </w:rPr>
            </w:pPr>
          </w:p>
        </w:tc>
      </w:tr>
      <w:tr w14:paraId="49FE6E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292" w:type="pct"/>
            <w:vAlign w:val="center"/>
          </w:tcPr>
          <w:p w14:paraId="19821F21">
            <w:pPr>
              <w:snapToGrid w:val="0"/>
              <w:spacing w:line="360" w:lineRule="auto"/>
              <w:jc w:val="center"/>
              <w:rPr>
                <w:rFonts w:cs="宋体"/>
                <w:color w:val="auto"/>
                <w:sz w:val="22"/>
                <w:szCs w:val="21"/>
              </w:rPr>
            </w:pPr>
          </w:p>
        </w:tc>
        <w:tc>
          <w:tcPr>
            <w:tcW w:w="941" w:type="pct"/>
            <w:vAlign w:val="center"/>
          </w:tcPr>
          <w:p w14:paraId="6FC7848A">
            <w:pPr>
              <w:snapToGrid w:val="0"/>
              <w:spacing w:line="360" w:lineRule="auto"/>
              <w:jc w:val="center"/>
              <w:rPr>
                <w:rFonts w:cs="宋体"/>
                <w:color w:val="auto"/>
                <w:sz w:val="22"/>
                <w:szCs w:val="21"/>
              </w:rPr>
            </w:pPr>
          </w:p>
        </w:tc>
        <w:tc>
          <w:tcPr>
            <w:tcW w:w="552" w:type="pct"/>
            <w:vAlign w:val="center"/>
          </w:tcPr>
          <w:p w14:paraId="5B4168F2">
            <w:pPr>
              <w:snapToGrid w:val="0"/>
              <w:spacing w:line="360" w:lineRule="auto"/>
              <w:jc w:val="center"/>
              <w:rPr>
                <w:rFonts w:cs="宋体"/>
                <w:color w:val="auto"/>
                <w:sz w:val="22"/>
                <w:szCs w:val="21"/>
              </w:rPr>
            </w:pPr>
          </w:p>
        </w:tc>
        <w:tc>
          <w:tcPr>
            <w:tcW w:w="292" w:type="pct"/>
            <w:vAlign w:val="center"/>
          </w:tcPr>
          <w:p w14:paraId="6E5DBF06">
            <w:pPr>
              <w:snapToGrid w:val="0"/>
              <w:spacing w:line="360" w:lineRule="auto"/>
              <w:jc w:val="center"/>
              <w:rPr>
                <w:rFonts w:cs="宋体"/>
                <w:color w:val="auto"/>
                <w:sz w:val="22"/>
                <w:szCs w:val="21"/>
              </w:rPr>
            </w:pPr>
          </w:p>
        </w:tc>
        <w:tc>
          <w:tcPr>
            <w:tcW w:w="292" w:type="pct"/>
            <w:vAlign w:val="center"/>
          </w:tcPr>
          <w:p w14:paraId="7FE5B474">
            <w:pPr>
              <w:snapToGrid w:val="0"/>
              <w:spacing w:line="360" w:lineRule="auto"/>
              <w:jc w:val="center"/>
              <w:rPr>
                <w:rFonts w:cs="宋体"/>
                <w:color w:val="auto"/>
                <w:sz w:val="22"/>
                <w:szCs w:val="21"/>
              </w:rPr>
            </w:pPr>
          </w:p>
        </w:tc>
        <w:tc>
          <w:tcPr>
            <w:tcW w:w="682" w:type="pct"/>
            <w:vAlign w:val="center"/>
          </w:tcPr>
          <w:p w14:paraId="42DF5BA2">
            <w:pPr>
              <w:snapToGrid w:val="0"/>
              <w:spacing w:line="360" w:lineRule="auto"/>
              <w:jc w:val="center"/>
              <w:rPr>
                <w:rFonts w:cs="宋体"/>
                <w:color w:val="auto"/>
                <w:sz w:val="22"/>
                <w:szCs w:val="21"/>
              </w:rPr>
            </w:pPr>
          </w:p>
        </w:tc>
        <w:tc>
          <w:tcPr>
            <w:tcW w:w="552" w:type="pct"/>
            <w:vAlign w:val="center"/>
          </w:tcPr>
          <w:p w14:paraId="6DDDA762">
            <w:pPr>
              <w:snapToGrid w:val="0"/>
              <w:spacing w:line="360" w:lineRule="auto"/>
              <w:jc w:val="center"/>
              <w:rPr>
                <w:rFonts w:cs="宋体"/>
                <w:color w:val="auto"/>
                <w:sz w:val="22"/>
                <w:szCs w:val="21"/>
              </w:rPr>
            </w:pPr>
          </w:p>
        </w:tc>
        <w:tc>
          <w:tcPr>
            <w:tcW w:w="552" w:type="pct"/>
            <w:vAlign w:val="center"/>
          </w:tcPr>
          <w:p w14:paraId="3D283FEE">
            <w:pPr>
              <w:snapToGrid w:val="0"/>
              <w:spacing w:line="360" w:lineRule="auto"/>
              <w:jc w:val="center"/>
              <w:rPr>
                <w:rFonts w:cs="宋体"/>
                <w:color w:val="auto"/>
                <w:sz w:val="22"/>
                <w:szCs w:val="21"/>
              </w:rPr>
            </w:pPr>
          </w:p>
        </w:tc>
        <w:tc>
          <w:tcPr>
            <w:tcW w:w="552" w:type="pct"/>
            <w:vAlign w:val="center"/>
          </w:tcPr>
          <w:p w14:paraId="3DE2E0ED">
            <w:pPr>
              <w:snapToGrid w:val="0"/>
              <w:spacing w:line="360" w:lineRule="auto"/>
              <w:jc w:val="center"/>
              <w:rPr>
                <w:rFonts w:cs="宋体"/>
                <w:color w:val="auto"/>
                <w:sz w:val="22"/>
                <w:szCs w:val="21"/>
              </w:rPr>
            </w:pPr>
          </w:p>
        </w:tc>
        <w:tc>
          <w:tcPr>
            <w:tcW w:w="292" w:type="pct"/>
            <w:vAlign w:val="center"/>
          </w:tcPr>
          <w:p w14:paraId="4FCB55BC">
            <w:pPr>
              <w:snapToGrid w:val="0"/>
              <w:spacing w:line="360" w:lineRule="auto"/>
              <w:jc w:val="center"/>
              <w:rPr>
                <w:rFonts w:cs="宋体"/>
                <w:color w:val="auto"/>
                <w:sz w:val="22"/>
                <w:szCs w:val="21"/>
              </w:rPr>
            </w:pPr>
          </w:p>
        </w:tc>
      </w:tr>
      <w:tr w14:paraId="7472BE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292" w:type="pct"/>
            <w:tcBorders>
              <w:bottom w:val="single" w:color="auto" w:sz="12" w:space="0"/>
            </w:tcBorders>
            <w:vAlign w:val="center"/>
          </w:tcPr>
          <w:p w14:paraId="57D9748A">
            <w:pPr>
              <w:snapToGrid w:val="0"/>
              <w:spacing w:line="360" w:lineRule="auto"/>
              <w:jc w:val="center"/>
              <w:rPr>
                <w:rFonts w:cs="宋体"/>
                <w:color w:val="auto"/>
                <w:sz w:val="22"/>
                <w:szCs w:val="21"/>
              </w:rPr>
            </w:pPr>
          </w:p>
        </w:tc>
        <w:tc>
          <w:tcPr>
            <w:tcW w:w="941" w:type="pct"/>
            <w:tcBorders>
              <w:bottom w:val="single" w:color="auto" w:sz="12" w:space="0"/>
            </w:tcBorders>
            <w:vAlign w:val="center"/>
          </w:tcPr>
          <w:p w14:paraId="2850F95D">
            <w:pPr>
              <w:snapToGrid w:val="0"/>
              <w:spacing w:line="360" w:lineRule="auto"/>
              <w:jc w:val="center"/>
              <w:rPr>
                <w:rFonts w:cs="宋体"/>
                <w:color w:val="auto"/>
                <w:sz w:val="22"/>
                <w:szCs w:val="21"/>
              </w:rPr>
            </w:pPr>
          </w:p>
        </w:tc>
        <w:tc>
          <w:tcPr>
            <w:tcW w:w="552" w:type="pct"/>
            <w:tcBorders>
              <w:bottom w:val="single" w:color="auto" w:sz="12" w:space="0"/>
            </w:tcBorders>
            <w:vAlign w:val="center"/>
          </w:tcPr>
          <w:p w14:paraId="2BD99275">
            <w:pPr>
              <w:snapToGrid w:val="0"/>
              <w:spacing w:line="360" w:lineRule="auto"/>
              <w:jc w:val="center"/>
              <w:rPr>
                <w:rFonts w:cs="宋体"/>
                <w:color w:val="auto"/>
                <w:sz w:val="22"/>
                <w:szCs w:val="21"/>
              </w:rPr>
            </w:pPr>
          </w:p>
        </w:tc>
        <w:tc>
          <w:tcPr>
            <w:tcW w:w="292" w:type="pct"/>
            <w:tcBorders>
              <w:bottom w:val="single" w:color="auto" w:sz="12" w:space="0"/>
            </w:tcBorders>
            <w:vAlign w:val="center"/>
          </w:tcPr>
          <w:p w14:paraId="5EC73EF8">
            <w:pPr>
              <w:snapToGrid w:val="0"/>
              <w:spacing w:line="360" w:lineRule="auto"/>
              <w:jc w:val="center"/>
              <w:rPr>
                <w:rFonts w:cs="宋体"/>
                <w:color w:val="auto"/>
                <w:sz w:val="22"/>
                <w:szCs w:val="21"/>
              </w:rPr>
            </w:pPr>
          </w:p>
        </w:tc>
        <w:tc>
          <w:tcPr>
            <w:tcW w:w="292" w:type="pct"/>
            <w:tcBorders>
              <w:bottom w:val="single" w:color="auto" w:sz="12" w:space="0"/>
            </w:tcBorders>
            <w:vAlign w:val="center"/>
          </w:tcPr>
          <w:p w14:paraId="285530AC">
            <w:pPr>
              <w:snapToGrid w:val="0"/>
              <w:spacing w:line="360" w:lineRule="auto"/>
              <w:jc w:val="center"/>
              <w:rPr>
                <w:rFonts w:cs="宋体"/>
                <w:color w:val="auto"/>
                <w:sz w:val="22"/>
                <w:szCs w:val="21"/>
              </w:rPr>
            </w:pPr>
          </w:p>
        </w:tc>
        <w:tc>
          <w:tcPr>
            <w:tcW w:w="682" w:type="pct"/>
            <w:tcBorders>
              <w:bottom w:val="single" w:color="auto" w:sz="12" w:space="0"/>
            </w:tcBorders>
            <w:vAlign w:val="center"/>
          </w:tcPr>
          <w:p w14:paraId="10E1BDB8">
            <w:pPr>
              <w:snapToGrid w:val="0"/>
              <w:spacing w:line="360" w:lineRule="auto"/>
              <w:jc w:val="center"/>
              <w:rPr>
                <w:rFonts w:cs="宋体"/>
                <w:color w:val="auto"/>
                <w:sz w:val="22"/>
                <w:szCs w:val="21"/>
              </w:rPr>
            </w:pPr>
          </w:p>
        </w:tc>
        <w:tc>
          <w:tcPr>
            <w:tcW w:w="552" w:type="pct"/>
            <w:tcBorders>
              <w:bottom w:val="single" w:color="auto" w:sz="12" w:space="0"/>
            </w:tcBorders>
            <w:vAlign w:val="center"/>
          </w:tcPr>
          <w:p w14:paraId="45C9FB9B">
            <w:pPr>
              <w:snapToGrid w:val="0"/>
              <w:spacing w:line="360" w:lineRule="auto"/>
              <w:jc w:val="center"/>
              <w:rPr>
                <w:rFonts w:cs="宋体"/>
                <w:color w:val="auto"/>
                <w:sz w:val="22"/>
                <w:szCs w:val="21"/>
              </w:rPr>
            </w:pPr>
          </w:p>
        </w:tc>
        <w:tc>
          <w:tcPr>
            <w:tcW w:w="552" w:type="pct"/>
            <w:tcBorders>
              <w:bottom w:val="single" w:color="auto" w:sz="12" w:space="0"/>
            </w:tcBorders>
            <w:vAlign w:val="center"/>
          </w:tcPr>
          <w:p w14:paraId="22CB6D5F">
            <w:pPr>
              <w:snapToGrid w:val="0"/>
              <w:spacing w:line="360" w:lineRule="auto"/>
              <w:jc w:val="center"/>
              <w:rPr>
                <w:rFonts w:cs="宋体"/>
                <w:color w:val="auto"/>
                <w:sz w:val="22"/>
                <w:szCs w:val="21"/>
              </w:rPr>
            </w:pPr>
          </w:p>
        </w:tc>
        <w:tc>
          <w:tcPr>
            <w:tcW w:w="552" w:type="pct"/>
            <w:tcBorders>
              <w:bottom w:val="single" w:color="auto" w:sz="12" w:space="0"/>
            </w:tcBorders>
            <w:vAlign w:val="center"/>
          </w:tcPr>
          <w:p w14:paraId="77AB02D2">
            <w:pPr>
              <w:snapToGrid w:val="0"/>
              <w:spacing w:line="360" w:lineRule="auto"/>
              <w:jc w:val="center"/>
              <w:rPr>
                <w:rFonts w:cs="宋体"/>
                <w:color w:val="auto"/>
                <w:sz w:val="22"/>
                <w:szCs w:val="21"/>
              </w:rPr>
            </w:pPr>
          </w:p>
        </w:tc>
        <w:tc>
          <w:tcPr>
            <w:tcW w:w="292" w:type="pct"/>
            <w:tcBorders>
              <w:bottom w:val="single" w:color="auto" w:sz="12" w:space="0"/>
            </w:tcBorders>
            <w:vAlign w:val="center"/>
          </w:tcPr>
          <w:p w14:paraId="7C00F046">
            <w:pPr>
              <w:snapToGrid w:val="0"/>
              <w:spacing w:line="360" w:lineRule="auto"/>
              <w:jc w:val="center"/>
              <w:rPr>
                <w:rFonts w:cs="宋体"/>
                <w:color w:val="auto"/>
                <w:sz w:val="22"/>
                <w:szCs w:val="21"/>
              </w:rPr>
            </w:pPr>
          </w:p>
        </w:tc>
      </w:tr>
    </w:tbl>
    <w:p w14:paraId="28B5526D">
      <w:pPr>
        <w:spacing w:before="312" w:beforeLines="100" w:after="312" w:afterLines="100"/>
        <w:outlineLvl w:val="2"/>
        <w:rPr>
          <w:rFonts w:ascii="Times New Roman" w:eastAsia="黑体"/>
          <w:color w:val="auto"/>
          <w:szCs w:val="24"/>
        </w:rPr>
      </w:pPr>
      <w:r>
        <w:rPr>
          <w:rFonts w:hint="eastAsia" w:cs="宋体"/>
          <w:bCs/>
          <w:color w:val="auto"/>
        </w:rPr>
        <w:br w:type="page"/>
      </w:r>
      <w:bookmarkStart w:id="612" w:name="_Toc128950237"/>
      <w:r>
        <w:rPr>
          <w:rFonts w:hint="eastAsia" w:ascii="Times New Roman" w:eastAsia="黑体"/>
          <w:color w:val="auto"/>
          <w:szCs w:val="24"/>
        </w:rPr>
        <w:t>附件3：工程质量保修书（房屋建筑工程）</w:t>
      </w:r>
      <w:bookmarkEnd w:id="612"/>
    </w:p>
    <w:p w14:paraId="37841A6F">
      <w:pPr>
        <w:adjustRightInd w:val="0"/>
        <w:snapToGrid w:val="0"/>
        <w:spacing w:before="156" w:beforeLines="50" w:after="156" w:afterLines="50" w:line="360" w:lineRule="auto"/>
        <w:jc w:val="center"/>
        <w:rPr>
          <w:rFonts w:cs="宋体"/>
          <w:b/>
          <w:color w:val="auto"/>
        </w:rPr>
      </w:pPr>
      <w:r>
        <w:rPr>
          <w:rFonts w:hint="eastAsia" w:cs="宋体"/>
          <w:b/>
          <w:color w:val="auto"/>
        </w:rPr>
        <w:t>工程质量保修书</w:t>
      </w:r>
    </w:p>
    <w:p w14:paraId="03272DA5">
      <w:pPr>
        <w:adjustRightInd w:val="0"/>
        <w:snapToGrid w:val="0"/>
        <w:spacing w:line="360" w:lineRule="auto"/>
        <w:ind w:firstLine="420" w:firstLineChars="200"/>
        <w:rPr>
          <w:rFonts w:cs="宋体"/>
          <w:color w:val="auto"/>
          <w:sz w:val="21"/>
          <w:szCs w:val="21"/>
        </w:rPr>
      </w:pPr>
      <w:r>
        <w:rPr>
          <w:rFonts w:hint="eastAsia" w:cs="宋体"/>
          <w:color w:val="auto"/>
          <w:sz w:val="21"/>
          <w:szCs w:val="21"/>
        </w:rPr>
        <w:t>发包人（全称）：</w:t>
      </w:r>
      <w:r>
        <w:rPr>
          <w:rFonts w:hint="eastAsia" w:cs="宋体"/>
          <w:color w:val="auto"/>
          <w:sz w:val="21"/>
          <w:szCs w:val="21"/>
          <w:u w:val="single"/>
        </w:rPr>
        <w:t xml:space="preserve">                                </w:t>
      </w:r>
      <w:r>
        <w:rPr>
          <w:rFonts w:hint="eastAsia" w:cs="宋体"/>
          <w:color w:val="auto"/>
          <w:sz w:val="21"/>
          <w:szCs w:val="21"/>
        </w:rPr>
        <w:t xml:space="preserve"> </w:t>
      </w:r>
    </w:p>
    <w:p w14:paraId="0EDA277A">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承包人（全称）：</w:t>
      </w:r>
      <w:r>
        <w:rPr>
          <w:rFonts w:hint="eastAsia" w:cs="宋体"/>
          <w:color w:val="auto"/>
          <w:sz w:val="21"/>
          <w:szCs w:val="21"/>
          <w:u w:val="single"/>
        </w:rPr>
        <w:t xml:space="preserve">                                </w:t>
      </w:r>
      <w:r>
        <w:rPr>
          <w:rFonts w:hint="eastAsia" w:cs="宋体"/>
          <w:color w:val="auto"/>
          <w:sz w:val="21"/>
          <w:szCs w:val="21"/>
        </w:rPr>
        <w:t xml:space="preserve"> </w:t>
      </w:r>
    </w:p>
    <w:p w14:paraId="394F5546">
      <w:pPr>
        <w:adjustRightInd w:val="0"/>
        <w:snapToGrid w:val="0"/>
        <w:spacing w:line="360" w:lineRule="auto"/>
        <w:ind w:firstLine="420" w:firstLineChars="200"/>
        <w:rPr>
          <w:rFonts w:cs="宋体"/>
          <w:color w:val="auto"/>
          <w:sz w:val="21"/>
          <w:szCs w:val="21"/>
        </w:rPr>
      </w:pPr>
      <w:r>
        <w:rPr>
          <w:rFonts w:hint="eastAsia" w:cs="宋体"/>
          <w:color w:val="auto"/>
          <w:sz w:val="21"/>
          <w:szCs w:val="21"/>
        </w:rPr>
        <w:t>发包人和承包人根据《中华人民共和国建筑法》和《建设工程质量管理条例》，经协商一致就_______________（工程全称）签订工程质量保修书。</w:t>
      </w:r>
    </w:p>
    <w:p w14:paraId="281C8B0D">
      <w:pPr>
        <w:adjustRightInd w:val="0"/>
        <w:snapToGrid w:val="0"/>
        <w:spacing w:line="360" w:lineRule="auto"/>
        <w:ind w:firstLine="422" w:firstLineChars="200"/>
        <w:rPr>
          <w:rFonts w:cs="宋体"/>
          <w:b/>
          <w:color w:val="auto"/>
          <w:sz w:val="21"/>
          <w:szCs w:val="21"/>
        </w:rPr>
      </w:pPr>
      <w:r>
        <w:rPr>
          <w:rFonts w:hint="eastAsia" w:cs="宋体"/>
          <w:b/>
          <w:color w:val="auto"/>
          <w:sz w:val="21"/>
          <w:szCs w:val="21"/>
        </w:rPr>
        <w:t>一、工程质量保修范围和内容</w:t>
      </w:r>
    </w:p>
    <w:p w14:paraId="028A8E8C">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承包人在质量保修期内，按照有关法律规定和合同约定，承担工程质量保修责任。</w:t>
      </w:r>
    </w:p>
    <w:p w14:paraId="092A61EA">
      <w:pPr>
        <w:adjustRightInd w:val="0"/>
        <w:snapToGrid w:val="0"/>
        <w:spacing w:line="360" w:lineRule="auto"/>
        <w:ind w:firstLine="420" w:firstLineChars="200"/>
        <w:rPr>
          <w:rFonts w:cs="宋体"/>
          <w:color w:val="auto"/>
          <w:sz w:val="21"/>
          <w:szCs w:val="21"/>
        </w:rPr>
      </w:pPr>
      <w:r>
        <w:rPr>
          <w:rFonts w:hint="eastAsia" w:cs="宋体"/>
          <w:color w:val="auto"/>
          <w:sz w:val="21"/>
          <w:szCs w:val="21"/>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cs="宋体"/>
          <w:color w:val="auto"/>
          <w:sz w:val="21"/>
          <w:szCs w:val="21"/>
          <w:u w:val="single"/>
        </w:rPr>
        <w:t xml:space="preserve">                </w:t>
      </w:r>
      <w:r>
        <w:rPr>
          <w:rFonts w:hint="eastAsia" w:cs="宋体"/>
          <w:color w:val="auto"/>
          <w:sz w:val="21"/>
          <w:szCs w:val="21"/>
        </w:rPr>
        <w:t>。</w:t>
      </w:r>
    </w:p>
    <w:p w14:paraId="75F8218E">
      <w:pPr>
        <w:adjustRightInd w:val="0"/>
        <w:snapToGrid w:val="0"/>
        <w:spacing w:line="360" w:lineRule="auto"/>
        <w:ind w:firstLine="413" w:firstLineChars="196"/>
        <w:rPr>
          <w:rFonts w:cs="宋体"/>
          <w:b/>
          <w:color w:val="auto"/>
          <w:sz w:val="21"/>
          <w:szCs w:val="21"/>
        </w:rPr>
      </w:pPr>
      <w:r>
        <w:rPr>
          <w:rFonts w:hint="eastAsia" w:cs="宋体"/>
          <w:b/>
          <w:color w:val="auto"/>
          <w:sz w:val="21"/>
          <w:szCs w:val="21"/>
        </w:rPr>
        <w:t>二、质量保修期</w:t>
      </w:r>
    </w:p>
    <w:p w14:paraId="028FAAA3">
      <w:pPr>
        <w:adjustRightInd w:val="0"/>
        <w:snapToGrid w:val="0"/>
        <w:spacing w:line="360" w:lineRule="auto"/>
        <w:ind w:firstLine="420" w:firstLineChars="200"/>
        <w:rPr>
          <w:rFonts w:cs="宋体"/>
          <w:color w:val="auto"/>
          <w:sz w:val="21"/>
          <w:szCs w:val="21"/>
        </w:rPr>
      </w:pPr>
      <w:r>
        <w:rPr>
          <w:rFonts w:hint="eastAsia" w:cs="宋体"/>
          <w:color w:val="auto"/>
          <w:sz w:val="21"/>
          <w:szCs w:val="21"/>
        </w:rPr>
        <w:t>根据《建设工程质量管理条例》及有关规定，工程的质量保修期如下：</w:t>
      </w:r>
    </w:p>
    <w:p w14:paraId="4EBF1298">
      <w:pPr>
        <w:adjustRightInd w:val="0"/>
        <w:snapToGrid w:val="0"/>
        <w:spacing w:line="360" w:lineRule="auto"/>
        <w:ind w:firstLine="420" w:firstLineChars="200"/>
        <w:rPr>
          <w:rFonts w:cs="宋体"/>
          <w:color w:val="auto"/>
          <w:sz w:val="21"/>
          <w:szCs w:val="21"/>
        </w:rPr>
      </w:pPr>
      <w:r>
        <w:rPr>
          <w:rFonts w:hint="eastAsia" w:cs="宋体"/>
          <w:color w:val="auto"/>
          <w:sz w:val="21"/>
          <w:szCs w:val="21"/>
        </w:rPr>
        <w:t>1. 地基基础工程和主体结构工程为设计文件规定的工程合理使用年限；</w:t>
      </w:r>
    </w:p>
    <w:p w14:paraId="1C7F644F">
      <w:pPr>
        <w:adjustRightInd w:val="0"/>
        <w:snapToGrid w:val="0"/>
        <w:spacing w:line="360" w:lineRule="auto"/>
        <w:ind w:firstLine="420" w:firstLineChars="200"/>
        <w:rPr>
          <w:rFonts w:cs="宋体"/>
          <w:color w:val="auto"/>
          <w:sz w:val="21"/>
          <w:szCs w:val="21"/>
        </w:rPr>
      </w:pPr>
      <w:r>
        <w:rPr>
          <w:rFonts w:hint="eastAsia" w:cs="宋体"/>
          <w:color w:val="auto"/>
          <w:sz w:val="21"/>
          <w:szCs w:val="21"/>
        </w:rPr>
        <w:t>2. 屋面防水工程、有防水要求的卫生间、房间和外墙面的防渗为</w:t>
      </w:r>
      <w:r>
        <w:rPr>
          <w:rFonts w:hint="eastAsia" w:cs="宋体"/>
          <w:color w:val="auto"/>
          <w:sz w:val="21"/>
          <w:szCs w:val="21"/>
          <w:u w:val="single"/>
        </w:rPr>
        <w:t>5</w:t>
      </w:r>
      <w:r>
        <w:rPr>
          <w:rFonts w:hint="eastAsia" w:cs="宋体"/>
          <w:color w:val="auto"/>
          <w:sz w:val="21"/>
          <w:szCs w:val="21"/>
        </w:rPr>
        <w:t>年；</w:t>
      </w:r>
    </w:p>
    <w:p w14:paraId="0C749B27">
      <w:pPr>
        <w:adjustRightInd w:val="0"/>
        <w:snapToGrid w:val="0"/>
        <w:spacing w:line="360" w:lineRule="auto"/>
        <w:ind w:firstLine="420" w:firstLineChars="200"/>
        <w:rPr>
          <w:rFonts w:cs="宋体"/>
          <w:color w:val="auto"/>
          <w:sz w:val="21"/>
          <w:szCs w:val="21"/>
        </w:rPr>
      </w:pPr>
      <w:r>
        <w:rPr>
          <w:rFonts w:hint="eastAsia" w:cs="宋体"/>
          <w:color w:val="auto"/>
          <w:sz w:val="21"/>
          <w:szCs w:val="21"/>
        </w:rPr>
        <w:t>3. 装修工程为</w:t>
      </w:r>
      <w:r>
        <w:rPr>
          <w:rFonts w:hint="eastAsia" w:cs="宋体"/>
          <w:color w:val="auto"/>
          <w:sz w:val="21"/>
          <w:szCs w:val="21"/>
          <w:u w:val="single"/>
        </w:rPr>
        <w:t>2</w:t>
      </w:r>
      <w:r>
        <w:rPr>
          <w:rFonts w:hint="eastAsia" w:cs="宋体"/>
          <w:color w:val="auto"/>
          <w:sz w:val="21"/>
          <w:szCs w:val="21"/>
        </w:rPr>
        <w:t>年；</w:t>
      </w:r>
    </w:p>
    <w:p w14:paraId="47E6E309">
      <w:pPr>
        <w:adjustRightInd w:val="0"/>
        <w:snapToGrid w:val="0"/>
        <w:spacing w:line="360" w:lineRule="auto"/>
        <w:ind w:firstLine="420" w:firstLineChars="200"/>
        <w:rPr>
          <w:rFonts w:cs="宋体"/>
          <w:color w:val="auto"/>
          <w:sz w:val="21"/>
          <w:szCs w:val="21"/>
        </w:rPr>
      </w:pPr>
      <w:r>
        <w:rPr>
          <w:rFonts w:hint="eastAsia" w:cs="宋体"/>
          <w:color w:val="auto"/>
          <w:sz w:val="21"/>
          <w:szCs w:val="21"/>
        </w:rPr>
        <w:t>4. 电气管线、给排水管道、设备安装工程为</w:t>
      </w:r>
      <w:r>
        <w:rPr>
          <w:rFonts w:hint="eastAsia" w:cs="宋体"/>
          <w:color w:val="auto"/>
          <w:sz w:val="21"/>
          <w:szCs w:val="21"/>
          <w:u w:val="single"/>
        </w:rPr>
        <w:t>2</w:t>
      </w:r>
      <w:r>
        <w:rPr>
          <w:rFonts w:hint="eastAsia" w:cs="宋体"/>
          <w:color w:val="auto"/>
          <w:sz w:val="21"/>
          <w:szCs w:val="21"/>
        </w:rPr>
        <w:t>年；</w:t>
      </w:r>
    </w:p>
    <w:p w14:paraId="544E1CBC">
      <w:pPr>
        <w:adjustRightInd w:val="0"/>
        <w:snapToGrid w:val="0"/>
        <w:spacing w:line="360" w:lineRule="auto"/>
        <w:ind w:firstLine="420" w:firstLineChars="200"/>
        <w:rPr>
          <w:rFonts w:cs="宋体"/>
          <w:color w:val="auto"/>
          <w:sz w:val="21"/>
          <w:szCs w:val="21"/>
        </w:rPr>
      </w:pPr>
      <w:r>
        <w:rPr>
          <w:rFonts w:hint="eastAsia" w:cs="宋体"/>
          <w:color w:val="auto"/>
          <w:sz w:val="21"/>
          <w:szCs w:val="21"/>
        </w:rPr>
        <w:t>5. 供热与供冷系统为</w:t>
      </w:r>
      <w:r>
        <w:rPr>
          <w:rFonts w:hint="eastAsia" w:cs="宋体"/>
          <w:color w:val="auto"/>
          <w:sz w:val="21"/>
          <w:szCs w:val="21"/>
          <w:u w:val="single"/>
        </w:rPr>
        <w:t>2</w:t>
      </w:r>
      <w:r>
        <w:rPr>
          <w:rFonts w:hint="eastAsia" w:cs="宋体"/>
          <w:color w:val="auto"/>
          <w:sz w:val="21"/>
          <w:szCs w:val="21"/>
        </w:rPr>
        <w:t>个采暖期、供冷期；</w:t>
      </w:r>
    </w:p>
    <w:p w14:paraId="10B5E45B">
      <w:pPr>
        <w:adjustRightInd w:val="0"/>
        <w:snapToGrid w:val="0"/>
        <w:spacing w:line="360" w:lineRule="auto"/>
        <w:ind w:firstLine="420" w:firstLineChars="200"/>
        <w:rPr>
          <w:rFonts w:cs="宋体"/>
          <w:color w:val="auto"/>
          <w:sz w:val="21"/>
          <w:szCs w:val="21"/>
        </w:rPr>
      </w:pPr>
      <w:r>
        <w:rPr>
          <w:rFonts w:hint="eastAsia" w:cs="宋体"/>
          <w:color w:val="auto"/>
          <w:sz w:val="21"/>
          <w:szCs w:val="21"/>
        </w:rPr>
        <w:t>6. 住宅小区内的给排水设施、道路等配套工程为</w:t>
      </w:r>
      <w:r>
        <w:rPr>
          <w:rFonts w:hint="eastAsia" w:cs="宋体"/>
          <w:color w:val="auto"/>
          <w:sz w:val="21"/>
          <w:szCs w:val="21"/>
          <w:u w:val="single"/>
        </w:rPr>
        <w:t>2</w:t>
      </w:r>
      <w:r>
        <w:rPr>
          <w:rFonts w:hint="eastAsia" w:cs="宋体"/>
          <w:color w:val="auto"/>
          <w:sz w:val="21"/>
          <w:szCs w:val="21"/>
        </w:rPr>
        <w:t>年；</w:t>
      </w:r>
    </w:p>
    <w:p w14:paraId="4E55A748">
      <w:pPr>
        <w:adjustRightInd w:val="0"/>
        <w:snapToGrid w:val="0"/>
        <w:spacing w:line="360" w:lineRule="auto"/>
        <w:ind w:firstLine="420" w:firstLineChars="200"/>
        <w:rPr>
          <w:rFonts w:cs="宋体"/>
          <w:color w:val="auto"/>
          <w:sz w:val="21"/>
          <w:szCs w:val="21"/>
        </w:rPr>
      </w:pPr>
      <w:r>
        <w:rPr>
          <w:rFonts w:hint="eastAsia" w:cs="宋体"/>
          <w:color w:val="auto"/>
          <w:sz w:val="21"/>
          <w:szCs w:val="21"/>
        </w:rPr>
        <w:t>7. 其他项目保修期限约定如下：</w:t>
      </w:r>
      <w:r>
        <w:rPr>
          <w:rFonts w:hint="eastAsia" w:cs="宋体"/>
          <w:color w:val="auto"/>
          <w:sz w:val="21"/>
          <w:szCs w:val="21"/>
          <w:u w:val="single"/>
        </w:rPr>
        <w:t>保温工程5年</w:t>
      </w:r>
      <w:r>
        <w:rPr>
          <w:rFonts w:hint="eastAsia" w:cs="宋体"/>
          <w:color w:val="auto"/>
          <w:sz w:val="21"/>
          <w:szCs w:val="21"/>
        </w:rPr>
        <w:t>。</w:t>
      </w:r>
    </w:p>
    <w:p w14:paraId="411C6CE6">
      <w:pPr>
        <w:adjustRightInd w:val="0"/>
        <w:snapToGrid w:val="0"/>
        <w:spacing w:line="360" w:lineRule="auto"/>
        <w:ind w:firstLine="420" w:firstLineChars="200"/>
        <w:rPr>
          <w:rFonts w:cs="宋体"/>
          <w:color w:val="auto"/>
          <w:sz w:val="21"/>
          <w:szCs w:val="21"/>
        </w:rPr>
      </w:pPr>
      <w:r>
        <w:rPr>
          <w:rFonts w:hint="eastAsia" w:cs="宋体"/>
          <w:color w:val="auto"/>
          <w:sz w:val="21"/>
          <w:szCs w:val="21"/>
        </w:rPr>
        <w:t>质量保修期自工程竣工验收合格之日起计算。</w:t>
      </w:r>
    </w:p>
    <w:p w14:paraId="062CAB3D">
      <w:pPr>
        <w:adjustRightInd w:val="0"/>
        <w:snapToGrid w:val="0"/>
        <w:spacing w:line="360" w:lineRule="auto"/>
        <w:ind w:firstLine="422" w:firstLineChars="200"/>
        <w:rPr>
          <w:rFonts w:cs="宋体"/>
          <w:b/>
          <w:color w:val="auto"/>
          <w:sz w:val="21"/>
          <w:szCs w:val="21"/>
        </w:rPr>
      </w:pPr>
      <w:r>
        <w:rPr>
          <w:rFonts w:hint="eastAsia" w:cs="宋体"/>
          <w:b/>
          <w:color w:val="auto"/>
          <w:sz w:val="21"/>
          <w:szCs w:val="21"/>
        </w:rPr>
        <w:t>三、缺陷责任期</w:t>
      </w:r>
    </w:p>
    <w:p w14:paraId="7C4B3C8A">
      <w:pPr>
        <w:adjustRightInd w:val="0"/>
        <w:snapToGrid w:val="0"/>
        <w:spacing w:line="360" w:lineRule="auto"/>
        <w:ind w:firstLine="420" w:firstLineChars="200"/>
        <w:rPr>
          <w:rFonts w:cs="宋体"/>
          <w:color w:val="auto"/>
          <w:sz w:val="21"/>
          <w:szCs w:val="21"/>
        </w:rPr>
      </w:pPr>
      <w:r>
        <w:rPr>
          <w:rFonts w:hint="eastAsia" w:cs="宋体"/>
          <w:color w:val="auto"/>
          <w:sz w:val="21"/>
          <w:szCs w:val="21"/>
        </w:rPr>
        <w:t>工程缺陷责任期为</w:t>
      </w:r>
      <w:r>
        <w:rPr>
          <w:rFonts w:hint="eastAsia" w:cs="宋体"/>
          <w:color w:val="auto"/>
          <w:sz w:val="21"/>
          <w:szCs w:val="21"/>
          <w:u w:val="single"/>
        </w:rPr>
        <w:t xml:space="preserve">          </w:t>
      </w:r>
      <w:r>
        <w:rPr>
          <w:rFonts w:hint="eastAsia" w:cs="宋体"/>
          <w:color w:val="auto"/>
          <w:sz w:val="21"/>
          <w:szCs w:val="21"/>
        </w:rPr>
        <w:t>，缺陷责任期自工程竣工验收合格之日起计算。单位工程先于全部工程进行验收，单位工程缺陷责任期自单位工程验收合格之日起算。</w:t>
      </w:r>
    </w:p>
    <w:p w14:paraId="3CFB31B6">
      <w:pPr>
        <w:adjustRightInd w:val="0"/>
        <w:snapToGrid w:val="0"/>
        <w:spacing w:line="360" w:lineRule="auto"/>
        <w:ind w:firstLine="420" w:firstLineChars="200"/>
        <w:rPr>
          <w:rFonts w:cs="宋体"/>
          <w:b/>
          <w:color w:val="auto"/>
          <w:sz w:val="21"/>
          <w:szCs w:val="21"/>
        </w:rPr>
      </w:pPr>
      <w:r>
        <w:rPr>
          <w:rFonts w:hint="eastAsia" w:cs="宋体"/>
          <w:color w:val="auto"/>
          <w:sz w:val="21"/>
          <w:szCs w:val="21"/>
        </w:rPr>
        <w:t>缺陷责任期终止后，发包人应退还剩余的质量保证金。</w:t>
      </w:r>
    </w:p>
    <w:p w14:paraId="3A80F9C3">
      <w:pPr>
        <w:adjustRightInd w:val="0"/>
        <w:snapToGrid w:val="0"/>
        <w:spacing w:line="360" w:lineRule="auto"/>
        <w:ind w:firstLine="422" w:firstLineChars="200"/>
        <w:rPr>
          <w:rFonts w:cs="宋体"/>
          <w:b/>
          <w:color w:val="auto"/>
          <w:sz w:val="21"/>
          <w:szCs w:val="21"/>
        </w:rPr>
      </w:pPr>
      <w:r>
        <w:rPr>
          <w:rFonts w:hint="eastAsia" w:cs="宋体"/>
          <w:b/>
          <w:color w:val="auto"/>
          <w:sz w:val="21"/>
          <w:szCs w:val="21"/>
        </w:rPr>
        <w:t>四、质量保修责任</w:t>
      </w:r>
    </w:p>
    <w:p w14:paraId="65A57C79">
      <w:pPr>
        <w:adjustRightInd w:val="0"/>
        <w:snapToGrid w:val="0"/>
        <w:spacing w:line="360" w:lineRule="auto"/>
        <w:ind w:firstLine="430" w:firstLineChars="205"/>
        <w:rPr>
          <w:rFonts w:cs="宋体"/>
          <w:color w:val="auto"/>
          <w:sz w:val="21"/>
          <w:szCs w:val="21"/>
        </w:rPr>
      </w:pPr>
      <w:r>
        <w:rPr>
          <w:rFonts w:hint="eastAsia" w:cs="宋体"/>
          <w:color w:val="auto"/>
          <w:sz w:val="21"/>
          <w:szCs w:val="21"/>
        </w:rPr>
        <w:t>1. 属于保修范围、内容的项目，承包人应当在接到保修通知之日起7天内派人保修。承包人不在约定期限内派人保修的，发包人可以委托他人修理。</w:t>
      </w:r>
    </w:p>
    <w:p w14:paraId="5A1E82F5">
      <w:pPr>
        <w:adjustRightInd w:val="0"/>
        <w:snapToGrid w:val="0"/>
        <w:spacing w:line="360" w:lineRule="auto"/>
        <w:ind w:firstLine="430" w:firstLineChars="205"/>
        <w:rPr>
          <w:rFonts w:cs="宋体"/>
          <w:color w:val="auto"/>
          <w:sz w:val="21"/>
          <w:szCs w:val="21"/>
        </w:rPr>
      </w:pPr>
      <w:r>
        <w:rPr>
          <w:rFonts w:hint="eastAsia" w:cs="宋体"/>
          <w:color w:val="auto"/>
          <w:sz w:val="21"/>
          <w:szCs w:val="21"/>
        </w:rPr>
        <w:t>2. 发生紧急事故需抢修的，承包人在接到事故通知后，应当立即到达事故现场抢修。</w:t>
      </w:r>
    </w:p>
    <w:p w14:paraId="12A7B574">
      <w:pPr>
        <w:adjustRightInd w:val="0"/>
        <w:snapToGrid w:val="0"/>
        <w:spacing w:line="360" w:lineRule="auto"/>
        <w:ind w:firstLine="430" w:firstLineChars="205"/>
        <w:rPr>
          <w:rFonts w:cs="宋体"/>
          <w:color w:val="auto"/>
          <w:sz w:val="21"/>
          <w:szCs w:val="21"/>
        </w:rPr>
      </w:pPr>
      <w:r>
        <w:rPr>
          <w:rFonts w:hint="eastAsia" w:cs="宋体"/>
          <w:color w:val="auto"/>
          <w:sz w:val="21"/>
          <w:szCs w:val="21"/>
        </w:rPr>
        <w:t>3. 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614F0F90">
      <w:pPr>
        <w:adjustRightInd w:val="0"/>
        <w:snapToGrid w:val="0"/>
        <w:spacing w:line="360" w:lineRule="auto"/>
        <w:ind w:firstLine="430" w:firstLineChars="205"/>
        <w:rPr>
          <w:rFonts w:cs="宋体"/>
          <w:color w:val="auto"/>
          <w:sz w:val="21"/>
          <w:szCs w:val="21"/>
        </w:rPr>
      </w:pPr>
      <w:r>
        <w:rPr>
          <w:rFonts w:hint="eastAsia" w:cs="宋体"/>
          <w:color w:val="auto"/>
          <w:sz w:val="21"/>
          <w:szCs w:val="21"/>
        </w:rPr>
        <w:t>4. 质量保修完成后，由发包人组织验收。</w:t>
      </w:r>
    </w:p>
    <w:p w14:paraId="32A8FECD">
      <w:pPr>
        <w:adjustRightInd w:val="0"/>
        <w:snapToGrid w:val="0"/>
        <w:spacing w:line="360" w:lineRule="auto"/>
        <w:ind w:firstLine="422" w:firstLineChars="200"/>
        <w:rPr>
          <w:rFonts w:cs="宋体"/>
          <w:b/>
          <w:color w:val="auto"/>
          <w:sz w:val="21"/>
          <w:szCs w:val="21"/>
        </w:rPr>
      </w:pPr>
      <w:r>
        <w:rPr>
          <w:rFonts w:hint="eastAsia" w:cs="宋体"/>
          <w:b/>
          <w:color w:val="auto"/>
          <w:sz w:val="21"/>
          <w:szCs w:val="21"/>
        </w:rPr>
        <w:t>五、保修费用</w:t>
      </w:r>
    </w:p>
    <w:p w14:paraId="2962B7D9">
      <w:pPr>
        <w:adjustRightInd w:val="0"/>
        <w:snapToGrid w:val="0"/>
        <w:spacing w:line="360" w:lineRule="auto"/>
        <w:ind w:firstLine="420" w:firstLineChars="200"/>
        <w:rPr>
          <w:rFonts w:cs="宋体"/>
          <w:color w:val="auto"/>
          <w:sz w:val="21"/>
          <w:szCs w:val="21"/>
        </w:rPr>
      </w:pPr>
      <w:r>
        <w:rPr>
          <w:rFonts w:hint="eastAsia" w:cs="宋体"/>
          <w:color w:val="auto"/>
          <w:sz w:val="21"/>
          <w:szCs w:val="21"/>
        </w:rPr>
        <w:t>保修费用由造成质量缺陷的责任方承担。</w:t>
      </w:r>
    </w:p>
    <w:p w14:paraId="2E9AE40C">
      <w:pPr>
        <w:adjustRightInd w:val="0"/>
        <w:snapToGrid w:val="0"/>
        <w:spacing w:line="360" w:lineRule="auto"/>
        <w:ind w:firstLine="422" w:firstLineChars="200"/>
        <w:rPr>
          <w:rFonts w:cs="宋体"/>
          <w:b/>
          <w:color w:val="auto"/>
          <w:sz w:val="21"/>
          <w:szCs w:val="21"/>
        </w:rPr>
      </w:pPr>
      <w:r>
        <w:rPr>
          <w:rFonts w:hint="eastAsia" w:cs="宋体"/>
          <w:b/>
          <w:color w:val="auto"/>
          <w:sz w:val="21"/>
          <w:szCs w:val="21"/>
        </w:rPr>
        <w:t>六、双方约定的其他工程质量保修事项：</w:t>
      </w:r>
      <w:r>
        <w:rPr>
          <w:rFonts w:hint="eastAsia" w:cs="宋体"/>
          <w:b/>
          <w:color w:val="auto"/>
          <w:sz w:val="21"/>
          <w:szCs w:val="21"/>
          <w:u w:val="single"/>
        </w:rPr>
        <w:t xml:space="preserve">             </w:t>
      </w:r>
      <w:r>
        <w:rPr>
          <w:rFonts w:hint="eastAsia" w:cs="宋体"/>
          <w:b/>
          <w:color w:val="auto"/>
          <w:sz w:val="21"/>
          <w:szCs w:val="21"/>
        </w:rPr>
        <w:t>。</w:t>
      </w:r>
    </w:p>
    <w:p w14:paraId="750860CC">
      <w:pPr>
        <w:adjustRightInd w:val="0"/>
        <w:snapToGrid w:val="0"/>
        <w:spacing w:line="360" w:lineRule="auto"/>
        <w:ind w:firstLine="399" w:firstLineChars="190"/>
        <w:rPr>
          <w:rFonts w:cs="宋体"/>
          <w:color w:val="auto"/>
          <w:sz w:val="21"/>
          <w:szCs w:val="21"/>
        </w:rPr>
      </w:pPr>
      <w:r>
        <w:rPr>
          <w:rFonts w:hint="eastAsia" w:cs="宋体"/>
          <w:color w:val="auto"/>
          <w:sz w:val="21"/>
          <w:szCs w:val="21"/>
        </w:rPr>
        <w:t>工程质量保修书由发包人、承包人在工程竣工验收前共同签署，作为施工合同附件，其有效期限至保修期满。</w:t>
      </w:r>
    </w:p>
    <w:p w14:paraId="24DE79BE">
      <w:pPr>
        <w:adjustRightInd w:val="0"/>
        <w:snapToGrid w:val="0"/>
        <w:spacing w:line="360" w:lineRule="auto"/>
        <w:ind w:firstLine="420"/>
        <w:rPr>
          <w:rFonts w:cs="宋体"/>
          <w:color w:val="auto"/>
          <w:sz w:val="21"/>
          <w:szCs w:val="21"/>
        </w:rPr>
      </w:pPr>
    </w:p>
    <w:p w14:paraId="25966D01">
      <w:pPr>
        <w:adjustRightInd w:val="0"/>
        <w:snapToGrid w:val="0"/>
        <w:spacing w:line="360" w:lineRule="auto"/>
        <w:ind w:firstLine="420"/>
        <w:rPr>
          <w:rFonts w:cs="宋体"/>
          <w:color w:val="auto"/>
          <w:sz w:val="21"/>
          <w:szCs w:val="21"/>
        </w:rPr>
      </w:pPr>
    </w:p>
    <w:p w14:paraId="2C3ED289">
      <w:pPr>
        <w:adjustRightInd w:val="0"/>
        <w:snapToGrid w:val="0"/>
        <w:spacing w:line="360" w:lineRule="auto"/>
        <w:rPr>
          <w:rFonts w:cs="宋体"/>
          <w:color w:val="auto"/>
          <w:sz w:val="21"/>
          <w:szCs w:val="21"/>
          <w:u w:val="single"/>
        </w:rPr>
      </w:pPr>
      <w:r>
        <w:rPr>
          <w:rFonts w:hint="eastAsia" w:cs="宋体"/>
          <w:color w:val="auto"/>
          <w:sz w:val="21"/>
          <w:szCs w:val="21"/>
        </w:rPr>
        <w:t>发包人（公章）：</w:t>
      </w:r>
      <w:r>
        <w:rPr>
          <w:rFonts w:hint="eastAsia" w:cs="宋体"/>
          <w:color w:val="auto"/>
          <w:sz w:val="21"/>
          <w:szCs w:val="21"/>
          <w:u w:val="single"/>
        </w:rPr>
        <w:t xml:space="preserve">      </w:t>
      </w:r>
      <w:r>
        <w:rPr>
          <w:rFonts w:hint="eastAsia" w:cs="宋体"/>
          <w:color w:val="auto"/>
          <w:sz w:val="21"/>
          <w:szCs w:val="21"/>
        </w:rPr>
        <w:t xml:space="preserve">           承包人（公章）：</w:t>
      </w:r>
      <w:r>
        <w:rPr>
          <w:rFonts w:hint="eastAsia" w:cs="宋体"/>
          <w:color w:val="auto"/>
          <w:sz w:val="21"/>
          <w:szCs w:val="21"/>
          <w:u w:val="single"/>
        </w:rPr>
        <w:t>          </w:t>
      </w:r>
    </w:p>
    <w:p w14:paraId="65E87989">
      <w:pPr>
        <w:adjustRightInd w:val="0"/>
        <w:snapToGrid w:val="0"/>
        <w:spacing w:line="360" w:lineRule="auto"/>
        <w:rPr>
          <w:rFonts w:cs="宋体"/>
          <w:color w:val="auto"/>
          <w:sz w:val="21"/>
          <w:szCs w:val="21"/>
          <w:u w:val="single"/>
        </w:rPr>
      </w:pPr>
      <w:r>
        <w:rPr>
          <w:rFonts w:hint="eastAsia" w:cs="宋体"/>
          <w:color w:val="auto"/>
          <w:sz w:val="21"/>
          <w:szCs w:val="21"/>
        </w:rPr>
        <w:t>地  址：</w:t>
      </w:r>
      <w:r>
        <w:rPr>
          <w:rFonts w:hint="eastAsia" w:cs="宋体"/>
          <w:color w:val="auto"/>
          <w:sz w:val="21"/>
          <w:szCs w:val="21"/>
          <w:u w:val="single"/>
        </w:rPr>
        <w:t xml:space="preserve">     </w:t>
      </w:r>
      <w:r>
        <w:rPr>
          <w:rFonts w:hint="eastAsia" w:cs="宋体"/>
          <w:color w:val="auto"/>
          <w:sz w:val="21"/>
          <w:szCs w:val="21"/>
        </w:rPr>
        <w:t xml:space="preserve">            地  址：</w:t>
      </w:r>
      <w:r>
        <w:rPr>
          <w:rFonts w:hint="eastAsia" w:cs="宋体"/>
          <w:color w:val="auto"/>
          <w:sz w:val="21"/>
          <w:szCs w:val="21"/>
          <w:u w:val="single"/>
        </w:rPr>
        <w:t xml:space="preserve">    </w:t>
      </w:r>
    </w:p>
    <w:p w14:paraId="1006191E">
      <w:pPr>
        <w:adjustRightInd w:val="0"/>
        <w:snapToGrid w:val="0"/>
        <w:spacing w:line="360" w:lineRule="auto"/>
        <w:rPr>
          <w:rFonts w:cs="宋体"/>
          <w:color w:val="auto"/>
          <w:sz w:val="21"/>
          <w:szCs w:val="21"/>
          <w:u w:val="single"/>
        </w:rPr>
      </w:pPr>
      <w:r>
        <w:rPr>
          <w:rFonts w:hint="eastAsia" w:cs="宋体"/>
          <w:color w:val="auto"/>
          <w:sz w:val="21"/>
          <w:szCs w:val="21"/>
        </w:rPr>
        <w:t>法定代表人（签字）：</w:t>
      </w:r>
      <w:r>
        <w:rPr>
          <w:rFonts w:hint="eastAsia" w:cs="宋体"/>
          <w:color w:val="auto"/>
          <w:sz w:val="21"/>
          <w:szCs w:val="21"/>
          <w:u w:val="single"/>
        </w:rPr>
        <w:t xml:space="preserve">      </w:t>
      </w:r>
      <w:r>
        <w:rPr>
          <w:rFonts w:hint="eastAsia" w:cs="宋体"/>
          <w:color w:val="auto"/>
          <w:sz w:val="21"/>
          <w:szCs w:val="21"/>
        </w:rPr>
        <w:t xml:space="preserve">         法定代表人（签字）：</w:t>
      </w:r>
      <w:r>
        <w:rPr>
          <w:rFonts w:hint="eastAsia" w:cs="宋体"/>
          <w:color w:val="auto"/>
          <w:sz w:val="21"/>
          <w:szCs w:val="21"/>
          <w:u w:val="single"/>
        </w:rPr>
        <w:t xml:space="preserve">    </w:t>
      </w:r>
    </w:p>
    <w:p w14:paraId="40356D68">
      <w:pPr>
        <w:adjustRightInd w:val="0"/>
        <w:snapToGrid w:val="0"/>
        <w:spacing w:line="360" w:lineRule="auto"/>
        <w:rPr>
          <w:rFonts w:cs="宋体"/>
          <w:color w:val="auto"/>
          <w:sz w:val="21"/>
          <w:szCs w:val="21"/>
          <w:u w:val="single"/>
        </w:rPr>
      </w:pPr>
      <w:r>
        <w:rPr>
          <w:rFonts w:hint="eastAsia" w:cs="宋体"/>
          <w:color w:val="auto"/>
          <w:sz w:val="21"/>
          <w:szCs w:val="21"/>
        </w:rPr>
        <w:t>委托代理人（签字）：</w:t>
      </w:r>
      <w:r>
        <w:rPr>
          <w:rFonts w:hint="eastAsia" w:cs="宋体"/>
          <w:color w:val="auto"/>
          <w:sz w:val="21"/>
          <w:szCs w:val="21"/>
          <w:u w:val="single"/>
        </w:rPr>
        <w:t xml:space="preserve">      </w:t>
      </w:r>
      <w:r>
        <w:rPr>
          <w:rFonts w:hint="eastAsia" w:cs="宋体"/>
          <w:color w:val="auto"/>
          <w:sz w:val="21"/>
          <w:szCs w:val="21"/>
        </w:rPr>
        <w:t xml:space="preserve">         委托代理人（签字）：</w:t>
      </w:r>
      <w:r>
        <w:rPr>
          <w:rFonts w:hint="eastAsia" w:cs="宋体"/>
          <w:color w:val="auto"/>
          <w:sz w:val="21"/>
          <w:szCs w:val="21"/>
          <w:u w:val="single"/>
        </w:rPr>
        <w:t xml:space="preserve">    </w:t>
      </w:r>
    </w:p>
    <w:p w14:paraId="714051CA">
      <w:pPr>
        <w:adjustRightInd w:val="0"/>
        <w:snapToGrid w:val="0"/>
        <w:spacing w:line="360" w:lineRule="auto"/>
        <w:rPr>
          <w:rFonts w:cs="宋体"/>
          <w:color w:val="auto"/>
          <w:sz w:val="21"/>
          <w:szCs w:val="21"/>
        </w:rPr>
      </w:pPr>
      <w:r>
        <w:rPr>
          <w:rFonts w:hint="eastAsia" w:cs="宋体"/>
          <w:color w:val="auto"/>
          <w:sz w:val="21"/>
          <w:szCs w:val="21"/>
        </w:rPr>
        <w:t>电  话：</w:t>
      </w:r>
      <w:r>
        <w:rPr>
          <w:rFonts w:hint="eastAsia" w:cs="宋体"/>
          <w:color w:val="auto"/>
          <w:sz w:val="21"/>
          <w:szCs w:val="21"/>
          <w:u w:val="single"/>
        </w:rPr>
        <w:t xml:space="preserve">   </w:t>
      </w:r>
      <w:r>
        <w:rPr>
          <w:rFonts w:hint="eastAsia" w:cs="宋体"/>
          <w:color w:val="auto"/>
          <w:sz w:val="21"/>
          <w:szCs w:val="21"/>
        </w:rPr>
        <w:t xml:space="preserve">            电  话：</w:t>
      </w:r>
      <w:r>
        <w:rPr>
          <w:rFonts w:hint="eastAsia" w:cs="宋体"/>
          <w:color w:val="auto"/>
          <w:sz w:val="21"/>
          <w:szCs w:val="21"/>
          <w:u w:val="single"/>
        </w:rPr>
        <w:t xml:space="preserve">  </w:t>
      </w:r>
    </w:p>
    <w:p w14:paraId="74DCE568">
      <w:pPr>
        <w:adjustRightInd w:val="0"/>
        <w:snapToGrid w:val="0"/>
        <w:spacing w:line="360" w:lineRule="auto"/>
        <w:rPr>
          <w:rFonts w:cs="宋体"/>
          <w:color w:val="auto"/>
          <w:sz w:val="21"/>
          <w:szCs w:val="21"/>
        </w:rPr>
      </w:pPr>
      <w:r>
        <w:rPr>
          <w:rFonts w:hint="eastAsia" w:cs="宋体"/>
          <w:color w:val="auto"/>
          <w:sz w:val="21"/>
          <w:szCs w:val="21"/>
        </w:rPr>
        <w:t>传  真：</w:t>
      </w:r>
      <w:r>
        <w:rPr>
          <w:rFonts w:hint="eastAsia" w:cs="宋体"/>
          <w:color w:val="auto"/>
          <w:sz w:val="21"/>
          <w:szCs w:val="21"/>
          <w:u w:val="single"/>
        </w:rPr>
        <w:t xml:space="preserve">   </w:t>
      </w:r>
      <w:r>
        <w:rPr>
          <w:rFonts w:hint="eastAsia" w:cs="宋体"/>
          <w:color w:val="auto"/>
          <w:sz w:val="21"/>
          <w:szCs w:val="21"/>
        </w:rPr>
        <w:t xml:space="preserve">            传  真：</w:t>
      </w:r>
      <w:r>
        <w:rPr>
          <w:rFonts w:hint="eastAsia" w:cs="宋体"/>
          <w:color w:val="auto"/>
          <w:sz w:val="21"/>
          <w:szCs w:val="21"/>
          <w:u w:val="single"/>
        </w:rPr>
        <w:t>  </w:t>
      </w:r>
    </w:p>
    <w:p w14:paraId="54BE1163">
      <w:pPr>
        <w:adjustRightInd w:val="0"/>
        <w:snapToGrid w:val="0"/>
        <w:spacing w:line="360" w:lineRule="auto"/>
        <w:rPr>
          <w:rFonts w:cs="宋体"/>
          <w:color w:val="auto"/>
          <w:sz w:val="21"/>
          <w:szCs w:val="21"/>
        </w:rPr>
      </w:pPr>
      <w:r>
        <w:rPr>
          <w:rFonts w:hint="eastAsia" w:cs="宋体"/>
          <w:color w:val="auto"/>
          <w:sz w:val="21"/>
          <w:szCs w:val="21"/>
        </w:rPr>
        <w:t>开户银行：</w:t>
      </w:r>
      <w:r>
        <w:rPr>
          <w:rFonts w:hint="eastAsia" w:cs="宋体"/>
          <w:color w:val="auto"/>
          <w:sz w:val="21"/>
          <w:szCs w:val="21"/>
          <w:u w:val="single"/>
        </w:rPr>
        <w:t xml:space="preserve">   </w:t>
      </w:r>
      <w:r>
        <w:rPr>
          <w:rFonts w:hint="eastAsia" w:cs="宋体"/>
          <w:color w:val="auto"/>
          <w:sz w:val="21"/>
          <w:szCs w:val="21"/>
        </w:rPr>
        <w:t xml:space="preserve">            开户银行：</w:t>
      </w:r>
      <w:r>
        <w:rPr>
          <w:rFonts w:hint="eastAsia" w:cs="宋体"/>
          <w:color w:val="auto"/>
          <w:sz w:val="21"/>
          <w:szCs w:val="21"/>
          <w:u w:val="single"/>
        </w:rPr>
        <w:t></w:t>
      </w:r>
    </w:p>
    <w:p w14:paraId="592D548D">
      <w:pPr>
        <w:adjustRightInd w:val="0"/>
        <w:snapToGrid w:val="0"/>
        <w:spacing w:line="360" w:lineRule="auto"/>
        <w:rPr>
          <w:rFonts w:cs="宋体"/>
          <w:color w:val="auto"/>
          <w:sz w:val="21"/>
          <w:szCs w:val="21"/>
        </w:rPr>
      </w:pPr>
      <w:r>
        <w:rPr>
          <w:rFonts w:hint="eastAsia" w:cs="宋体"/>
          <w:color w:val="auto"/>
          <w:sz w:val="21"/>
          <w:szCs w:val="21"/>
        </w:rPr>
        <w:t>账  号：</w:t>
      </w:r>
      <w:r>
        <w:rPr>
          <w:rFonts w:hint="eastAsia" w:cs="宋体"/>
          <w:color w:val="auto"/>
          <w:sz w:val="21"/>
          <w:szCs w:val="21"/>
          <w:u w:val="single"/>
        </w:rPr>
        <w:t xml:space="preserve">       </w:t>
      </w:r>
      <w:r>
        <w:rPr>
          <w:rFonts w:hint="eastAsia" w:cs="宋体"/>
          <w:color w:val="auto"/>
          <w:sz w:val="21"/>
          <w:szCs w:val="21"/>
        </w:rPr>
        <w:t xml:space="preserve">            账  号：</w:t>
      </w:r>
      <w:r>
        <w:rPr>
          <w:rFonts w:hint="eastAsia" w:cs="宋体"/>
          <w:color w:val="auto"/>
          <w:sz w:val="21"/>
          <w:szCs w:val="21"/>
          <w:u w:val="single"/>
        </w:rPr>
        <w:t xml:space="preserve">  </w:t>
      </w:r>
    </w:p>
    <w:p w14:paraId="1B2F031B">
      <w:pPr>
        <w:adjustRightInd w:val="0"/>
        <w:snapToGrid w:val="0"/>
        <w:spacing w:line="360" w:lineRule="auto"/>
        <w:rPr>
          <w:rFonts w:cs="宋体"/>
          <w:color w:val="auto"/>
          <w:sz w:val="21"/>
          <w:szCs w:val="21"/>
        </w:rPr>
      </w:pPr>
      <w:r>
        <w:rPr>
          <w:rFonts w:hint="eastAsia" w:cs="宋体"/>
          <w:color w:val="auto"/>
          <w:sz w:val="21"/>
          <w:szCs w:val="21"/>
        </w:rPr>
        <w:t>邮政编码：</w:t>
      </w:r>
      <w:r>
        <w:rPr>
          <w:rFonts w:hint="eastAsia" w:cs="宋体"/>
          <w:color w:val="auto"/>
          <w:sz w:val="21"/>
          <w:szCs w:val="21"/>
          <w:u w:val="single"/>
        </w:rPr>
        <w:t xml:space="preserve">     </w:t>
      </w:r>
      <w:r>
        <w:rPr>
          <w:rFonts w:hint="eastAsia" w:cs="宋体"/>
          <w:color w:val="auto"/>
          <w:sz w:val="21"/>
          <w:szCs w:val="21"/>
        </w:rPr>
        <w:t xml:space="preserve">            邮政编码：</w:t>
      </w:r>
      <w:r>
        <w:rPr>
          <w:rFonts w:hint="eastAsia" w:cs="宋体"/>
          <w:color w:val="auto"/>
          <w:sz w:val="21"/>
          <w:szCs w:val="21"/>
          <w:u w:val="single"/>
        </w:rPr>
        <w:t></w:t>
      </w:r>
    </w:p>
    <w:p w14:paraId="5269D55E">
      <w:pPr>
        <w:spacing w:before="312" w:beforeLines="100" w:after="312" w:afterLines="100"/>
        <w:outlineLvl w:val="2"/>
        <w:rPr>
          <w:rFonts w:ascii="Times New Roman" w:eastAsia="黑体"/>
          <w:color w:val="auto"/>
          <w:szCs w:val="24"/>
        </w:rPr>
      </w:pPr>
      <w:r>
        <w:rPr>
          <w:rFonts w:hint="eastAsia" w:ascii="Times New Roman" w:eastAsia="黑体"/>
          <w:bCs/>
          <w:color w:val="auto"/>
        </w:rPr>
        <w:br w:type="page"/>
      </w:r>
      <w:bookmarkStart w:id="613" w:name="_Toc128950238"/>
      <w:r>
        <w:rPr>
          <w:rFonts w:hint="eastAsia" w:ascii="Times New Roman" w:eastAsia="黑体"/>
          <w:color w:val="auto"/>
          <w:szCs w:val="24"/>
        </w:rPr>
        <w:t>附</w:t>
      </w:r>
      <w:bookmarkStart w:id="614" w:name="_Toc267261693"/>
      <w:bookmarkStart w:id="615" w:name="_Toc296347225"/>
      <w:bookmarkStart w:id="616" w:name="_Toc296944565"/>
      <w:bookmarkStart w:id="617" w:name="_Toc296891266"/>
      <w:bookmarkStart w:id="618" w:name="_Toc296346727"/>
      <w:bookmarkStart w:id="619" w:name="_Toc296503226"/>
      <w:bookmarkStart w:id="620" w:name="_Toc296891054"/>
      <w:r>
        <w:rPr>
          <w:rFonts w:hint="eastAsia" w:ascii="Times New Roman" w:eastAsia="黑体"/>
          <w:color w:val="auto"/>
          <w:szCs w:val="24"/>
        </w:rPr>
        <w:t>件</w:t>
      </w:r>
      <w:r>
        <w:rPr>
          <w:rFonts w:ascii="Times New Roman" w:eastAsia="黑体"/>
          <w:color w:val="auto"/>
          <w:szCs w:val="24"/>
        </w:rPr>
        <w:t>3</w:t>
      </w:r>
      <w:r>
        <w:rPr>
          <w:rFonts w:hint="eastAsia" w:ascii="Times New Roman" w:eastAsia="黑体"/>
          <w:color w:val="auto"/>
          <w:szCs w:val="24"/>
        </w:rPr>
        <w:t>：</w:t>
      </w:r>
      <w:bookmarkEnd w:id="614"/>
      <w:bookmarkEnd w:id="615"/>
      <w:bookmarkEnd w:id="616"/>
      <w:bookmarkEnd w:id="617"/>
      <w:bookmarkEnd w:id="618"/>
      <w:bookmarkEnd w:id="619"/>
      <w:bookmarkEnd w:id="620"/>
      <w:r>
        <w:rPr>
          <w:rFonts w:hint="eastAsia" w:ascii="Times New Roman" w:eastAsia="黑体"/>
          <w:color w:val="auto"/>
          <w:szCs w:val="24"/>
        </w:rPr>
        <w:t>工程质量保修书（市政公用工程）</w:t>
      </w:r>
      <w:bookmarkEnd w:id="613"/>
    </w:p>
    <w:p w14:paraId="3B5490DE">
      <w:pPr>
        <w:adjustRightInd w:val="0"/>
        <w:snapToGrid w:val="0"/>
        <w:spacing w:line="360" w:lineRule="auto"/>
        <w:jc w:val="center"/>
        <w:rPr>
          <w:rFonts w:cs="宋体"/>
          <w:color w:val="auto"/>
          <w:sz w:val="28"/>
          <w:szCs w:val="28"/>
        </w:rPr>
      </w:pPr>
      <w:r>
        <w:rPr>
          <w:rFonts w:hint="eastAsia" w:cs="宋体"/>
          <w:color w:val="auto"/>
          <w:sz w:val="28"/>
          <w:szCs w:val="28"/>
        </w:rPr>
        <w:t>工程质量保修书</w:t>
      </w:r>
    </w:p>
    <w:p w14:paraId="49DFBA0C">
      <w:pPr>
        <w:adjustRightInd w:val="0"/>
        <w:snapToGrid w:val="0"/>
        <w:spacing w:line="360" w:lineRule="auto"/>
        <w:ind w:firstLine="420" w:firstLineChars="200"/>
        <w:rPr>
          <w:rFonts w:cs="宋体"/>
          <w:color w:val="auto"/>
          <w:position w:val="14"/>
          <w:sz w:val="21"/>
          <w:szCs w:val="21"/>
        </w:rPr>
      </w:pPr>
      <w:r>
        <w:rPr>
          <w:rFonts w:hint="eastAsia" w:cs="宋体"/>
          <w:bCs/>
          <w:color w:val="auto"/>
          <w:position w:val="14"/>
          <w:sz w:val="21"/>
          <w:szCs w:val="21"/>
        </w:rPr>
        <w:t>发包人</w:t>
      </w:r>
      <w:r>
        <w:rPr>
          <w:rFonts w:hint="eastAsia" w:cs="宋体"/>
          <w:color w:val="auto"/>
          <w:position w:val="14"/>
          <w:sz w:val="21"/>
          <w:szCs w:val="21"/>
        </w:rPr>
        <w:t>：_______________________________</w:t>
      </w:r>
    </w:p>
    <w:p w14:paraId="4441DE9C">
      <w:pPr>
        <w:widowControl/>
        <w:adjustRightInd w:val="0"/>
        <w:snapToGrid w:val="0"/>
        <w:spacing w:line="360" w:lineRule="auto"/>
        <w:ind w:firstLine="420" w:firstLineChars="200"/>
        <w:jc w:val="left"/>
        <w:rPr>
          <w:rFonts w:cs="宋体"/>
          <w:color w:val="auto"/>
          <w:position w:val="14"/>
          <w:sz w:val="21"/>
          <w:szCs w:val="21"/>
        </w:rPr>
      </w:pPr>
      <w:r>
        <w:rPr>
          <w:rFonts w:hint="eastAsia" w:cs="宋体"/>
          <w:bCs/>
          <w:color w:val="auto"/>
          <w:position w:val="14"/>
          <w:sz w:val="21"/>
          <w:szCs w:val="21"/>
        </w:rPr>
        <w:t>承包人</w:t>
      </w:r>
      <w:r>
        <w:rPr>
          <w:rFonts w:hint="eastAsia" w:cs="宋体"/>
          <w:color w:val="auto"/>
          <w:position w:val="14"/>
          <w:sz w:val="21"/>
          <w:szCs w:val="21"/>
        </w:rPr>
        <w:t>：_______________________________</w:t>
      </w:r>
    </w:p>
    <w:p w14:paraId="353FF3C0">
      <w:pPr>
        <w:widowControl/>
        <w:adjustRightInd w:val="0"/>
        <w:snapToGrid w:val="0"/>
        <w:spacing w:line="360" w:lineRule="auto"/>
        <w:ind w:firstLine="420" w:firstLineChars="200"/>
        <w:jc w:val="left"/>
        <w:rPr>
          <w:rFonts w:cs="宋体"/>
          <w:color w:val="auto"/>
          <w:position w:val="6"/>
          <w:sz w:val="21"/>
          <w:szCs w:val="21"/>
        </w:rPr>
      </w:pPr>
      <w:r>
        <w:rPr>
          <w:rFonts w:hint="eastAsia" w:cs="宋体"/>
          <w:color w:val="auto"/>
          <w:position w:val="6"/>
          <w:sz w:val="21"/>
          <w:szCs w:val="21"/>
        </w:rPr>
        <w:t>发包人、承包人根据《中华人民共和国建筑法》《建设工程质量管理条例》，参照《房屋建筑工程质量保修办法》，经协商一致，对______________________工程签订工程质量保修书。</w:t>
      </w:r>
    </w:p>
    <w:p w14:paraId="0A9429A4">
      <w:pPr>
        <w:widowControl/>
        <w:adjustRightInd w:val="0"/>
        <w:snapToGrid w:val="0"/>
        <w:spacing w:line="360" w:lineRule="auto"/>
        <w:ind w:firstLine="422" w:firstLineChars="200"/>
        <w:jc w:val="left"/>
        <w:rPr>
          <w:rFonts w:cs="宋体"/>
          <w:b/>
          <w:bCs/>
          <w:color w:val="auto"/>
          <w:position w:val="6"/>
          <w:sz w:val="21"/>
          <w:szCs w:val="21"/>
        </w:rPr>
      </w:pPr>
      <w:r>
        <w:rPr>
          <w:rFonts w:hint="eastAsia" w:cs="宋体"/>
          <w:b/>
          <w:bCs/>
          <w:color w:val="auto"/>
          <w:position w:val="6"/>
          <w:sz w:val="21"/>
          <w:szCs w:val="21"/>
        </w:rPr>
        <w:t>一、工程质量保修范围和内容</w:t>
      </w:r>
    </w:p>
    <w:p w14:paraId="213428C3">
      <w:pPr>
        <w:adjustRightInd w:val="0"/>
        <w:snapToGrid w:val="0"/>
        <w:spacing w:line="360" w:lineRule="auto"/>
        <w:ind w:firstLine="420" w:firstLineChars="200"/>
        <w:jc w:val="left"/>
        <w:rPr>
          <w:rFonts w:cs="宋体"/>
          <w:color w:val="auto"/>
          <w:position w:val="6"/>
          <w:sz w:val="21"/>
          <w:szCs w:val="21"/>
        </w:rPr>
      </w:pPr>
      <w:r>
        <w:rPr>
          <w:rFonts w:hint="eastAsia" w:cs="宋体"/>
          <w:color w:val="auto"/>
          <w:position w:val="6"/>
          <w:sz w:val="21"/>
          <w:szCs w:val="21"/>
        </w:rPr>
        <w:t>按照《建设工程质量管理条例》及有关法律、法规、规章的管理规定，双方约定由施工单位在质量保修期内，承担本工程的质量保修责任。</w:t>
      </w:r>
    </w:p>
    <w:p w14:paraId="08319A4E">
      <w:pPr>
        <w:adjustRightInd w:val="0"/>
        <w:snapToGrid w:val="0"/>
        <w:spacing w:line="360" w:lineRule="auto"/>
        <w:ind w:firstLine="420" w:firstLineChars="200"/>
        <w:jc w:val="left"/>
        <w:rPr>
          <w:rFonts w:cs="宋体"/>
          <w:color w:val="auto"/>
          <w:position w:val="6"/>
          <w:sz w:val="21"/>
          <w:szCs w:val="21"/>
        </w:rPr>
      </w:pPr>
      <w:r>
        <w:rPr>
          <w:rFonts w:hint="eastAsia" w:cs="宋体"/>
          <w:color w:val="auto"/>
          <w:position w:val="6"/>
          <w:sz w:val="21"/>
          <w:szCs w:val="21"/>
        </w:rPr>
        <w:t>质量保修范围和内容：______________________。</w:t>
      </w:r>
      <w:r>
        <w:rPr>
          <w:rFonts w:hint="eastAsia" w:cs="宋体"/>
          <w:bCs/>
          <w:color w:val="auto"/>
          <w:position w:val="6"/>
          <w:sz w:val="21"/>
          <w:szCs w:val="21"/>
        </w:rPr>
        <w:t>因不可抗力或使用不当造成的质量缺陷，不属保修范围。</w:t>
      </w:r>
    </w:p>
    <w:p w14:paraId="214CCB79">
      <w:pPr>
        <w:widowControl/>
        <w:adjustRightInd w:val="0"/>
        <w:snapToGrid w:val="0"/>
        <w:spacing w:line="360" w:lineRule="auto"/>
        <w:ind w:firstLine="422" w:firstLineChars="200"/>
        <w:jc w:val="left"/>
        <w:rPr>
          <w:rFonts w:cs="宋体"/>
          <w:b/>
          <w:bCs/>
          <w:color w:val="auto"/>
          <w:position w:val="6"/>
          <w:sz w:val="21"/>
          <w:szCs w:val="21"/>
        </w:rPr>
      </w:pPr>
      <w:r>
        <w:rPr>
          <w:rFonts w:hint="eastAsia" w:cs="宋体"/>
          <w:b/>
          <w:bCs/>
          <w:color w:val="auto"/>
          <w:position w:val="6"/>
          <w:sz w:val="21"/>
          <w:szCs w:val="21"/>
        </w:rPr>
        <w:t>二、质量保修期</w:t>
      </w:r>
    </w:p>
    <w:p w14:paraId="081BDDC6">
      <w:pPr>
        <w:adjustRightInd w:val="0"/>
        <w:snapToGrid w:val="0"/>
        <w:spacing w:line="360" w:lineRule="auto"/>
        <w:ind w:firstLine="420" w:firstLineChars="200"/>
        <w:jc w:val="left"/>
        <w:rPr>
          <w:rFonts w:cs="宋体"/>
          <w:color w:val="auto"/>
          <w:position w:val="6"/>
          <w:sz w:val="21"/>
          <w:szCs w:val="21"/>
        </w:rPr>
      </w:pPr>
      <w:r>
        <w:rPr>
          <w:rFonts w:hint="eastAsia" w:cs="宋体"/>
          <w:color w:val="auto"/>
          <w:position w:val="6"/>
          <w:sz w:val="21"/>
          <w:szCs w:val="21"/>
        </w:rPr>
        <w:t>双方根据《建设工程质量管理条例》及有关规定，约定本工程的质量保修期如下：</w:t>
      </w:r>
    </w:p>
    <w:p w14:paraId="2D0AF023">
      <w:pPr>
        <w:widowControl/>
        <w:adjustRightInd w:val="0"/>
        <w:snapToGrid w:val="0"/>
        <w:spacing w:line="360" w:lineRule="auto"/>
        <w:ind w:left="400" w:leftChars="200" w:firstLine="58" w:firstLineChars="28"/>
        <w:jc w:val="left"/>
        <w:rPr>
          <w:rFonts w:cs="宋体"/>
          <w:color w:val="auto"/>
          <w:position w:val="6"/>
          <w:sz w:val="21"/>
          <w:szCs w:val="21"/>
        </w:rPr>
      </w:pPr>
      <w:r>
        <w:rPr>
          <w:rFonts w:hint="eastAsia" w:cs="宋体"/>
          <w:color w:val="auto"/>
          <w:position w:val="6"/>
          <w:sz w:val="21"/>
          <w:szCs w:val="21"/>
        </w:rPr>
        <w:t>1. 主体结构和基础工程，为</w:t>
      </w:r>
      <w:r>
        <w:rPr>
          <w:rFonts w:hint="eastAsia" w:cs="宋体"/>
          <w:color w:val="auto"/>
          <w:position w:val="6"/>
          <w:sz w:val="21"/>
          <w:szCs w:val="21"/>
          <w:u w:val="single"/>
        </w:rPr>
        <w:t xml:space="preserve">     </w:t>
      </w:r>
      <w:r>
        <w:rPr>
          <w:rFonts w:hint="eastAsia" w:cs="宋体"/>
          <w:color w:val="auto"/>
          <w:position w:val="6"/>
          <w:sz w:val="21"/>
          <w:szCs w:val="21"/>
        </w:rPr>
        <w:t>年；</w:t>
      </w:r>
    </w:p>
    <w:p w14:paraId="1C6DA084">
      <w:pPr>
        <w:widowControl/>
        <w:adjustRightInd w:val="0"/>
        <w:snapToGrid w:val="0"/>
        <w:spacing w:line="360" w:lineRule="auto"/>
        <w:ind w:left="400" w:leftChars="200" w:firstLine="58" w:firstLineChars="28"/>
        <w:jc w:val="left"/>
        <w:rPr>
          <w:rFonts w:cs="宋体"/>
          <w:color w:val="auto"/>
          <w:position w:val="6"/>
          <w:sz w:val="21"/>
          <w:szCs w:val="21"/>
        </w:rPr>
      </w:pPr>
      <w:r>
        <w:rPr>
          <w:rFonts w:hint="eastAsia" w:cs="宋体"/>
          <w:color w:val="auto"/>
          <w:position w:val="6"/>
          <w:sz w:val="21"/>
          <w:szCs w:val="21"/>
        </w:rPr>
        <w:t>2. _____________工程，为</w:t>
      </w:r>
      <w:r>
        <w:rPr>
          <w:rFonts w:hint="eastAsia" w:cs="宋体"/>
          <w:color w:val="auto"/>
          <w:position w:val="6"/>
          <w:sz w:val="21"/>
          <w:szCs w:val="21"/>
          <w:u w:val="single"/>
        </w:rPr>
        <w:t xml:space="preserve">     </w:t>
      </w:r>
      <w:r>
        <w:rPr>
          <w:rFonts w:hint="eastAsia" w:cs="宋体"/>
          <w:color w:val="auto"/>
          <w:position w:val="6"/>
          <w:sz w:val="21"/>
          <w:szCs w:val="21"/>
        </w:rPr>
        <w:t>年；</w:t>
      </w:r>
    </w:p>
    <w:p w14:paraId="18666EFC">
      <w:pPr>
        <w:widowControl/>
        <w:adjustRightInd w:val="0"/>
        <w:snapToGrid w:val="0"/>
        <w:spacing w:line="360" w:lineRule="auto"/>
        <w:ind w:left="400" w:leftChars="200" w:firstLine="58" w:firstLineChars="28"/>
        <w:jc w:val="left"/>
        <w:rPr>
          <w:rFonts w:cs="宋体"/>
          <w:color w:val="auto"/>
          <w:position w:val="6"/>
          <w:sz w:val="21"/>
          <w:szCs w:val="21"/>
        </w:rPr>
      </w:pPr>
      <w:r>
        <w:rPr>
          <w:rFonts w:hint="eastAsia" w:cs="宋体"/>
          <w:color w:val="auto"/>
          <w:position w:val="6"/>
          <w:sz w:val="21"/>
          <w:szCs w:val="21"/>
        </w:rPr>
        <w:t>3. _____________工程，为</w:t>
      </w:r>
      <w:r>
        <w:rPr>
          <w:rFonts w:hint="eastAsia" w:cs="宋体"/>
          <w:color w:val="auto"/>
          <w:position w:val="6"/>
          <w:sz w:val="21"/>
          <w:szCs w:val="21"/>
          <w:u w:val="single"/>
        </w:rPr>
        <w:t xml:space="preserve">     </w:t>
      </w:r>
      <w:r>
        <w:rPr>
          <w:rFonts w:hint="eastAsia" w:cs="宋体"/>
          <w:color w:val="auto"/>
          <w:position w:val="6"/>
          <w:sz w:val="21"/>
          <w:szCs w:val="21"/>
        </w:rPr>
        <w:t>年；</w:t>
      </w:r>
    </w:p>
    <w:p w14:paraId="1FF4F8DF">
      <w:pPr>
        <w:adjustRightInd w:val="0"/>
        <w:snapToGrid w:val="0"/>
        <w:spacing w:line="360" w:lineRule="auto"/>
        <w:ind w:left="342" w:leftChars="171" w:firstLine="105" w:firstLineChars="50"/>
        <w:rPr>
          <w:rFonts w:cs="宋体"/>
          <w:color w:val="auto"/>
          <w:position w:val="6"/>
          <w:sz w:val="21"/>
          <w:szCs w:val="21"/>
        </w:rPr>
      </w:pPr>
      <w:r>
        <w:rPr>
          <w:rFonts w:hint="eastAsia" w:cs="宋体"/>
          <w:color w:val="auto"/>
          <w:position w:val="6"/>
          <w:sz w:val="21"/>
          <w:szCs w:val="21"/>
        </w:rPr>
        <w:t xml:space="preserve">4. _____________工程，为 </w:t>
      </w:r>
      <w:r>
        <w:rPr>
          <w:rFonts w:hint="eastAsia" w:cs="宋体"/>
          <w:color w:val="auto"/>
          <w:position w:val="6"/>
          <w:sz w:val="21"/>
          <w:szCs w:val="21"/>
          <w:u w:val="single"/>
        </w:rPr>
        <w:t xml:space="preserve">     </w:t>
      </w:r>
      <w:r>
        <w:rPr>
          <w:rFonts w:hint="eastAsia" w:cs="宋体"/>
          <w:color w:val="auto"/>
          <w:position w:val="6"/>
          <w:sz w:val="21"/>
          <w:szCs w:val="21"/>
        </w:rPr>
        <w:t>年；</w:t>
      </w:r>
    </w:p>
    <w:p w14:paraId="2A22ADFC">
      <w:pPr>
        <w:adjustRightInd w:val="0"/>
        <w:snapToGrid w:val="0"/>
        <w:spacing w:line="360" w:lineRule="auto"/>
        <w:ind w:left="342" w:leftChars="171" w:firstLine="105" w:firstLineChars="50"/>
        <w:rPr>
          <w:rFonts w:cs="宋体"/>
          <w:color w:val="auto"/>
          <w:position w:val="6"/>
          <w:sz w:val="21"/>
          <w:szCs w:val="21"/>
        </w:rPr>
      </w:pPr>
      <w:r>
        <w:rPr>
          <w:rFonts w:hint="eastAsia" w:cs="宋体"/>
          <w:color w:val="auto"/>
          <w:position w:val="6"/>
          <w:sz w:val="21"/>
          <w:szCs w:val="21"/>
        </w:rPr>
        <w:t>质量保修期自工程竣工验收合格之日起计算。</w:t>
      </w:r>
    </w:p>
    <w:p w14:paraId="616D05D1">
      <w:pPr>
        <w:adjustRightInd w:val="0"/>
        <w:snapToGrid w:val="0"/>
        <w:spacing w:line="360" w:lineRule="auto"/>
        <w:ind w:firstLine="422" w:firstLineChars="200"/>
        <w:rPr>
          <w:rFonts w:cs="宋体"/>
          <w:b/>
          <w:color w:val="auto"/>
          <w:sz w:val="21"/>
          <w:szCs w:val="21"/>
        </w:rPr>
      </w:pPr>
      <w:r>
        <w:rPr>
          <w:rFonts w:hint="eastAsia" w:cs="宋体"/>
          <w:b/>
          <w:color w:val="auto"/>
          <w:sz w:val="21"/>
          <w:szCs w:val="21"/>
        </w:rPr>
        <w:t>三、缺陷责任期</w:t>
      </w:r>
    </w:p>
    <w:p w14:paraId="7CF95A0C">
      <w:pPr>
        <w:adjustRightInd w:val="0"/>
        <w:snapToGrid w:val="0"/>
        <w:spacing w:line="360" w:lineRule="auto"/>
        <w:ind w:firstLine="420" w:firstLineChars="200"/>
        <w:rPr>
          <w:rFonts w:cs="宋体"/>
          <w:color w:val="auto"/>
          <w:sz w:val="21"/>
          <w:szCs w:val="21"/>
        </w:rPr>
      </w:pPr>
      <w:r>
        <w:rPr>
          <w:rFonts w:hint="eastAsia" w:cs="宋体"/>
          <w:color w:val="auto"/>
          <w:sz w:val="21"/>
          <w:szCs w:val="21"/>
        </w:rPr>
        <w:t>工程缺陷责任期为</w:t>
      </w:r>
      <w:r>
        <w:rPr>
          <w:rFonts w:hint="eastAsia" w:cs="宋体"/>
          <w:color w:val="auto"/>
          <w:sz w:val="21"/>
          <w:szCs w:val="21"/>
          <w:u w:val="single"/>
        </w:rPr>
        <w:t xml:space="preserve">     </w:t>
      </w:r>
      <w:r>
        <w:rPr>
          <w:rFonts w:hint="eastAsia" w:cs="宋体"/>
          <w:color w:val="auto"/>
          <w:sz w:val="21"/>
          <w:szCs w:val="21"/>
        </w:rPr>
        <w:t>，缺陷责任期自工程竣工验收合格之日起计算。单位工程先于全部工程进行验收，单位工程缺陷责任期自单位工程验收合格之日起算。</w:t>
      </w:r>
    </w:p>
    <w:p w14:paraId="05D49593">
      <w:pPr>
        <w:adjustRightInd w:val="0"/>
        <w:snapToGrid w:val="0"/>
        <w:spacing w:line="360" w:lineRule="auto"/>
        <w:ind w:firstLine="420" w:firstLineChars="200"/>
        <w:rPr>
          <w:rFonts w:cs="宋体"/>
          <w:color w:val="auto"/>
          <w:sz w:val="21"/>
          <w:szCs w:val="21"/>
        </w:rPr>
      </w:pPr>
      <w:r>
        <w:rPr>
          <w:rFonts w:hint="eastAsia" w:cs="宋体"/>
          <w:color w:val="auto"/>
          <w:sz w:val="21"/>
          <w:szCs w:val="21"/>
        </w:rPr>
        <w:t>缺陷责任期终止后，发包人应退还剩余的质量保证金。</w:t>
      </w:r>
    </w:p>
    <w:p w14:paraId="40555272">
      <w:pPr>
        <w:widowControl/>
        <w:adjustRightInd w:val="0"/>
        <w:snapToGrid w:val="0"/>
        <w:spacing w:line="360" w:lineRule="auto"/>
        <w:ind w:firstLine="422" w:firstLineChars="200"/>
        <w:jc w:val="left"/>
        <w:rPr>
          <w:rFonts w:cs="宋体"/>
          <w:b/>
          <w:bCs/>
          <w:color w:val="auto"/>
          <w:position w:val="6"/>
          <w:sz w:val="21"/>
          <w:szCs w:val="21"/>
        </w:rPr>
      </w:pPr>
      <w:r>
        <w:rPr>
          <w:rFonts w:hint="eastAsia" w:cs="宋体"/>
          <w:b/>
          <w:color w:val="auto"/>
          <w:sz w:val="21"/>
          <w:szCs w:val="21"/>
        </w:rPr>
        <w:t>四、质量保修责任</w:t>
      </w:r>
    </w:p>
    <w:p w14:paraId="1A10A296">
      <w:pPr>
        <w:widowControl/>
        <w:adjustRightInd w:val="0"/>
        <w:snapToGrid w:val="0"/>
        <w:spacing w:line="360" w:lineRule="auto"/>
        <w:ind w:firstLine="420" w:firstLineChars="200"/>
        <w:jc w:val="left"/>
        <w:rPr>
          <w:rFonts w:cs="宋体"/>
          <w:color w:val="auto"/>
          <w:position w:val="6"/>
          <w:sz w:val="21"/>
          <w:szCs w:val="21"/>
        </w:rPr>
      </w:pPr>
      <w:r>
        <w:rPr>
          <w:rFonts w:hint="eastAsia" w:cs="宋体"/>
          <w:color w:val="auto"/>
          <w:position w:val="6"/>
          <w:sz w:val="21"/>
          <w:szCs w:val="21"/>
        </w:rPr>
        <w:t>1. 属于保修范围、内容的项目，承包人应当在接到保修通知之日起7天内派人保修。承包人不在约定期限内派人保修的，发包人可以委托他人修理。</w:t>
      </w:r>
    </w:p>
    <w:p w14:paraId="4DCAE9ED">
      <w:pPr>
        <w:widowControl/>
        <w:adjustRightInd w:val="0"/>
        <w:snapToGrid w:val="0"/>
        <w:spacing w:line="360" w:lineRule="auto"/>
        <w:ind w:firstLine="420" w:firstLineChars="200"/>
        <w:jc w:val="left"/>
        <w:rPr>
          <w:rFonts w:cs="宋体"/>
          <w:color w:val="auto"/>
          <w:position w:val="6"/>
          <w:sz w:val="21"/>
          <w:szCs w:val="21"/>
        </w:rPr>
      </w:pPr>
      <w:r>
        <w:rPr>
          <w:rFonts w:hint="eastAsia" w:cs="宋体"/>
          <w:color w:val="auto"/>
          <w:position w:val="6"/>
          <w:sz w:val="21"/>
          <w:szCs w:val="21"/>
        </w:rPr>
        <w:t>2. 发生紧急抢修事故的，承包人在接到事故通知后，应当立即到达事故现场抢修。</w:t>
      </w:r>
    </w:p>
    <w:p w14:paraId="024B0197">
      <w:pPr>
        <w:widowControl/>
        <w:adjustRightInd w:val="0"/>
        <w:snapToGrid w:val="0"/>
        <w:spacing w:line="360" w:lineRule="auto"/>
        <w:ind w:firstLine="420" w:firstLineChars="200"/>
        <w:jc w:val="left"/>
        <w:rPr>
          <w:rFonts w:cs="宋体"/>
          <w:color w:val="auto"/>
          <w:position w:val="6"/>
          <w:sz w:val="21"/>
          <w:szCs w:val="21"/>
        </w:rPr>
      </w:pPr>
      <w:r>
        <w:rPr>
          <w:rFonts w:hint="eastAsia" w:cs="宋体"/>
          <w:color w:val="auto"/>
          <w:position w:val="6"/>
          <w:sz w:val="21"/>
          <w:szCs w:val="21"/>
        </w:rPr>
        <w:t>3. 对于涉及结构安全的质量问题，应当立即向当地建设行政主管部门报告，采取安全防范措施；由原设计单位或者具有相应资质等级的设计单位提出保修方案，承包人实施保修。</w:t>
      </w:r>
    </w:p>
    <w:p w14:paraId="7ABED4F1">
      <w:pPr>
        <w:widowControl/>
        <w:adjustRightInd w:val="0"/>
        <w:snapToGrid w:val="0"/>
        <w:spacing w:line="360" w:lineRule="auto"/>
        <w:ind w:firstLine="420" w:firstLineChars="200"/>
        <w:jc w:val="left"/>
        <w:rPr>
          <w:rFonts w:cs="宋体"/>
          <w:color w:val="auto"/>
          <w:position w:val="6"/>
          <w:sz w:val="21"/>
          <w:szCs w:val="21"/>
        </w:rPr>
      </w:pPr>
      <w:r>
        <w:rPr>
          <w:rFonts w:hint="eastAsia" w:cs="宋体"/>
          <w:color w:val="auto"/>
          <w:position w:val="6"/>
          <w:sz w:val="21"/>
          <w:szCs w:val="21"/>
        </w:rPr>
        <w:t>4. 质量保修完成后，由发包人组织验收。</w:t>
      </w:r>
    </w:p>
    <w:p w14:paraId="4054C33C">
      <w:pPr>
        <w:widowControl/>
        <w:adjustRightInd w:val="0"/>
        <w:snapToGrid w:val="0"/>
        <w:spacing w:line="360" w:lineRule="auto"/>
        <w:ind w:firstLine="422" w:firstLineChars="200"/>
        <w:jc w:val="left"/>
        <w:rPr>
          <w:rFonts w:cs="宋体"/>
          <w:b/>
          <w:bCs/>
          <w:color w:val="auto"/>
          <w:position w:val="6"/>
          <w:sz w:val="21"/>
          <w:szCs w:val="21"/>
        </w:rPr>
      </w:pPr>
      <w:r>
        <w:rPr>
          <w:rFonts w:hint="eastAsia" w:cs="宋体"/>
          <w:b/>
          <w:bCs/>
          <w:color w:val="auto"/>
          <w:position w:val="6"/>
          <w:sz w:val="21"/>
          <w:szCs w:val="21"/>
        </w:rPr>
        <w:t>五、保修费用</w:t>
      </w:r>
    </w:p>
    <w:p w14:paraId="10890730">
      <w:pPr>
        <w:widowControl/>
        <w:adjustRightInd w:val="0"/>
        <w:snapToGrid w:val="0"/>
        <w:spacing w:line="360" w:lineRule="auto"/>
        <w:ind w:firstLine="420" w:firstLineChars="200"/>
        <w:jc w:val="left"/>
        <w:rPr>
          <w:rFonts w:cs="宋体"/>
          <w:color w:val="auto"/>
          <w:position w:val="6"/>
          <w:sz w:val="21"/>
          <w:szCs w:val="21"/>
        </w:rPr>
      </w:pPr>
      <w:r>
        <w:rPr>
          <w:rFonts w:hint="eastAsia" w:cs="宋体"/>
          <w:color w:val="auto"/>
          <w:position w:val="6"/>
          <w:sz w:val="21"/>
          <w:szCs w:val="21"/>
        </w:rPr>
        <w:t>保修费用由造成质量缺陷的责任方承担。</w:t>
      </w:r>
    </w:p>
    <w:p w14:paraId="63245570">
      <w:pPr>
        <w:widowControl/>
        <w:adjustRightInd w:val="0"/>
        <w:snapToGrid w:val="0"/>
        <w:spacing w:line="360" w:lineRule="auto"/>
        <w:ind w:firstLine="420" w:firstLineChars="200"/>
        <w:jc w:val="left"/>
        <w:rPr>
          <w:rFonts w:cs="宋体"/>
          <w:b/>
          <w:color w:val="auto"/>
          <w:sz w:val="21"/>
          <w:szCs w:val="21"/>
        </w:rPr>
      </w:pPr>
      <w:r>
        <w:rPr>
          <w:rFonts w:hint="eastAsia" w:cs="宋体"/>
          <w:bCs/>
          <w:color w:val="auto"/>
          <w:position w:val="6"/>
          <w:sz w:val="21"/>
          <w:szCs w:val="21"/>
        </w:rPr>
        <w:t>六、</w:t>
      </w:r>
      <w:r>
        <w:rPr>
          <w:rFonts w:hint="eastAsia" w:cs="宋体"/>
          <w:b/>
          <w:color w:val="auto"/>
          <w:sz w:val="21"/>
          <w:szCs w:val="21"/>
        </w:rPr>
        <w:t>双方约定的其他工程质量保修事项：</w:t>
      </w:r>
      <w:r>
        <w:rPr>
          <w:rFonts w:hint="eastAsia" w:cs="宋体"/>
          <w:b/>
          <w:color w:val="auto"/>
          <w:sz w:val="21"/>
          <w:szCs w:val="21"/>
          <w:u w:val="single"/>
        </w:rPr>
        <w:t xml:space="preserve">             </w:t>
      </w:r>
      <w:r>
        <w:rPr>
          <w:rFonts w:hint="eastAsia" w:cs="宋体"/>
          <w:b/>
          <w:color w:val="auto"/>
          <w:sz w:val="21"/>
          <w:szCs w:val="21"/>
        </w:rPr>
        <w:t>。</w:t>
      </w:r>
    </w:p>
    <w:p w14:paraId="642751B5">
      <w:pPr>
        <w:widowControl/>
        <w:adjustRightInd w:val="0"/>
        <w:snapToGrid w:val="0"/>
        <w:spacing w:line="360" w:lineRule="auto"/>
        <w:ind w:firstLine="420" w:firstLineChars="200"/>
        <w:jc w:val="left"/>
        <w:rPr>
          <w:rFonts w:cs="宋体"/>
          <w:bCs/>
          <w:color w:val="auto"/>
          <w:sz w:val="21"/>
          <w:szCs w:val="21"/>
        </w:rPr>
      </w:pPr>
      <w:r>
        <w:rPr>
          <w:rFonts w:hint="eastAsia" w:cs="宋体"/>
          <w:bCs/>
          <w:color w:val="auto"/>
          <w:position w:val="6"/>
          <w:sz w:val="21"/>
          <w:szCs w:val="21"/>
        </w:rPr>
        <w:t>本工程质量保修书，由施工合同发包人、承包人双方在竣工验收前共同签署，作为施工合同附件，其有效期限至保修期满。</w:t>
      </w:r>
    </w:p>
    <w:p w14:paraId="38DEA044">
      <w:pPr>
        <w:adjustRightInd w:val="0"/>
        <w:snapToGrid w:val="0"/>
        <w:spacing w:line="360" w:lineRule="auto"/>
        <w:ind w:firstLine="420"/>
        <w:rPr>
          <w:rFonts w:cs="宋体"/>
          <w:color w:val="auto"/>
          <w:sz w:val="21"/>
          <w:szCs w:val="21"/>
        </w:rPr>
      </w:pPr>
    </w:p>
    <w:p w14:paraId="1E5374AB">
      <w:pPr>
        <w:adjustRightInd w:val="0"/>
        <w:snapToGrid w:val="0"/>
        <w:spacing w:line="360" w:lineRule="auto"/>
        <w:rPr>
          <w:rFonts w:cs="宋体"/>
          <w:color w:val="auto"/>
          <w:sz w:val="21"/>
          <w:szCs w:val="21"/>
          <w:u w:val="single"/>
        </w:rPr>
      </w:pPr>
      <w:r>
        <w:rPr>
          <w:rFonts w:hint="eastAsia" w:cs="宋体"/>
          <w:color w:val="auto"/>
          <w:sz w:val="21"/>
          <w:szCs w:val="21"/>
        </w:rPr>
        <w:t>发包人（公章）：</w:t>
      </w:r>
      <w:r>
        <w:rPr>
          <w:rFonts w:hint="eastAsia" w:cs="宋体"/>
          <w:color w:val="auto"/>
          <w:sz w:val="21"/>
          <w:szCs w:val="21"/>
          <w:u w:val="single"/>
        </w:rPr>
        <w:t xml:space="preserve">        </w:t>
      </w:r>
      <w:r>
        <w:rPr>
          <w:rFonts w:hint="eastAsia" w:cs="宋体"/>
          <w:color w:val="auto"/>
          <w:sz w:val="21"/>
          <w:szCs w:val="21"/>
        </w:rPr>
        <w:t xml:space="preserve">           承包人（公章）：</w:t>
      </w:r>
      <w:r>
        <w:rPr>
          <w:rFonts w:hint="eastAsia" w:cs="宋体"/>
          <w:color w:val="auto"/>
          <w:sz w:val="21"/>
          <w:szCs w:val="21"/>
          <w:u w:val="single"/>
        </w:rPr>
        <w:t xml:space="preserve">        </w:t>
      </w:r>
    </w:p>
    <w:p w14:paraId="08E82B62">
      <w:pPr>
        <w:adjustRightInd w:val="0"/>
        <w:snapToGrid w:val="0"/>
        <w:spacing w:line="360" w:lineRule="auto"/>
        <w:rPr>
          <w:rFonts w:cs="宋体"/>
          <w:color w:val="auto"/>
          <w:sz w:val="21"/>
          <w:szCs w:val="21"/>
          <w:u w:val="single"/>
        </w:rPr>
      </w:pPr>
      <w:r>
        <w:rPr>
          <w:rFonts w:hint="eastAsia" w:cs="宋体"/>
          <w:color w:val="auto"/>
          <w:sz w:val="21"/>
          <w:szCs w:val="21"/>
        </w:rPr>
        <w:t>地  址：</w:t>
      </w:r>
      <w:r>
        <w:rPr>
          <w:rFonts w:hint="eastAsia" w:cs="宋体"/>
          <w:color w:val="auto"/>
          <w:sz w:val="21"/>
          <w:szCs w:val="21"/>
          <w:u w:val="single"/>
        </w:rPr>
        <w:t xml:space="preserve">     </w:t>
      </w:r>
      <w:r>
        <w:rPr>
          <w:rFonts w:hint="eastAsia" w:cs="宋体"/>
          <w:color w:val="auto"/>
          <w:sz w:val="21"/>
          <w:szCs w:val="21"/>
        </w:rPr>
        <w:t xml:space="preserve">              地  址：</w:t>
      </w:r>
      <w:r>
        <w:rPr>
          <w:rFonts w:hint="eastAsia" w:cs="宋体"/>
          <w:color w:val="auto"/>
          <w:sz w:val="21"/>
          <w:szCs w:val="21"/>
          <w:u w:val="single"/>
        </w:rPr>
        <w:t xml:space="preserve">       </w:t>
      </w:r>
    </w:p>
    <w:p w14:paraId="774C4A63">
      <w:pPr>
        <w:adjustRightInd w:val="0"/>
        <w:snapToGrid w:val="0"/>
        <w:spacing w:line="360" w:lineRule="auto"/>
        <w:rPr>
          <w:rFonts w:cs="宋体"/>
          <w:color w:val="auto"/>
          <w:sz w:val="21"/>
          <w:szCs w:val="21"/>
          <w:u w:val="single"/>
        </w:rPr>
      </w:pPr>
      <w:r>
        <w:rPr>
          <w:rFonts w:hint="eastAsia" w:cs="宋体"/>
          <w:color w:val="auto"/>
          <w:sz w:val="21"/>
          <w:szCs w:val="21"/>
        </w:rPr>
        <w:t>法定代表人（签字）：</w:t>
      </w:r>
      <w:r>
        <w:rPr>
          <w:rFonts w:hint="eastAsia" w:cs="宋体"/>
          <w:color w:val="auto"/>
          <w:sz w:val="21"/>
          <w:szCs w:val="21"/>
          <w:u w:val="single"/>
        </w:rPr>
        <w:t xml:space="preserve">      </w:t>
      </w:r>
      <w:r>
        <w:rPr>
          <w:rFonts w:hint="eastAsia" w:cs="宋体"/>
          <w:color w:val="auto"/>
          <w:sz w:val="21"/>
          <w:szCs w:val="21"/>
        </w:rPr>
        <w:t xml:space="preserve">           法定代表人（签字）：</w:t>
      </w:r>
      <w:r>
        <w:rPr>
          <w:rFonts w:hint="eastAsia" w:cs="宋体"/>
          <w:color w:val="auto"/>
          <w:sz w:val="21"/>
          <w:szCs w:val="21"/>
          <w:u w:val="single"/>
        </w:rPr>
        <w:t xml:space="preserve">       </w:t>
      </w:r>
    </w:p>
    <w:p w14:paraId="2B279D0F">
      <w:pPr>
        <w:adjustRightInd w:val="0"/>
        <w:snapToGrid w:val="0"/>
        <w:spacing w:line="360" w:lineRule="auto"/>
        <w:rPr>
          <w:rFonts w:cs="宋体"/>
          <w:color w:val="auto"/>
          <w:sz w:val="21"/>
          <w:szCs w:val="21"/>
          <w:u w:val="single"/>
        </w:rPr>
      </w:pPr>
      <w:r>
        <w:rPr>
          <w:rFonts w:hint="eastAsia" w:cs="宋体"/>
          <w:color w:val="auto"/>
          <w:sz w:val="21"/>
          <w:szCs w:val="21"/>
        </w:rPr>
        <w:t>委托代理人（签字）：</w:t>
      </w:r>
      <w:r>
        <w:rPr>
          <w:rFonts w:hint="eastAsia" w:cs="宋体"/>
          <w:color w:val="auto"/>
          <w:sz w:val="21"/>
          <w:szCs w:val="21"/>
          <w:u w:val="single"/>
        </w:rPr>
        <w:t xml:space="preserve">      </w:t>
      </w:r>
      <w:r>
        <w:rPr>
          <w:rFonts w:hint="eastAsia" w:cs="宋体"/>
          <w:color w:val="auto"/>
          <w:sz w:val="21"/>
          <w:szCs w:val="21"/>
        </w:rPr>
        <w:t xml:space="preserve">           委托代理人（签字）：</w:t>
      </w:r>
      <w:r>
        <w:rPr>
          <w:rFonts w:hint="eastAsia" w:cs="宋体"/>
          <w:color w:val="auto"/>
          <w:sz w:val="21"/>
          <w:szCs w:val="21"/>
          <w:u w:val="single"/>
        </w:rPr>
        <w:t xml:space="preserve">       </w:t>
      </w:r>
    </w:p>
    <w:p w14:paraId="44353411">
      <w:pPr>
        <w:adjustRightInd w:val="0"/>
        <w:snapToGrid w:val="0"/>
        <w:spacing w:line="360" w:lineRule="auto"/>
        <w:rPr>
          <w:rFonts w:cs="宋体"/>
          <w:color w:val="auto"/>
          <w:sz w:val="21"/>
          <w:szCs w:val="21"/>
        </w:rPr>
      </w:pPr>
      <w:r>
        <w:rPr>
          <w:rFonts w:hint="eastAsia" w:cs="宋体"/>
          <w:color w:val="auto"/>
          <w:sz w:val="21"/>
          <w:szCs w:val="21"/>
        </w:rPr>
        <w:t>电  话：</w:t>
      </w:r>
      <w:r>
        <w:rPr>
          <w:rFonts w:hint="eastAsia" w:cs="宋体"/>
          <w:color w:val="auto"/>
          <w:sz w:val="21"/>
          <w:szCs w:val="21"/>
          <w:u w:val="single"/>
        </w:rPr>
        <w:t xml:space="preserve">   </w:t>
      </w:r>
      <w:r>
        <w:rPr>
          <w:rFonts w:hint="eastAsia" w:cs="宋体"/>
          <w:color w:val="auto"/>
          <w:sz w:val="21"/>
          <w:szCs w:val="21"/>
        </w:rPr>
        <w:t xml:space="preserve">              电  话：</w:t>
      </w:r>
      <w:r>
        <w:rPr>
          <w:rFonts w:hint="eastAsia" w:cs="宋体"/>
          <w:color w:val="auto"/>
          <w:sz w:val="21"/>
          <w:szCs w:val="21"/>
          <w:u w:val="single"/>
        </w:rPr>
        <w:t xml:space="preserve">     </w:t>
      </w:r>
    </w:p>
    <w:p w14:paraId="3F305C43">
      <w:pPr>
        <w:adjustRightInd w:val="0"/>
        <w:snapToGrid w:val="0"/>
        <w:spacing w:line="360" w:lineRule="auto"/>
        <w:rPr>
          <w:rFonts w:cs="宋体"/>
          <w:color w:val="auto"/>
          <w:sz w:val="21"/>
          <w:szCs w:val="21"/>
        </w:rPr>
      </w:pPr>
      <w:r>
        <w:rPr>
          <w:rFonts w:hint="eastAsia" w:cs="宋体"/>
          <w:color w:val="auto"/>
          <w:sz w:val="21"/>
          <w:szCs w:val="21"/>
        </w:rPr>
        <w:t>传  真：</w:t>
      </w:r>
      <w:r>
        <w:rPr>
          <w:rFonts w:hint="eastAsia" w:cs="宋体"/>
          <w:color w:val="auto"/>
          <w:sz w:val="21"/>
          <w:szCs w:val="21"/>
          <w:u w:val="single"/>
        </w:rPr>
        <w:t xml:space="preserve">   </w:t>
      </w:r>
      <w:r>
        <w:rPr>
          <w:rFonts w:hint="eastAsia" w:cs="宋体"/>
          <w:color w:val="auto"/>
          <w:sz w:val="21"/>
          <w:szCs w:val="21"/>
        </w:rPr>
        <w:t xml:space="preserve">              传  真：</w:t>
      </w:r>
      <w:r>
        <w:rPr>
          <w:rFonts w:hint="eastAsia" w:cs="宋体"/>
          <w:color w:val="auto"/>
          <w:sz w:val="21"/>
          <w:szCs w:val="21"/>
          <w:u w:val="single"/>
        </w:rPr>
        <w:t xml:space="preserve">     </w:t>
      </w:r>
    </w:p>
    <w:p w14:paraId="1171059D">
      <w:pPr>
        <w:adjustRightInd w:val="0"/>
        <w:snapToGrid w:val="0"/>
        <w:spacing w:line="360" w:lineRule="auto"/>
        <w:rPr>
          <w:rFonts w:cs="宋体"/>
          <w:color w:val="auto"/>
          <w:sz w:val="21"/>
          <w:szCs w:val="21"/>
        </w:rPr>
      </w:pPr>
      <w:r>
        <w:rPr>
          <w:rFonts w:hint="eastAsia" w:cs="宋体"/>
          <w:color w:val="auto"/>
          <w:sz w:val="21"/>
          <w:szCs w:val="21"/>
        </w:rPr>
        <w:t>开户银行：</w:t>
      </w:r>
      <w:r>
        <w:rPr>
          <w:rFonts w:hint="eastAsia" w:cs="宋体"/>
          <w:color w:val="auto"/>
          <w:sz w:val="21"/>
          <w:szCs w:val="21"/>
          <w:u w:val="single"/>
        </w:rPr>
        <w:t xml:space="preserve">   </w:t>
      </w:r>
      <w:r>
        <w:rPr>
          <w:rFonts w:hint="eastAsia" w:cs="宋体"/>
          <w:color w:val="auto"/>
          <w:sz w:val="21"/>
          <w:szCs w:val="21"/>
        </w:rPr>
        <w:t xml:space="preserve">              开户银行：</w:t>
      </w:r>
      <w:r>
        <w:rPr>
          <w:rFonts w:hint="eastAsia" w:cs="宋体"/>
          <w:color w:val="auto"/>
          <w:sz w:val="21"/>
          <w:szCs w:val="21"/>
          <w:u w:val="single"/>
        </w:rPr>
        <w:t xml:space="preserve">   </w:t>
      </w:r>
    </w:p>
    <w:p w14:paraId="5B917055">
      <w:pPr>
        <w:adjustRightInd w:val="0"/>
        <w:snapToGrid w:val="0"/>
        <w:spacing w:line="360" w:lineRule="auto"/>
        <w:rPr>
          <w:rFonts w:cs="宋体"/>
          <w:color w:val="auto"/>
          <w:sz w:val="21"/>
          <w:szCs w:val="21"/>
        </w:rPr>
      </w:pPr>
      <w:r>
        <w:rPr>
          <w:rFonts w:hint="eastAsia" w:cs="宋体"/>
          <w:color w:val="auto"/>
          <w:sz w:val="21"/>
          <w:szCs w:val="21"/>
        </w:rPr>
        <w:t>账  号：</w:t>
      </w:r>
      <w:r>
        <w:rPr>
          <w:rFonts w:hint="eastAsia" w:cs="宋体"/>
          <w:color w:val="auto"/>
          <w:sz w:val="21"/>
          <w:szCs w:val="21"/>
          <w:u w:val="single"/>
        </w:rPr>
        <w:t xml:space="preserve">       </w:t>
      </w:r>
      <w:r>
        <w:rPr>
          <w:rFonts w:hint="eastAsia" w:cs="宋体"/>
          <w:color w:val="auto"/>
          <w:sz w:val="21"/>
          <w:szCs w:val="21"/>
        </w:rPr>
        <w:t xml:space="preserve">              账  号：</w:t>
      </w:r>
      <w:r>
        <w:rPr>
          <w:rFonts w:hint="eastAsia" w:cs="宋体"/>
          <w:color w:val="auto"/>
          <w:sz w:val="21"/>
          <w:szCs w:val="21"/>
          <w:u w:val="single"/>
        </w:rPr>
        <w:t xml:space="preserve">     </w:t>
      </w:r>
    </w:p>
    <w:p w14:paraId="60EBB8AF">
      <w:pPr>
        <w:adjustRightInd w:val="0"/>
        <w:snapToGrid w:val="0"/>
        <w:spacing w:line="360" w:lineRule="auto"/>
        <w:rPr>
          <w:rFonts w:cs="宋体"/>
          <w:color w:val="auto"/>
          <w:sz w:val="21"/>
          <w:szCs w:val="21"/>
        </w:rPr>
      </w:pPr>
      <w:r>
        <w:rPr>
          <w:rFonts w:hint="eastAsia" w:cs="宋体"/>
          <w:color w:val="auto"/>
          <w:sz w:val="21"/>
          <w:szCs w:val="21"/>
        </w:rPr>
        <w:t>邮政编码：</w:t>
      </w:r>
      <w:r>
        <w:rPr>
          <w:rFonts w:hint="eastAsia" w:cs="宋体"/>
          <w:color w:val="auto"/>
          <w:sz w:val="21"/>
          <w:szCs w:val="21"/>
          <w:u w:val="single"/>
        </w:rPr>
        <w:t xml:space="preserve">     </w:t>
      </w:r>
      <w:r>
        <w:rPr>
          <w:rFonts w:hint="eastAsia" w:cs="宋体"/>
          <w:color w:val="auto"/>
          <w:sz w:val="21"/>
          <w:szCs w:val="21"/>
        </w:rPr>
        <w:t xml:space="preserve">              邮政编码：</w:t>
      </w:r>
      <w:r>
        <w:rPr>
          <w:rFonts w:hint="eastAsia" w:cs="宋体"/>
          <w:color w:val="auto"/>
          <w:sz w:val="21"/>
          <w:szCs w:val="21"/>
          <w:u w:val="single"/>
        </w:rPr>
        <w:t xml:space="preserve">   </w:t>
      </w:r>
    </w:p>
    <w:p w14:paraId="03ED44CF">
      <w:pPr>
        <w:spacing w:before="312" w:beforeLines="100" w:after="312" w:afterLines="100"/>
        <w:outlineLvl w:val="2"/>
        <w:rPr>
          <w:rFonts w:ascii="Times New Roman" w:eastAsia="黑体"/>
          <w:color w:val="auto"/>
          <w:szCs w:val="24"/>
        </w:rPr>
      </w:pPr>
      <w:r>
        <w:rPr>
          <w:rFonts w:ascii="Times New Roman" w:eastAsia="黑体"/>
          <w:b/>
          <w:bCs/>
          <w:color w:val="auto"/>
        </w:rPr>
        <w:br w:type="page"/>
      </w:r>
      <w:bookmarkStart w:id="621" w:name="_Toc128950239"/>
      <w:r>
        <w:rPr>
          <w:rFonts w:hint="eastAsia" w:ascii="Times New Roman" w:eastAsia="黑体"/>
          <w:color w:val="auto"/>
          <w:szCs w:val="24"/>
        </w:rPr>
        <w:t>附件</w:t>
      </w:r>
      <w:r>
        <w:rPr>
          <w:rFonts w:ascii="Times New Roman" w:eastAsia="黑体"/>
          <w:color w:val="auto"/>
          <w:szCs w:val="24"/>
        </w:rPr>
        <w:t>4</w:t>
      </w:r>
      <w:r>
        <w:rPr>
          <w:rFonts w:hint="eastAsia" w:ascii="Times New Roman" w:eastAsia="黑体"/>
          <w:color w:val="auto"/>
          <w:szCs w:val="24"/>
        </w:rPr>
        <w:t>：主要建设工程文件目录</w:t>
      </w:r>
      <w:bookmarkEnd w:id="621"/>
    </w:p>
    <w:p w14:paraId="50D05F08">
      <w:pPr>
        <w:spacing w:before="156" w:beforeLines="50" w:after="156" w:afterLines="50"/>
        <w:jc w:val="center"/>
        <w:rPr>
          <w:rFonts w:cs="宋体"/>
          <w:color w:val="auto"/>
          <w:szCs w:val="21"/>
        </w:rPr>
      </w:pPr>
      <w:r>
        <w:rPr>
          <w:rFonts w:hint="eastAsia" w:cs="宋体"/>
          <w:color w:val="auto"/>
          <w:szCs w:val="21"/>
        </w:rPr>
        <w:t>主要建设工程文件目录</w:t>
      </w:r>
    </w:p>
    <w:tbl>
      <w:tblPr>
        <w:tblStyle w:val="5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1951"/>
        <w:gridCol w:w="1276"/>
        <w:gridCol w:w="1450"/>
        <w:gridCol w:w="1242"/>
        <w:gridCol w:w="1450"/>
        <w:gridCol w:w="1667"/>
      </w:tblGrid>
      <w:tr w14:paraId="6CF8C4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080" w:type="pct"/>
            <w:tcBorders>
              <w:top w:val="single" w:color="auto" w:sz="12" w:space="0"/>
              <w:bottom w:val="double" w:color="auto" w:sz="6" w:space="0"/>
            </w:tcBorders>
            <w:vAlign w:val="center"/>
          </w:tcPr>
          <w:p w14:paraId="2ECC5FA4">
            <w:pPr>
              <w:keepNext/>
              <w:jc w:val="center"/>
              <w:rPr>
                <w:rFonts w:cs="宋体"/>
                <w:color w:val="auto"/>
                <w:szCs w:val="21"/>
              </w:rPr>
            </w:pPr>
            <w:r>
              <w:rPr>
                <w:rFonts w:hint="eastAsia" w:cs="宋体"/>
                <w:color w:val="auto"/>
                <w:szCs w:val="21"/>
              </w:rPr>
              <w:t>文件名称</w:t>
            </w:r>
          </w:p>
        </w:tc>
        <w:tc>
          <w:tcPr>
            <w:tcW w:w="706" w:type="pct"/>
            <w:tcBorders>
              <w:top w:val="single" w:color="auto" w:sz="12" w:space="0"/>
              <w:bottom w:val="double" w:color="auto" w:sz="6" w:space="0"/>
            </w:tcBorders>
            <w:vAlign w:val="center"/>
          </w:tcPr>
          <w:p w14:paraId="78271BA8">
            <w:pPr>
              <w:keepNext/>
              <w:jc w:val="center"/>
              <w:rPr>
                <w:rFonts w:cs="宋体"/>
                <w:color w:val="auto"/>
                <w:szCs w:val="21"/>
              </w:rPr>
            </w:pPr>
            <w:r>
              <w:rPr>
                <w:rFonts w:hint="eastAsia" w:cs="宋体"/>
                <w:color w:val="auto"/>
                <w:szCs w:val="21"/>
              </w:rPr>
              <w:t>套数</w:t>
            </w:r>
          </w:p>
        </w:tc>
        <w:tc>
          <w:tcPr>
            <w:tcW w:w="802" w:type="pct"/>
            <w:tcBorders>
              <w:top w:val="single" w:color="auto" w:sz="12" w:space="0"/>
              <w:bottom w:val="double" w:color="auto" w:sz="6" w:space="0"/>
            </w:tcBorders>
            <w:vAlign w:val="center"/>
          </w:tcPr>
          <w:p w14:paraId="7AE6B62B">
            <w:pPr>
              <w:keepNext/>
              <w:jc w:val="center"/>
              <w:rPr>
                <w:rFonts w:cs="宋体"/>
                <w:color w:val="auto"/>
                <w:szCs w:val="21"/>
              </w:rPr>
            </w:pPr>
            <w:r>
              <w:rPr>
                <w:rFonts w:hint="eastAsia" w:cs="宋体"/>
                <w:color w:val="auto"/>
                <w:szCs w:val="21"/>
              </w:rPr>
              <w:t>费用（元）</w:t>
            </w:r>
          </w:p>
        </w:tc>
        <w:tc>
          <w:tcPr>
            <w:tcW w:w="687" w:type="pct"/>
            <w:tcBorders>
              <w:top w:val="single" w:color="auto" w:sz="12" w:space="0"/>
              <w:bottom w:val="double" w:color="auto" w:sz="6" w:space="0"/>
            </w:tcBorders>
            <w:vAlign w:val="center"/>
          </w:tcPr>
          <w:p w14:paraId="1ABAF88C">
            <w:pPr>
              <w:keepNext/>
              <w:jc w:val="center"/>
              <w:rPr>
                <w:rFonts w:cs="宋体"/>
                <w:color w:val="auto"/>
                <w:szCs w:val="21"/>
              </w:rPr>
            </w:pPr>
            <w:r>
              <w:rPr>
                <w:rFonts w:hint="eastAsia" w:cs="宋体"/>
                <w:color w:val="auto"/>
                <w:szCs w:val="21"/>
              </w:rPr>
              <w:t>质量</w:t>
            </w:r>
          </w:p>
        </w:tc>
        <w:tc>
          <w:tcPr>
            <w:tcW w:w="802" w:type="pct"/>
            <w:tcBorders>
              <w:top w:val="single" w:color="auto" w:sz="12" w:space="0"/>
              <w:bottom w:val="double" w:color="auto" w:sz="6" w:space="0"/>
            </w:tcBorders>
            <w:vAlign w:val="center"/>
          </w:tcPr>
          <w:p w14:paraId="30D791CA">
            <w:pPr>
              <w:jc w:val="center"/>
              <w:rPr>
                <w:rFonts w:cs="宋体"/>
                <w:color w:val="auto"/>
                <w:szCs w:val="21"/>
              </w:rPr>
            </w:pPr>
            <w:r>
              <w:rPr>
                <w:rFonts w:hint="eastAsia" w:cs="宋体"/>
                <w:color w:val="auto"/>
                <w:szCs w:val="21"/>
              </w:rPr>
              <w:t>移交时间</w:t>
            </w:r>
          </w:p>
        </w:tc>
        <w:tc>
          <w:tcPr>
            <w:tcW w:w="922" w:type="pct"/>
            <w:tcBorders>
              <w:top w:val="single" w:color="auto" w:sz="12" w:space="0"/>
              <w:bottom w:val="double" w:color="auto" w:sz="6" w:space="0"/>
            </w:tcBorders>
            <w:vAlign w:val="center"/>
          </w:tcPr>
          <w:p w14:paraId="6747A56A">
            <w:pPr>
              <w:jc w:val="center"/>
              <w:rPr>
                <w:rFonts w:cs="宋体"/>
                <w:color w:val="auto"/>
                <w:szCs w:val="21"/>
              </w:rPr>
            </w:pPr>
            <w:r>
              <w:rPr>
                <w:rFonts w:hint="eastAsia" w:cs="宋体"/>
                <w:color w:val="auto"/>
                <w:szCs w:val="21"/>
              </w:rPr>
              <w:t>责任人</w:t>
            </w:r>
          </w:p>
        </w:tc>
      </w:tr>
      <w:tr w14:paraId="58A20C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tcBorders>
              <w:top w:val="double" w:color="auto" w:sz="6" w:space="0"/>
            </w:tcBorders>
            <w:vAlign w:val="center"/>
          </w:tcPr>
          <w:p w14:paraId="2B05C0C8">
            <w:pPr>
              <w:keepNext/>
              <w:jc w:val="center"/>
              <w:rPr>
                <w:rFonts w:cs="宋体"/>
                <w:color w:val="auto"/>
                <w:szCs w:val="21"/>
              </w:rPr>
            </w:pPr>
          </w:p>
        </w:tc>
        <w:tc>
          <w:tcPr>
            <w:tcW w:w="706" w:type="pct"/>
            <w:tcBorders>
              <w:top w:val="double" w:color="auto" w:sz="6" w:space="0"/>
            </w:tcBorders>
            <w:vAlign w:val="center"/>
          </w:tcPr>
          <w:p w14:paraId="6F6FC4FB">
            <w:pPr>
              <w:keepNext/>
              <w:jc w:val="center"/>
              <w:rPr>
                <w:rFonts w:cs="宋体"/>
                <w:color w:val="auto"/>
                <w:szCs w:val="21"/>
              </w:rPr>
            </w:pPr>
          </w:p>
        </w:tc>
        <w:tc>
          <w:tcPr>
            <w:tcW w:w="802" w:type="pct"/>
            <w:tcBorders>
              <w:top w:val="double" w:color="auto" w:sz="6" w:space="0"/>
            </w:tcBorders>
            <w:vAlign w:val="center"/>
          </w:tcPr>
          <w:p w14:paraId="1CC12D5F">
            <w:pPr>
              <w:keepNext/>
              <w:jc w:val="center"/>
              <w:rPr>
                <w:rFonts w:cs="宋体"/>
                <w:color w:val="auto"/>
                <w:szCs w:val="21"/>
              </w:rPr>
            </w:pPr>
          </w:p>
        </w:tc>
        <w:tc>
          <w:tcPr>
            <w:tcW w:w="687" w:type="pct"/>
            <w:tcBorders>
              <w:top w:val="double" w:color="auto" w:sz="6" w:space="0"/>
            </w:tcBorders>
            <w:vAlign w:val="center"/>
          </w:tcPr>
          <w:p w14:paraId="546B2A0A">
            <w:pPr>
              <w:keepNext/>
              <w:jc w:val="center"/>
              <w:rPr>
                <w:rFonts w:cs="宋体"/>
                <w:color w:val="auto"/>
                <w:szCs w:val="21"/>
              </w:rPr>
            </w:pPr>
          </w:p>
        </w:tc>
        <w:tc>
          <w:tcPr>
            <w:tcW w:w="802" w:type="pct"/>
            <w:tcBorders>
              <w:top w:val="double" w:color="auto" w:sz="6" w:space="0"/>
            </w:tcBorders>
            <w:vAlign w:val="center"/>
          </w:tcPr>
          <w:p w14:paraId="0A6BF44E">
            <w:pPr>
              <w:keepNext/>
              <w:jc w:val="center"/>
              <w:rPr>
                <w:rFonts w:cs="宋体"/>
                <w:color w:val="auto"/>
                <w:szCs w:val="21"/>
              </w:rPr>
            </w:pPr>
          </w:p>
        </w:tc>
        <w:tc>
          <w:tcPr>
            <w:tcW w:w="922" w:type="pct"/>
            <w:tcBorders>
              <w:top w:val="double" w:color="auto" w:sz="6" w:space="0"/>
            </w:tcBorders>
            <w:vAlign w:val="center"/>
          </w:tcPr>
          <w:p w14:paraId="1C682CF2">
            <w:pPr>
              <w:keepNext/>
              <w:jc w:val="center"/>
              <w:rPr>
                <w:rFonts w:cs="宋体"/>
                <w:color w:val="auto"/>
                <w:szCs w:val="21"/>
              </w:rPr>
            </w:pPr>
          </w:p>
        </w:tc>
      </w:tr>
      <w:tr w14:paraId="25CF83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tcBorders>
              <w:top w:val="nil"/>
            </w:tcBorders>
            <w:vAlign w:val="center"/>
          </w:tcPr>
          <w:p w14:paraId="25A0A24D">
            <w:pPr>
              <w:keepNext/>
              <w:jc w:val="center"/>
              <w:rPr>
                <w:rFonts w:cs="宋体"/>
                <w:color w:val="auto"/>
                <w:szCs w:val="21"/>
              </w:rPr>
            </w:pPr>
          </w:p>
        </w:tc>
        <w:tc>
          <w:tcPr>
            <w:tcW w:w="706" w:type="pct"/>
            <w:tcBorders>
              <w:top w:val="nil"/>
            </w:tcBorders>
            <w:vAlign w:val="center"/>
          </w:tcPr>
          <w:p w14:paraId="58EF4150">
            <w:pPr>
              <w:keepNext/>
              <w:jc w:val="center"/>
              <w:rPr>
                <w:rFonts w:cs="宋体"/>
                <w:color w:val="auto"/>
                <w:szCs w:val="21"/>
              </w:rPr>
            </w:pPr>
          </w:p>
        </w:tc>
        <w:tc>
          <w:tcPr>
            <w:tcW w:w="802" w:type="pct"/>
            <w:tcBorders>
              <w:top w:val="nil"/>
            </w:tcBorders>
            <w:vAlign w:val="center"/>
          </w:tcPr>
          <w:p w14:paraId="473448D8">
            <w:pPr>
              <w:keepNext/>
              <w:jc w:val="center"/>
              <w:rPr>
                <w:rFonts w:cs="宋体"/>
                <w:color w:val="auto"/>
                <w:szCs w:val="21"/>
              </w:rPr>
            </w:pPr>
          </w:p>
        </w:tc>
        <w:tc>
          <w:tcPr>
            <w:tcW w:w="687" w:type="pct"/>
            <w:tcBorders>
              <w:top w:val="nil"/>
            </w:tcBorders>
            <w:vAlign w:val="center"/>
          </w:tcPr>
          <w:p w14:paraId="32F5E263">
            <w:pPr>
              <w:keepNext/>
              <w:jc w:val="center"/>
              <w:rPr>
                <w:rFonts w:cs="宋体"/>
                <w:color w:val="auto"/>
                <w:szCs w:val="21"/>
              </w:rPr>
            </w:pPr>
          </w:p>
        </w:tc>
        <w:tc>
          <w:tcPr>
            <w:tcW w:w="802" w:type="pct"/>
            <w:tcBorders>
              <w:top w:val="nil"/>
            </w:tcBorders>
            <w:vAlign w:val="center"/>
          </w:tcPr>
          <w:p w14:paraId="0BE7F561">
            <w:pPr>
              <w:keepNext/>
              <w:jc w:val="center"/>
              <w:rPr>
                <w:rFonts w:cs="宋体"/>
                <w:color w:val="auto"/>
                <w:szCs w:val="21"/>
              </w:rPr>
            </w:pPr>
          </w:p>
        </w:tc>
        <w:tc>
          <w:tcPr>
            <w:tcW w:w="922" w:type="pct"/>
            <w:tcBorders>
              <w:top w:val="nil"/>
            </w:tcBorders>
            <w:vAlign w:val="center"/>
          </w:tcPr>
          <w:p w14:paraId="15794950">
            <w:pPr>
              <w:keepNext/>
              <w:jc w:val="center"/>
              <w:rPr>
                <w:rFonts w:cs="宋体"/>
                <w:color w:val="auto"/>
                <w:szCs w:val="21"/>
              </w:rPr>
            </w:pPr>
          </w:p>
        </w:tc>
      </w:tr>
      <w:tr w14:paraId="0B21F4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vAlign w:val="center"/>
          </w:tcPr>
          <w:p w14:paraId="7E8626B5">
            <w:pPr>
              <w:jc w:val="center"/>
              <w:rPr>
                <w:rFonts w:cs="宋体"/>
                <w:color w:val="auto"/>
                <w:szCs w:val="21"/>
              </w:rPr>
            </w:pPr>
          </w:p>
        </w:tc>
        <w:tc>
          <w:tcPr>
            <w:tcW w:w="706" w:type="pct"/>
            <w:vAlign w:val="center"/>
          </w:tcPr>
          <w:p w14:paraId="7736892E">
            <w:pPr>
              <w:jc w:val="center"/>
              <w:rPr>
                <w:rFonts w:cs="宋体"/>
                <w:color w:val="auto"/>
                <w:szCs w:val="21"/>
              </w:rPr>
            </w:pPr>
          </w:p>
        </w:tc>
        <w:tc>
          <w:tcPr>
            <w:tcW w:w="802" w:type="pct"/>
            <w:vAlign w:val="center"/>
          </w:tcPr>
          <w:p w14:paraId="48D87AEF">
            <w:pPr>
              <w:jc w:val="center"/>
              <w:rPr>
                <w:rFonts w:cs="宋体"/>
                <w:color w:val="auto"/>
                <w:szCs w:val="21"/>
              </w:rPr>
            </w:pPr>
          </w:p>
        </w:tc>
        <w:tc>
          <w:tcPr>
            <w:tcW w:w="687" w:type="pct"/>
            <w:vAlign w:val="center"/>
          </w:tcPr>
          <w:p w14:paraId="67D4B2AE">
            <w:pPr>
              <w:jc w:val="center"/>
              <w:rPr>
                <w:rFonts w:cs="宋体"/>
                <w:color w:val="auto"/>
                <w:szCs w:val="21"/>
              </w:rPr>
            </w:pPr>
          </w:p>
        </w:tc>
        <w:tc>
          <w:tcPr>
            <w:tcW w:w="802" w:type="pct"/>
            <w:vAlign w:val="center"/>
          </w:tcPr>
          <w:p w14:paraId="3A218E18">
            <w:pPr>
              <w:jc w:val="center"/>
              <w:rPr>
                <w:rFonts w:cs="宋体"/>
                <w:color w:val="auto"/>
                <w:szCs w:val="21"/>
              </w:rPr>
            </w:pPr>
          </w:p>
        </w:tc>
        <w:tc>
          <w:tcPr>
            <w:tcW w:w="922" w:type="pct"/>
            <w:vAlign w:val="center"/>
          </w:tcPr>
          <w:p w14:paraId="750C382D">
            <w:pPr>
              <w:jc w:val="center"/>
              <w:rPr>
                <w:rFonts w:cs="宋体"/>
                <w:color w:val="auto"/>
                <w:szCs w:val="21"/>
              </w:rPr>
            </w:pPr>
          </w:p>
        </w:tc>
      </w:tr>
      <w:tr w14:paraId="3E80CD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vAlign w:val="center"/>
          </w:tcPr>
          <w:p w14:paraId="3D7B1EC8">
            <w:pPr>
              <w:jc w:val="center"/>
              <w:rPr>
                <w:rFonts w:cs="宋体"/>
                <w:color w:val="auto"/>
                <w:szCs w:val="21"/>
              </w:rPr>
            </w:pPr>
          </w:p>
        </w:tc>
        <w:tc>
          <w:tcPr>
            <w:tcW w:w="706" w:type="pct"/>
            <w:vAlign w:val="center"/>
          </w:tcPr>
          <w:p w14:paraId="70E0972A">
            <w:pPr>
              <w:jc w:val="center"/>
              <w:rPr>
                <w:rFonts w:cs="宋体"/>
                <w:color w:val="auto"/>
                <w:szCs w:val="21"/>
              </w:rPr>
            </w:pPr>
          </w:p>
        </w:tc>
        <w:tc>
          <w:tcPr>
            <w:tcW w:w="802" w:type="pct"/>
            <w:vAlign w:val="center"/>
          </w:tcPr>
          <w:p w14:paraId="72527768">
            <w:pPr>
              <w:jc w:val="center"/>
              <w:rPr>
                <w:rFonts w:cs="宋体"/>
                <w:color w:val="auto"/>
                <w:szCs w:val="21"/>
              </w:rPr>
            </w:pPr>
          </w:p>
        </w:tc>
        <w:tc>
          <w:tcPr>
            <w:tcW w:w="687" w:type="pct"/>
            <w:vAlign w:val="center"/>
          </w:tcPr>
          <w:p w14:paraId="7BE8C63B">
            <w:pPr>
              <w:jc w:val="center"/>
              <w:rPr>
                <w:rFonts w:cs="宋体"/>
                <w:color w:val="auto"/>
                <w:szCs w:val="21"/>
              </w:rPr>
            </w:pPr>
          </w:p>
        </w:tc>
        <w:tc>
          <w:tcPr>
            <w:tcW w:w="802" w:type="pct"/>
            <w:vAlign w:val="center"/>
          </w:tcPr>
          <w:p w14:paraId="220238CC">
            <w:pPr>
              <w:jc w:val="center"/>
              <w:rPr>
                <w:rFonts w:cs="宋体"/>
                <w:color w:val="auto"/>
                <w:szCs w:val="21"/>
              </w:rPr>
            </w:pPr>
          </w:p>
        </w:tc>
        <w:tc>
          <w:tcPr>
            <w:tcW w:w="922" w:type="pct"/>
            <w:vAlign w:val="center"/>
          </w:tcPr>
          <w:p w14:paraId="61DF49F4">
            <w:pPr>
              <w:jc w:val="center"/>
              <w:rPr>
                <w:rFonts w:cs="宋体"/>
                <w:color w:val="auto"/>
                <w:szCs w:val="21"/>
              </w:rPr>
            </w:pPr>
          </w:p>
        </w:tc>
      </w:tr>
      <w:tr w14:paraId="3F5CDD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tcBorders>
              <w:bottom w:val="single" w:color="auto" w:sz="12" w:space="0"/>
            </w:tcBorders>
            <w:vAlign w:val="center"/>
          </w:tcPr>
          <w:p w14:paraId="6EC7A0AD">
            <w:pPr>
              <w:jc w:val="center"/>
              <w:rPr>
                <w:rFonts w:cs="宋体"/>
                <w:color w:val="auto"/>
                <w:szCs w:val="21"/>
              </w:rPr>
            </w:pPr>
          </w:p>
        </w:tc>
        <w:tc>
          <w:tcPr>
            <w:tcW w:w="706" w:type="pct"/>
            <w:tcBorders>
              <w:bottom w:val="single" w:color="auto" w:sz="12" w:space="0"/>
            </w:tcBorders>
            <w:vAlign w:val="center"/>
          </w:tcPr>
          <w:p w14:paraId="1A30D3FB">
            <w:pPr>
              <w:jc w:val="center"/>
              <w:rPr>
                <w:rFonts w:cs="宋体"/>
                <w:color w:val="auto"/>
                <w:szCs w:val="21"/>
              </w:rPr>
            </w:pPr>
          </w:p>
        </w:tc>
        <w:tc>
          <w:tcPr>
            <w:tcW w:w="802" w:type="pct"/>
            <w:tcBorders>
              <w:bottom w:val="single" w:color="auto" w:sz="12" w:space="0"/>
            </w:tcBorders>
            <w:vAlign w:val="center"/>
          </w:tcPr>
          <w:p w14:paraId="416C962E">
            <w:pPr>
              <w:jc w:val="center"/>
              <w:rPr>
                <w:rFonts w:cs="宋体"/>
                <w:color w:val="auto"/>
                <w:szCs w:val="21"/>
              </w:rPr>
            </w:pPr>
          </w:p>
        </w:tc>
        <w:tc>
          <w:tcPr>
            <w:tcW w:w="687" w:type="pct"/>
            <w:tcBorders>
              <w:bottom w:val="single" w:color="auto" w:sz="12" w:space="0"/>
            </w:tcBorders>
            <w:vAlign w:val="center"/>
          </w:tcPr>
          <w:p w14:paraId="696A71C8">
            <w:pPr>
              <w:jc w:val="center"/>
              <w:rPr>
                <w:rFonts w:cs="宋体"/>
                <w:color w:val="auto"/>
                <w:szCs w:val="21"/>
              </w:rPr>
            </w:pPr>
          </w:p>
        </w:tc>
        <w:tc>
          <w:tcPr>
            <w:tcW w:w="802" w:type="pct"/>
            <w:tcBorders>
              <w:bottom w:val="single" w:color="auto" w:sz="12" w:space="0"/>
            </w:tcBorders>
            <w:vAlign w:val="center"/>
          </w:tcPr>
          <w:p w14:paraId="0D9296A0">
            <w:pPr>
              <w:jc w:val="center"/>
              <w:rPr>
                <w:rFonts w:cs="宋体"/>
                <w:color w:val="auto"/>
                <w:szCs w:val="21"/>
              </w:rPr>
            </w:pPr>
          </w:p>
        </w:tc>
        <w:tc>
          <w:tcPr>
            <w:tcW w:w="922" w:type="pct"/>
            <w:tcBorders>
              <w:bottom w:val="single" w:color="auto" w:sz="12" w:space="0"/>
            </w:tcBorders>
            <w:vAlign w:val="center"/>
          </w:tcPr>
          <w:p w14:paraId="4F448EC5">
            <w:pPr>
              <w:jc w:val="center"/>
              <w:rPr>
                <w:rFonts w:cs="宋体"/>
                <w:color w:val="auto"/>
                <w:szCs w:val="21"/>
              </w:rPr>
            </w:pPr>
          </w:p>
        </w:tc>
      </w:tr>
    </w:tbl>
    <w:p w14:paraId="1A024287">
      <w:pPr>
        <w:spacing w:before="312" w:beforeLines="100" w:after="312" w:afterLines="100"/>
        <w:outlineLvl w:val="2"/>
        <w:rPr>
          <w:rFonts w:ascii="Times New Roman" w:eastAsia="黑体"/>
          <w:color w:val="auto"/>
          <w:szCs w:val="24"/>
        </w:rPr>
      </w:pPr>
      <w:r>
        <w:rPr>
          <w:rFonts w:hint="eastAsia" w:ascii="Times New Roman" w:eastAsia="黑体"/>
          <w:bCs/>
          <w:color w:val="auto"/>
        </w:rPr>
        <w:br w:type="page"/>
      </w:r>
      <w:bookmarkStart w:id="622" w:name="_Toc128950240"/>
      <w:r>
        <w:rPr>
          <w:rFonts w:hint="eastAsia" w:ascii="Times New Roman" w:eastAsia="黑体"/>
          <w:color w:val="auto"/>
          <w:szCs w:val="24"/>
        </w:rPr>
        <w:t>附</w:t>
      </w:r>
      <w:bookmarkStart w:id="623" w:name="_Toc296347226"/>
      <w:bookmarkStart w:id="624" w:name="_Toc296346728"/>
      <w:bookmarkStart w:id="625" w:name="_Toc267261698"/>
      <w:bookmarkStart w:id="626" w:name="_Toc296944566"/>
      <w:bookmarkStart w:id="627" w:name="_Toc296891055"/>
      <w:bookmarkStart w:id="628" w:name="_Toc296891267"/>
      <w:bookmarkStart w:id="629" w:name="_Toc296503227"/>
      <w:r>
        <w:rPr>
          <w:rFonts w:hint="eastAsia" w:ascii="Times New Roman" w:eastAsia="黑体"/>
          <w:color w:val="auto"/>
          <w:szCs w:val="24"/>
        </w:rPr>
        <w:t>件</w:t>
      </w:r>
      <w:r>
        <w:rPr>
          <w:rFonts w:ascii="Times New Roman" w:eastAsia="黑体"/>
          <w:color w:val="auto"/>
          <w:szCs w:val="24"/>
        </w:rPr>
        <w:t>5</w:t>
      </w:r>
      <w:r>
        <w:rPr>
          <w:rFonts w:hint="eastAsia" w:ascii="Times New Roman" w:eastAsia="黑体"/>
          <w:color w:val="auto"/>
          <w:szCs w:val="24"/>
        </w:rPr>
        <w:t>：承包人用于本工程施工的机械设备表</w:t>
      </w:r>
      <w:bookmarkEnd w:id="622"/>
    </w:p>
    <w:bookmarkEnd w:id="623"/>
    <w:bookmarkEnd w:id="624"/>
    <w:bookmarkEnd w:id="625"/>
    <w:bookmarkEnd w:id="626"/>
    <w:bookmarkEnd w:id="627"/>
    <w:bookmarkEnd w:id="628"/>
    <w:bookmarkEnd w:id="629"/>
    <w:p w14:paraId="2A69A1CC">
      <w:pPr>
        <w:spacing w:before="156" w:beforeLines="50" w:after="156" w:afterLines="50"/>
        <w:jc w:val="center"/>
        <w:rPr>
          <w:rFonts w:cs="宋体"/>
          <w:color w:val="auto"/>
          <w:szCs w:val="21"/>
        </w:rPr>
      </w:pPr>
      <w:r>
        <w:rPr>
          <w:rFonts w:hint="eastAsia" w:cs="宋体"/>
          <w:color w:val="auto"/>
          <w:szCs w:val="21"/>
        </w:rPr>
        <w:t>承包人用于本工程施工的机械设备表</w:t>
      </w:r>
    </w:p>
    <w:tbl>
      <w:tblPr>
        <w:tblStyle w:val="5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744"/>
        <w:gridCol w:w="1431"/>
        <w:gridCol w:w="857"/>
        <w:gridCol w:w="716"/>
        <w:gridCol w:w="857"/>
        <w:gridCol w:w="970"/>
        <w:gridCol w:w="1495"/>
        <w:gridCol w:w="1028"/>
        <w:gridCol w:w="938"/>
      </w:tblGrid>
      <w:tr w14:paraId="22F26B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412" w:type="pct"/>
            <w:tcBorders>
              <w:top w:val="single" w:color="auto" w:sz="12" w:space="0"/>
              <w:bottom w:val="double" w:color="auto" w:sz="6" w:space="0"/>
            </w:tcBorders>
            <w:vAlign w:val="center"/>
          </w:tcPr>
          <w:p w14:paraId="6F5F1A3D">
            <w:pPr>
              <w:keepNext/>
              <w:jc w:val="center"/>
              <w:rPr>
                <w:rFonts w:cs="宋体"/>
                <w:color w:val="auto"/>
                <w:szCs w:val="21"/>
              </w:rPr>
            </w:pPr>
            <w:r>
              <w:rPr>
                <w:rFonts w:hint="eastAsia" w:cs="宋体"/>
                <w:color w:val="auto"/>
                <w:szCs w:val="21"/>
              </w:rPr>
              <w:t>序号</w:t>
            </w:r>
          </w:p>
        </w:tc>
        <w:tc>
          <w:tcPr>
            <w:tcW w:w="792" w:type="pct"/>
            <w:tcBorders>
              <w:top w:val="single" w:color="auto" w:sz="12" w:space="0"/>
              <w:bottom w:val="double" w:color="auto" w:sz="6" w:space="0"/>
            </w:tcBorders>
            <w:vAlign w:val="center"/>
          </w:tcPr>
          <w:p w14:paraId="5DFF0F1E">
            <w:pPr>
              <w:keepNext/>
              <w:jc w:val="center"/>
              <w:rPr>
                <w:rFonts w:cs="宋体"/>
                <w:color w:val="auto"/>
                <w:szCs w:val="21"/>
              </w:rPr>
            </w:pPr>
            <w:r>
              <w:rPr>
                <w:rFonts w:hint="eastAsia" w:cs="宋体"/>
                <w:color w:val="auto"/>
                <w:szCs w:val="21"/>
              </w:rPr>
              <w:t>机械或设备名称</w:t>
            </w:r>
          </w:p>
        </w:tc>
        <w:tc>
          <w:tcPr>
            <w:tcW w:w="474" w:type="pct"/>
            <w:tcBorders>
              <w:top w:val="single" w:color="auto" w:sz="12" w:space="0"/>
              <w:bottom w:val="double" w:color="auto" w:sz="6" w:space="0"/>
            </w:tcBorders>
            <w:vAlign w:val="center"/>
          </w:tcPr>
          <w:p w14:paraId="2F06B5E3">
            <w:pPr>
              <w:keepNext/>
              <w:jc w:val="center"/>
              <w:rPr>
                <w:rFonts w:cs="宋体"/>
                <w:color w:val="auto"/>
                <w:szCs w:val="21"/>
              </w:rPr>
            </w:pPr>
            <w:r>
              <w:rPr>
                <w:rFonts w:hint="eastAsia" w:cs="宋体"/>
                <w:color w:val="auto"/>
                <w:szCs w:val="21"/>
              </w:rPr>
              <w:t>规格型号</w:t>
            </w:r>
          </w:p>
        </w:tc>
        <w:tc>
          <w:tcPr>
            <w:tcW w:w="396" w:type="pct"/>
            <w:tcBorders>
              <w:top w:val="single" w:color="auto" w:sz="12" w:space="0"/>
              <w:bottom w:val="double" w:color="auto" w:sz="6" w:space="0"/>
            </w:tcBorders>
            <w:vAlign w:val="center"/>
          </w:tcPr>
          <w:p w14:paraId="381912F3">
            <w:pPr>
              <w:keepNext/>
              <w:jc w:val="center"/>
              <w:rPr>
                <w:rFonts w:cs="宋体"/>
                <w:color w:val="auto"/>
                <w:szCs w:val="21"/>
              </w:rPr>
            </w:pPr>
            <w:r>
              <w:rPr>
                <w:rFonts w:hint="eastAsia" w:cs="宋体"/>
                <w:color w:val="auto"/>
                <w:szCs w:val="21"/>
              </w:rPr>
              <w:t>数量</w:t>
            </w:r>
          </w:p>
        </w:tc>
        <w:tc>
          <w:tcPr>
            <w:tcW w:w="474" w:type="pct"/>
            <w:tcBorders>
              <w:top w:val="single" w:color="auto" w:sz="12" w:space="0"/>
              <w:bottom w:val="double" w:color="auto" w:sz="6" w:space="0"/>
            </w:tcBorders>
            <w:vAlign w:val="center"/>
          </w:tcPr>
          <w:p w14:paraId="08BC27FD">
            <w:pPr>
              <w:keepNext/>
              <w:jc w:val="center"/>
              <w:rPr>
                <w:rFonts w:cs="宋体"/>
                <w:color w:val="auto"/>
                <w:szCs w:val="21"/>
              </w:rPr>
            </w:pPr>
            <w:r>
              <w:rPr>
                <w:rFonts w:hint="eastAsia" w:cs="宋体"/>
                <w:color w:val="auto"/>
                <w:szCs w:val="21"/>
              </w:rPr>
              <w:t>产地</w:t>
            </w:r>
          </w:p>
        </w:tc>
        <w:tc>
          <w:tcPr>
            <w:tcW w:w="537" w:type="pct"/>
            <w:tcBorders>
              <w:top w:val="single" w:color="auto" w:sz="12" w:space="0"/>
              <w:bottom w:val="double" w:color="auto" w:sz="6" w:space="0"/>
            </w:tcBorders>
            <w:vAlign w:val="center"/>
          </w:tcPr>
          <w:p w14:paraId="78E9A3EC">
            <w:pPr>
              <w:keepNext/>
              <w:jc w:val="center"/>
              <w:rPr>
                <w:rFonts w:cs="宋体"/>
                <w:color w:val="auto"/>
                <w:szCs w:val="21"/>
              </w:rPr>
            </w:pPr>
            <w:r>
              <w:rPr>
                <w:rFonts w:hint="eastAsia" w:cs="宋体"/>
                <w:color w:val="auto"/>
                <w:szCs w:val="21"/>
              </w:rPr>
              <w:t>制造年份</w:t>
            </w:r>
          </w:p>
        </w:tc>
        <w:tc>
          <w:tcPr>
            <w:tcW w:w="827" w:type="pct"/>
            <w:tcBorders>
              <w:top w:val="single" w:color="auto" w:sz="12" w:space="0"/>
              <w:bottom w:val="double" w:color="auto" w:sz="6" w:space="0"/>
            </w:tcBorders>
            <w:vAlign w:val="center"/>
          </w:tcPr>
          <w:p w14:paraId="220D58E1">
            <w:pPr>
              <w:keepNext/>
              <w:jc w:val="center"/>
              <w:rPr>
                <w:rFonts w:cs="宋体"/>
                <w:color w:val="auto"/>
                <w:szCs w:val="21"/>
              </w:rPr>
            </w:pPr>
            <w:r>
              <w:rPr>
                <w:rFonts w:hint="eastAsia" w:cs="宋体"/>
                <w:color w:val="auto"/>
                <w:szCs w:val="21"/>
              </w:rPr>
              <w:t>额定功率（kW)</w:t>
            </w:r>
          </w:p>
        </w:tc>
        <w:tc>
          <w:tcPr>
            <w:tcW w:w="569" w:type="pct"/>
            <w:tcBorders>
              <w:top w:val="single" w:color="auto" w:sz="12" w:space="0"/>
              <w:bottom w:val="double" w:color="auto" w:sz="6" w:space="0"/>
            </w:tcBorders>
            <w:vAlign w:val="center"/>
          </w:tcPr>
          <w:p w14:paraId="7C6121A2">
            <w:pPr>
              <w:keepNext/>
              <w:jc w:val="center"/>
              <w:rPr>
                <w:rFonts w:cs="宋体"/>
                <w:color w:val="auto"/>
                <w:szCs w:val="21"/>
              </w:rPr>
            </w:pPr>
            <w:r>
              <w:rPr>
                <w:rFonts w:hint="eastAsia" w:cs="宋体"/>
                <w:color w:val="auto"/>
                <w:szCs w:val="21"/>
              </w:rPr>
              <w:t>生产能力</w:t>
            </w:r>
          </w:p>
        </w:tc>
        <w:tc>
          <w:tcPr>
            <w:tcW w:w="519" w:type="pct"/>
            <w:tcBorders>
              <w:top w:val="single" w:color="auto" w:sz="12" w:space="0"/>
              <w:bottom w:val="double" w:color="auto" w:sz="6" w:space="0"/>
            </w:tcBorders>
            <w:vAlign w:val="center"/>
          </w:tcPr>
          <w:p w14:paraId="23BC4C12">
            <w:pPr>
              <w:keepNext/>
              <w:jc w:val="center"/>
              <w:rPr>
                <w:rFonts w:cs="宋体"/>
                <w:color w:val="auto"/>
                <w:szCs w:val="21"/>
              </w:rPr>
            </w:pPr>
            <w:r>
              <w:rPr>
                <w:rFonts w:hint="eastAsia" w:cs="宋体"/>
                <w:color w:val="auto"/>
                <w:szCs w:val="21"/>
              </w:rPr>
              <w:t>备注</w:t>
            </w:r>
          </w:p>
        </w:tc>
      </w:tr>
      <w:tr w14:paraId="0370E2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412" w:type="pct"/>
            <w:tcBorders>
              <w:top w:val="double" w:color="auto" w:sz="6" w:space="0"/>
            </w:tcBorders>
            <w:vAlign w:val="center"/>
          </w:tcPr>
          <w:p w14:paraId="09AAEBC6">
            <w:pPr>
              <w:keepNext/>
              <w:jc w:val="center"/>
              <w:rPr>
                <w:rFonts w:cs="宋体"/>
                <w:color w:val="auto"/>
                <w:szCs w:val="21"/>
              </w:rPr>
            </w:pPr>
          </w:p>
        </w:tc>
        <w:tc>
          <w:tcPr>
            <w:tcW w:w="792" w:type="pct"/>
            <w:tcBorders>
              <w:top w:val="double" w:color="auto" w:sz="6" w:space="0"/>
            </w:tcBorders>
            <w:vAlign w:val="center"/>
          </w:tcPr>
          <w:p w14:paraId="7EB4A1E6">
            <w:pPr>
              <w:keepNext/>
              <w:jc w:val="center"/>
              <w:rPr>
                <w:rFonts w:cs="宋体"/>
                <w:color w:val="auto"/>
                <w:szCs w:val="21"/>
              </w:rPr>
            </w:pPr>
          </w:p>
        </w:tc>
        <w:tc>
          <w:tcPr>
            <w:tcW w:w="474" w:type="pct"/>
            <w:tcBorders>
              <w:top w:val="double" w:color="auto" w:sz="6" w:space="0"/>
            </w:tcBorders>
            <w:vAlign w:val="center"/>
          </w:tcPr>
          <w:p w14:paraId="16537638">
            <w:pPr>
              <w:keepNext/>
              <w:jc w:val="center"/>
              <w:rPr>
                <w:rFonts w:cs="宋体"/>
                <w:color w:val="auto"/>
                <w:szCs w:val="21"/>
              </w:rPr>
            </w:pPr>
          </w:p>
        </w:tc>
        <w:tc>
          <w:tcPr>
            <w:tcW w:w="396" w:type="pct"/>
            <w:tcBorders>
              <w:top w:val="double" w:color="auto" w:sz="6" w:space="0"/>
            </w:tcBorders>
            <w:vAlign w:val="center"/>
          </w:tcPr>
          <w:p w14:paraId="60E6E21E">
            <w:pPr>
              <w:keepNext/>
              <w:jc w:val="center"/>
              <w:rPr>
                <w:rFonts w:cs="宋体"/>
                <w:color w:val="auto"/>
                <w:szCs w:val="21"/>
              </w:rPr>
            </w:pPr>
          </w:p>
        </w:tc>
        <w:tc>
          <w:tcPr>
            <w:tcW w:w="474" w:type="pct"/>
            <w:tcBorders>
              <w:top w:val="double" w:color="auto" w:sz="6" w:space="0"/>
            </w:tcBorders>
            <w:vAlign w:val="center"/>
          </w:tcPr>
          <w:p w14:paraId="6E0CF2E8">
            <w:pPr>
              <w:keepNext/>
              <w:jc w:val="center"/>
              <w:rPr>
                <w:rFonts w:cs="宋体"/>
                <w:color w:val="auto"/>
                <w:szCs w:val="21"/>
              </w:rPr>
            </w:pPr>
          </w:p>
        </w:tc>
        <w:tc>
          <w:tcPr>
            <w:tcW w:w="537" w:type="pct"/>
            <w:tcBorders>
              <w:top w:val="double" w:color="auto" w:sz="6" w:space="0"/>
            </w:tcBorders>
            <w:vAlign w:val="center"/>
          </w:tcPr>
          <w:p w14:paraId="5DB29ACC">
            <w:pPr>
              <w:keepNext/>
              <w:jc w:val="center"/>
              <w:rPr>
                <w:rFonts w:cs="宋体"/>
                <w:color w:val="auto"/>
                <w:szCs w:val="21"/>
              </w:rPr>
            </w:pPr>
          </w:p>
        </w:tc>
        <w:tc>
          <w:tcPr>
            <w:tcW w:w="827" w:type="pct"/>
            <w:tcBorders>
              <w:top w:val="double" w:color="auto" w:sz="6" w:space="0"/>
            </w:tcBorders>
            <w:vAlign w:val="center"/>
          </w:tcPr>
          <w:p w14:paraId="320D57A8">
            <w:pPr>
              <w:keepNext/>
              <w:jc w:val="center"/>
              <w:rPr>
                <w:rFonts w:cs="宋体"/>
                <w:color w:val="auto"/>
                <w:szCs w:val="21"/>
              </w:rPr>
            </w:pPr>
          </w:p>
        </w:tc>
        <w:tc>
          <w:tcPr>
            <w:tcW w:w="569" w:type="pct"/>
            <w:tcBorders>
              <w:top w:val="double" w:color="auto" w:sz="6" w:space="0"/>
            </w:tcBorders>
            <w:vAlign w:val="center"/>
          </w:tcPr>
          <w:p w14:paraId="1158ED87">
            <w:pPr>
              <w:keepNext/>
              <w:jc w:val="center"/>
              <w:rPr>
                <w:rFonts w:cs="宋体"/>
                <w:color w:val="auto"/>
                <w:szCs w:val="21"/>
              </w:rPr>
            </w:pPr>
          </w:p>
        </w:tc>
        <w:tc>
          <w:tcPr>
            <w:tcW w:w="519" w:type="pct"/>
            <w:tcBorders>
              <w:top w:val="double" w:color="auto" w:sz="6" w:space="0"/>
            </w:tcBorders>
            <w:vAlign w:val="center"/>
          </w:tcPr>
          <w:p w14:paraId="7F18D1F2">
            <w:pPr>
              <w:keepNext/>
              <w:jc w:val="center"/>
              <w:rPr>
                <w:rFonts w:cs="宋体"/>
                <w:color w:val="auto"/>
                <w:szCs w:val="21"/>
              </w:rPr>
            </w:pPr>
          </w:p>
        </w:tc>
      </w:tr>
      <w:tr w14:paraId="22F2E3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trPr>
        <w:tc>
          <w:tcPr>
            <w:tcW w:w="412" w:type="pct"/>
            <w:tcBorders>
              <w:top w:val="nil"/>
            </w:tcBorders>
            <w:vAlign w:val="center"/>
          </w:tcPr>
          <w:p w14:paraId="642E14B2">
            <w:pPr>
              <w:keepNext/>
              <w:jc w:val="center"/>
              <w:rPr>
                <w:rFonts w:cs="宋体"/>
                <w:color w:val="auto"/>
                <w:szCs w:val="21"/>
              </w:rPr>
            </w:pPr>
          </w:p>
        </w:tc>
        <w:tc>
          <w:tcPr>
            <w:tcW w:w="792" w:type="pct"/>
            <w:tcBorders>
              <w:top w:val="nil"/>
            </w:tcBorders>
            <w:vAlign w:val="center"/>
          </w:tcPr>
          <w:p w14:paraId="6421F25E">
            <w:pPr>
              <w:keepNext/>
              <w:jc w:val="center"/>
              <w:rPr>
                <w:rFonts w:cs="宋体"/>
                <w:color w:val="auto"/>
                <w:szCs w:val="21"/>
              </w:rPr>
            </w:pPr>
          </w:p>
        </w:tc>
        <w:tc>
          <w:tcPr>
            <w:tcW w:w="474" w:type="pct"/>
            <w:tcBorders>
              <w:top w:val="nil"/>
            </w:tcBorders>
            <w:vAlign w:val="center"/>
          </w:tcPr>
          <w:p w14:paraId="2A3A713F">
            <w:pPr>
              <w:keepNext/>
              <w:jc w:val="center"/>
              <w:rPr>
                <w:rFonts w:cs="宋体"/>
                <w:color w:val="auto"/>
                <w:szCs w:val="21"/>
              </w:rPr>
            </w:pPr>
          </w:p>
        </w:tc>
        <w:tc>
          <w:tcPr>
            <w:tcW w:w="396" w:type="pct"/>
            <w:tcBorders>
              <w:top w:val="nil"/>
            </w:tcBorders>
            <w:vAlign w:val="center"/>
          </w:tcPr>
          <w:p w14:paraId="19F4ABD1">
            <w:pPr>
              <w:keepNext/>
              <w:jc w:val="center"/>
              <w:rPr>
                <w:rFonts w:cs="宋体"/>
                <w:color w:val="auto"/>
                <w:szCs w:val="21"/>
              </w:rPr>
            </w:pPr>
          </w:p>
        </w:tc>
        <w:tc>
          <w:tcPr>
            <w:tcW w:w="474" w:type="pct"/>
            <w:tcBorders>
              <w:top w:val="nil"/>
            </w:tcBorders>
            <w:vAlign w:val="center"/>
          </w:tcPr>
          <w:p w14:paraId="66A80F73">
            <w:pPr>
              <w:keepNext/>
              <w:jc w:val="center"/>
              <w:rPr>
                <w:rFonts w:cs="宋体"/>
                <w:color w:val="auto"/>
                <w:szCs w:val="21"/>
              </w:rPr>
            </w:pPr>
          </w:p>
        </w:tc>
        <w:tc>
          <w:tcPr>
            <w:tcW w:w="537" w:type="pct"/>
            <w:tcBorders>
              <w:top w:val="nil"/>
            </w:tcBorders>
            <w:vAlign w:val="center"/>
          </w:tcPr>
          <w:p w14:paraId="3C6CACBD">
            <w:pPr>
              <w:keepNext/>
              <w:jc w:val="center"/>
              <w:rPr>
                <w:rFonts w:cs="宋体"/>
                <w:color w:val="auto"/>
                <w:szCs w:val="21"/>
              </w:rPr>
            </w:pPr>
          </w:p>
        </w:tc>
        <w:tc>
          <w:tcPr>
            <w:tcW w:w="827" w:type="pct"/>
            <w:tcBorders>
              <w:top w:val="nil"/>
            </w:tcBorders>
            <w:vAlign w:val="center"/>
          </w:tcPr>
          <w:p w14:paraId="3C4DBAEB">
            <w:pPr>
              <w:keepNext/>
              <w:jc w:val="center"/>
              <w:rPr>
                <w:rFonts w:cs="宋体"/>
                <w:color w:val="auto"/>
                <w:szCs w:val="21"/>
              </w:rPr>
            </w:pPr>
          </w:p>
        </w:tc>
        <w:tc>
          <w:tcPr>
            <w:tcW w:w="569" w:type="pct"/>
            <w:tcBorders>
              <w:top w:val="nil"/>
            </w:tcBorders>
            <w:vAlign w:val="center"/>
          </w:tcPr>
          <w:p w14:paraId="00B47264">
            <w:pPr>
              <w:keepNext/>
              <w:jc w:val="center"/>
              <w:rPr>
                <w:rFonts w:cs="宋体"/>
                <w:color w:val="auto"/>
                <w:szCs w:val="21"/>
              </w:rPr>
            </w:pPr>
          </w:p>
        </w:tc>
        <w:tc>
          <w:tcPr>
            <w:tcW w:w="519" w:type="pct"/>
            <w:tcBorders>
              <w:top w:val="nil"/>
            </w:tcBorders>
            <w:vAlign w:val="center"/>
          </w:tcPr>
          <w:p w14:paraId="4526443B">
            <w:pPr>
              <w:keepNext/>
              <w:jc w:val="center"/>
              <w:rPr>
                <w:rFonts w:cs="宋体"/>
                <w:color w:val="auto"/>
                <w:szCs w:val="21"/>
              </w:rPr>
            </w:pPr>
          </w:p>
        </w:tc>
      </w:tr>
      <w:tr w14:paraId="10C272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412" w:type="pct"/>
            <w:vAlign w:val="center"/>
          </w:tcPr>
          <w:p w14:paraId="1F231611">
            <w:pPr>
              <w:jc w:val="center"/>
              <w:rPr>
                <w:rFonts w:cs="宋体"/>
                <w:color w:val="auto"/>
                <w:szCs w:val="21"/>
              </w:rPr>
            </w:pPr>
          </w:p>
        </w:tc>
        <w:tc>
          <w:tcPr>
            <w:tcW w:w="792" w:type="pct"/>
            <w:vAlign w:val="center"/>
          </w:tcPr>
          <w:p w14:paraId="4BEEDCC4">
            <w:pPr>
              <w:jc w:val="center"/>
              <w:rPr>
                <w:rFonts w:cs="宋体"/>
                <w:color w:val="auto"/>
                <w:szCs w:val="21"/>
              </w:rPr>
            </w:pPr>
          </w:p>
        </w:tc>
        <w:tc>
          <w:tcPr>
            <w:tcW w:w="474" w:type="pct"/>
            <w:vAlign w:val="center"/>
          </w:tcPr>
          <w:p w14:paraId="265CB5D8">
            <w:pPr>
              <w:jc w:val="center"/>
              <w:rPr>
                <w:rFonts w:cs="宋体"/>
                <w:color w:val="auto"/>
                <w:szCs w:val="21"/>
              </w:rPr>
            </w:pPr>
          </w:p>
        </w:tc>
        <w:tc>
          <w:tcPr>
            <w:tcW w:w="396" w:type="pct"/>
            <w:vAlign w:val="center"/>
          </w:tcPr>
          <w:p w14:paraId="22A5E704">
            <w:pPr>
              <w:jc w:val="center"/>
              <w:rPr>
                <w:rFonts w:cs="宋体"/>
                <w:color w:val="auto"/>
                <w:szCs w:val="21"/>
              </w:rPr>
            </w:pPr>
          </w:p>
        </w:tc>
        <w:tc>
          <w:tcPr>
            <w:tcW w:w="474" w:type="pct"/>
            <w:vAlign w:val="center"/>
          </w:tcPr>
          <w:p w14:paraId="7E5E40BE">
            <w:pPr>
              <w:jc w:val="center"/>
              <w:rPr>
                <w:rFonts w:cs="宋体"/>
                <w:color w:val="auto"/>
                <w:szCs w:val="21"/>
              </w:rPr>
            </w:pPr>
          </w:p>
        </w:tc>
        <w:tc>
          <w:tcPr>
            <w:tcW w:w="537" w:type="pct"/>
            <w:vAlign w:val="center"/>
          </w:tcPr>
          <w:p w14:paraId="732755EB">
            <w:pPr>
              <w:jc w:val="center"/>
              <w:rPr>
                <w:rFonts w:cs="宋体"/>
                <w:color w:val="auto"/>
                <w:szCs w:val="21"/>
              </w:rPr>
            </w:pPr>
          </w:p>
        </w:tc>
        <w:tc>
          <w:tcPr>
            <w:tcW w:w="827" w:type="pct"/>
            <w:vAlign w:val="center"/>
          </w:tcPr>
          <w:p w14:paraId="0A01596D">
            <w:pPr>
              <w:jc w:val="center"/>
              <w:rPr>
                <w:rFonts w:cs="宋体"/>
                <w:color w:val="auto"/>
                <w:szCs w:val="21"/>
              </w:rPr>
            </w:pPr>
          </w:p>
        </w:tc>
        <w:tc>
          <w:tcPr>
            <w:tcW w:w="569" w:type="pct"/>
            <w:vAlign w:val="center"/>
          </w:tcPr>
          <w:p w14:paraId="152F85EF">
            <w:pPr>
              <w:jc w:val="center"/>
              <w:rPr>
                <w:rFonts w:cs="宋体"/>
                <w:color w:val="auto"/>
                <w:szCs w:val="21"/>
              </w:rPr>
            </w:pPr>
          </w:p>
        </w:tc>
        <w:tc>
          <w:tcPr>
            <w:tcW w:w="519" w:type="pct"/>
            <w:vAlign w:val="center"/>
          </w:tcPr>
          <w:p w14:paraId="77E35FFB">
            <w:pPr>
              <w:jc w:val="center"/>
              <w:rPr>
                <w:rFonts w:cs="宋体"/>
                <w:color w:val="auto"/>
                <w:szCs w:val="21"/>
              </w:rPr>
            </w:pPr>
          </w:p>
        </w:tc>
      </w:tr>
      <w:tr w14:paraId="265E31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412" w:type="pct"/>
            <w:vAlign w:val="center"/>
          </w:tcPr>
          <w:p w14:paraId="483182B8">
            <w:pPr>
              <w:jc w:val="center"/>
              <w:rPr>
                <w:rFonts w:cs="宋体"/>
                <w:color w:val="auto"/>
                <w:szCs w:val="21"/>
              </w:rPr>
            </w:pPr>
          </w:p>
        </w:tc>
        <w:tc>
          <w:tcPr>
            <w:tcW w:w="792" w:type="pct"/>
            <w:vAlign w:val="center"/>
          </w:tcPr>
          <w:p w14:paraId="59A4C4F8">
            <w:pPr>
              <w:jc w:val="center"/>
              <w:rPr>
                <w:rFonts w:cs="宋体"/>
                <w:color w:val="auto"/>
                <w:szCs w:val="21"/>
              </w:rPr>
            </w:pPr>
          </w:p>
        </w:tc>
        <w:tc>
          <w:tcPr>
            <w:tcW w:w="474" w:type="pct"/>
            <w:vAlign w:val="center"/>
          </w:tcPr>
          <w:p w14:paraId="62387AB8">
            <w:pPr>
              <w:jc w:val="center"/>
              <w:rPr>
                <w:rFonts w:cs="宋体"/>
                <w:color w:val="auto"/>
                <w:szCs w:val="21"/>
              </w:rPr>
            </w:pPr>
          </w:p>
        </w:tc>
        <w:tc>
          <w:tcPr>
            <w:tcW w:w="396" w:type="pct"/>
            <w:vAlign w:val="center"/>
          </w:tcPr>
          <w:p w14:paraId="148B6945">
            <w:pPr>
              <w:jc w:val="center"/>
              <w:rPr>
                <w:rFonts w:cs="宋体"/>
                <w:color w:val="auto"/>
                <w:szCs w:val="21"/>
              </w:rPr>
            </w:pPr>
          </w:p>
        </w:tc>
        <w:tc>
          <w:tcPr>
            <w:tcW w:w="474" w:type="pct"/>
            <w:vAlign w:val="center"/>
          </w:tcPr>
          <w:p w14:paraId="533EE90F">
            <w:pPr>
              <w:jc w:val="center"/>
              <w:rPr>
                <w:rFonts w:cs="宋体"/>
                <w:color w:val="auto"/>
                <w:szCs w:val="21"/>
              </w:rPr>
            </w:pPr>
          </w:p>
        </w:tc>
        <w:tc>
          <w:tcPr>
            <w:tcW w:w="537" w:type="pct"/>
            <w:vAlign w:val="center"/>
          </w:tcPr>
          <w:p w14:paraId="5E438656">
            <w:pPr>
              <w:jc w:val="center"/>
              <w:rPr>
                <w:rFonts w:cs="宋体"/>
                <w:color w:val="auto"/>
                <w:szCs w:val="21"/>
              </w:rPr>
            </w:pPr>
          </w:p>
        </w:tc>
        <w:tc>
          <w:tcPr>
            <w:tcW w:w="827" w:type="pct"/>
            <w:vAlign w:val="center"/>
          </w:tcPr>
          <w:p w14:paraId="2AE637BC">
            <w:pPr>
              <w:jc w:val="center"/>
              <w:rPr>
                <w:rFonts w:cs="宋体"/>
                <w:color w:val="auto"/>
                <w:szCs w:val="21"/>
              </w:rPr>
            </w:pPr>
          </w:p>
        </w:tc>
        <w:tc>
          <w:tcPr>
            <w:tcW w:w="569" w:type="pct"/>
            <w:vAlign w:val="center"/>
          </w:tcPr>
          <w:p w14:paraId="19673663">
            <w:pPr>
              <w:jc w:val="center"/>
              <w:rPr>
                <w:rFonts w:cs="宋体"/>
                <w:color w:val="auto"/>
                <w:szCs w:val="21"/>
              </w:rPr>
            </w:pPr>
          </w:p>
        </w:tc>
        <w:tc>
          <w:tcPr>
            <w:tcW w:w="519" w:type="pct"/>
            <w:vAlign w:val="center"/>
          </w:tcPr>
          <w:p w14:paraId="2BD46849">
            <w:pPr>
              <w:jc w:val="center"/>
              <w:rPr>
                <w:rFonts w:cs="宋体"/>
                <w:color w:val="auto"/>
                <w:szCs w:val="21"/>
              </w:rPr>
            </w:pPr>
          </w:p>
        </w:tc>
      </w:tr>
      <w:tr w14:paraId="4B5CDB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412" w:type="pct"/>
            <w:tcBorders>
              <w:bottom w:val="single" w:color="auto" w:sz="12" w:space="0"/>
            </w:tcBorders>
            <w:vAlign w:val="center"/>
          </w:tcPr>
          <w:p w14:paraId="35DB7D48">
            <w:pPr>
              <w:jc w:val="center"/>
              <w:rPr>
                <w:rFonts w:cs="宋体"/>
                <w:color w:val="auto"/>
                <w:szCs w:val="21"/>
              </w:rPr>
            </w:pPr>
          </w:p>
        </w:tc>
        <w:tc>
          <w:tcPr>
            <w:tcW w:w="792" w:type="pct"/>
            <w:tcBorders>
              <w:bottom w:val="single" w:color="auto" w:sz="12" w:space="0"/>
            </w:tcBorders>
            <w:vAlign w:val="center"/>
          </w:tcPr>
          <w:p w14:paraId="691A72BB">
            <w:pPr>
              <w:jc w:val="center"/>
              <w:rPr>
                <w:rFonts w:cs="宋体"/>
                <w:color w:val="auto"/>
                <w:szCs w:val="21"/>
              </w:rPr>
            </w:pPr>
          </w:p>
        </w:tc>
        <w:tc>
          <w:tcPr>
            <w:tcW w:w="474" w:type="pct"/>
            <w:tcBorders>
              <w:bottom w:val="single" w:color="auto" w:sz="12" w:space="0"/>
            </w:tcBorders>
            <w:vAlign w:val="center"/>
          </w:tcPr>
          <w:p w14:paraId="6E2838CF">
            <w:pPr>
              <w:jc w:val="center"/>
              <w:rPr>
                <w:rFonts w:cs="宋体"/>
                <w:color w:val="auto"/>
                <w:szCs w:val="21"/>
              </w:rPr>
            </w:pPr>
          </w:p>
        </w:tc>
        <w:tc>
          <w:tcPr>
            <w:tcW w:w="396" w:type="pct"/>
            <w:tcBorders>
              <w:bottom w:val="single" w:color="auto" w:sz="12" w:space="0"/>
            </w:tcBorders>
            <w:vAlign w:val="center"/>
          </w:tcPr>
          <w:p w14:paraId="2610B6BE">
            <w:pPr>
              <w:jc w:val="center"/>
              <w:rPr>
                <w:rFonts w:cs="宋体"/>
                <w:color w:val="auto"/>
                <w:szCs w:val="21"/>
              </w:rPr>
            </w:pPr>
          </w:p>
        </w:tc>
        <w:tc>
          <w:tcPr>
            <w:tcW w:w="474" w:type="pct"/>
            <w:tcBorders>
              <w:bottom w:val="single" w:color="auto" w:sz="12" w:space="0"/>
            </w:tcBorders>
            <w:vAlign w:val="center"/>
          </w:tcPr>
          <w:p w14:paraId="0B5628E1">
            <w:pPr>
              <w:jc w:val="center"/>
              <w:rPr>
                <w:rFonts w:cs="宋体"/>
                <w:color w:val="auto"/>
                <w:szCs w:val="21"/>
              </w:rPr>
            </w:pPr>
          </w:p>
        </w:tc>
        <w:tc>
          <w:tcPr>
            <w:tcW w:w="537" w:type="pct"/>
            <w:tcBorders>
              <w:bottom w:val="single" w:color="auto" w:sz="12" w:space="0"/>
            </w:tcBorders>
            <w:vAlign w:val="center"/>
          </w:tcPr>
          <w:p w14:paraId="643CC008">
            <w:pPr>
              <w:jc w:val="center"/>
              <w:rPr>
                <w:rFonts w:cs="宋体"/>
                <w:color w:val="auto"/>
                <w:szCs w:val="21"/>
              </w:rPr>
            </w:pPr>
          </w:p>
        </w:tc>
        <w:tc>
          <w:tcPr>
            <w:tcW w:w="827" w:type="pct"/>
            <w:tcBorders>
              <w:bottom w:val="single" w:color="auto" w:sz="12" w:space="0"/>
            </w:tcBorders>
            <w:vAlign w:val="center"/>
          </w:tcPr>
          <w:p w14:paraId="31E43C57">
            <w:pPr>
              <w:jc w:val="center"/>
              <w:rPr>
                <w:rFonts w:cs="宋体"/>
                <w:color w:val="auto"/>
                <w:szCs w:val="21"/>
              </w:rPr>
            </w:pPr>
          </w:p>
        </w:tc>
        <w:tc>
          <w:tcPr>
            <w:tcW w:w="569" w:type="pct"/>
            <w:tcBorders>
              <w:bottom w:val="single" w:color="auto" w:sz="12" w:space="0"/>
            </w:tcBorders>
            <w:vAlign w:val="center"/>
          </w:tcPr>
          <w:p w14:paraId="3901D8F3">
            <w:pPr>
              <w:jc w:val="center"/>
              <w:rPr>
                <w:rFonts w:cs="宋体"/>
                <w:color w:val="auto"/>
                <w:szCs w:val="21"/>
              </w:rPr>
            </w:pPr>
          </w:p>
        </w:tc>
        <w:tc>
          <w:tcPr>
            <w:tcW w:w="519" w:type="pct"/>
            <w:tcBorders>
              <w:bottom w:val="single" w:color="auto" w:sz="12" w:space="0"/>
            </w:tcBorders>
            <w:vAlign w:val="center"/>
          </w:tcPr>
          <w:p w14:paraId="28934917">
            <w:pPr>
              <w:jc w:val="center"/>
              <w:rPr>
                <w:rFonts w:cs="宋体"/>
                <w:color w:val="auto"/>
                <w:szCs w:val="21"/>
              </w:rPr>
            </w:pPr>
          </w:p>
        </w:tc>
      </w:tr>
    </w:tbl>
    <w:p w14:paraId="46247D32">
      <w:pPr>
        <w:spacing w:before="312" w:beforeLines="100" w:after="312" w:afterLines="100"/>
        <w:outlineLvl w:val="2"/>
        <w:rPr>
          <w:rFonts w:ascii="Times New Roman" w:eastAsia="黑体"/>
          <w:color w:val="auto"/>
          <w:szCs w:val="24"/>
        </w:rPr>
      </w:pPr>
      <w:r>
        <w:rPr>
          <w:rFonts w:hint="eastAsia" w:cs="宋体"/>
          <w:bCs/>
          <w:color w:val="auto"/>
        </w:rPr>
        <w:br w:type="page"/>
      </w:r>
      <w:bookmarkStart w:id="630" w:name="_Toc128950241"/>
      <w:r>
        <w:rPr>
          <w:rFonts w:hint="eastAsia" w:ascii="Times New Roman" w:eastAsia="黑体"/>
          <w:color w:val="auto"/>
          <w:szCs w:val="24"/>
        </w:rPr>
        <w:t>附</w:t>
      </w:r>
      <w:bookmarkStart w:id="631" w:name="_Toc296503228"/>
      <w:bookmarkStart w:id="632" w:name="_Toc296891268"/>
      <w:bookmarkStart w:id="633" w:name="_Toc296891056"/>
      <w:bookmarkStart w:id="634" w:name="_Toc267261699"/>
      <w:bookmarkStart w:id="635" w:name="_Toc296944567"/>
      <w:bookmarkStart w:id="636" w:name="_Toc296347227"/>
      <w:bookmarkStart w:id="637" w:name="_Toc296346729"/>
      <w:r>
        <w:rPr>
          <w:rFonts w:hint="eastAsia" w:ascii="Times New Roman" w:eastAsia="黑体"/>
          <w:color w:val="auto"/>
          <w:szCs w:val="24"/>
        </w:rPr>
        <w:t>件</w:t>
      </w:r>
      <w:bookmarkEnd w:id="631"/>
      <w:bookmarkEnd w:id="632"/>
      <w:bookmarkEnd w:id="633"/>
      <w:bookmarkEnd w:id="634"/>
      <w:bookmarkEnd w:id="635"/>
      <w:bookmarkEnd w:id="636"/>
      <w:bookmarkEnd w:id="637"/>
      <w:r>
        <w:rPr>
          <w:rFonts w:ascii="Times New Roman" w:eastAsia="黑体"/>
          <w:color w:val="auto"/>
          <w:szCs w:val="24"/>
        </w:rPr>
        <w:t>6</w:t>
      </w:r>
      <w:r>
        <w:rPr>
          <w:rFonts w:hint="eastAsia" w:ascii="Times New Roman" w:eastAsia="黑体"/>
          <w:color w:val="auto"/>
          <w:szCs w:val="24"/>
        </w:rPr>
        <w:t>：承包人主要施工管理人员表</w:t>
      </w:r>
      <w:bookmarkEnd w:id="630"/>
    </w:p>
    <w:p w14:paraId="6B2057AF">
      <w:pPr>
        <w:spacing w:line="360" w:lineRule="auto"/>
        <w:jc w:val="center"/>
        <w:rPr>
          <w:rFonts w:cs="宋体"/>
          <w:color w:val="auto"/>
        </w:rPr>
      </w:pPr>
      <w:r>
        <w:rPr>
          <w:rFonts w:hint="eastAsia" w:cs="宋体"/>
          <w:color w:val="auto"/>
        </w:rPr>
        <w:t>承包人主要施工管理人员表</w:t>
      </w:r>
    </w:p>
    <w:tbl>
      <w:tblPr>
        <w:tblStyle w:val="55"/>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1693"/>
        <w:gridCol w:w="1133"/>
        <w:gridCol w:w="907"/>
        <w:gridCol w:w="907"/>
        <w:gridCol w:w="2315"/>
        <w:gridCol w:w="2081"/>
      </w:tblGrid>
      <w:tr w14:paraId="6ED7A4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tcBorders>
              <w:top w:val="single" w:color="auto" w:sz="12" w:space="0"/>
              <w:bottom w:val="double" w:color="auto" w:sz="6" w:space="0"/>
            </w:tcBorders>
            <w:vAlign w:val="center"/>
          </w:tcPr>
          <w:p w14:paraId="35A42D25">
            <w:pPr>
              <w:keepNext/>
              <w:spacing w:line="360" w:lineRule="auto"/>
              <w:jc w:val="center"/>
              <w:rPr>
                <w:rFonts w:cs="宋体"/>
                <w:color w:val="auto"/>
                <w:szCs w:val="21"/>
              </w:rPr>
            </w:pPr>
            <w:r>
              <w:rPr>
                <w:rFonts w:hint="eastAsia" w:cs="宋体"/>
                <w:color w:val="auto"/>
                <w:szCs w:val="21"/>
              </w:rPr>
              <w:t>名称</w:t>
            </w:r>
          </w:p>
        </w:tc>
        <w:tc>
          <w:tcPr>
            <w:tcW w:w="627" w:type="pct"/>
            <w:tcBorders>
              <w:top w:val="single" w:color="auto" w:sz="12" w:space="0"/>
              <w:bottom w:val="double" w:color="auto" w:sz="6" w:space="0"/>
            </w:tcBorders>
            <w:vAlign w:val="center"/>
          </w:tcPr>
          <w:p w14:paraId="5C694886">
            <w:pPr>
              <w:keepNext/>
              <w:spacing w:line="360" w:lineRule="auto"/>
              <w:jc w:val="center"/>
              <w:rPr>
                <w:rFonts w:cs="宋体"/>
                <w:color w:val="auto"/>
                <w:szCs w:val="21"/>
              </w:rPr>
            </w:pPr>
            <w:r>
              <w:rPr>
                <w:rFonts w:hint="eastAsia" w:cs="宋体"/>
                <w:color w:val="auto"/>
                <w:szCs w:val="21"/>
              </w:rPr>
              <w:t>姓名</w:t>
            </w:r>
          </w:p>
        </w:tc>
        <w:tc>
          <w:tcPr>
            <w:tcW w:w="502" w:type="pct"/>
            <w:tcBorders>
              <w:top w:val="single" w:color="auto" w:sz="12" w:space="0"/>
              <w:bottom w:val="double" w:color="auto" w:sz="6" w:space="0"/>
            </w:tcBorders>
            <w:vAlign w:val="center"/>
          </w:tcPr>
          <w:p w14:paraId="134F6EF0">
            <w:pPr>
              <w:keepNext/>
              <w:spacing w:line="360" w:lineRule="auto"/>
              <w:jc w:val="center"/>
              <w:rPr>
                <w:rFonts w:cs="宋体"/>
                <w:color w:val="auto"/>
                <w:szCs w:val="21"/>
              </w:rPr>
            </w:pPr>
            <w:r>
              <w:rPr>
                <w:rFonts w:hint="eastAsia" w:cs="宋体"/>
                <w:color w:val="auto"/>
                <w:szCs w:val="21"/>
              </w:rPr>
              <w:t>职务</w:t>
            </w:r>
          </w:p>
        </w:tc>
        <w:tc>
          <w:tcPr>
            <w:tcW w:w="502" w:type="pct"/>
            <w:tcBorders>
              <w:top w:val="single" w:color="auto" w:sz="12" w:space="0"/>
              <w:bottom w:val="double" w:color="auto" w:sz="6" w:space="0"/>
            </w:tcBorders>
            <w:vAlign w:val="center"/>
          </w:tcPr>
          <w:p w14:paraId="463E1898">
            <w:pPr>
              <w:keepNext/>
              <w:spacing w:line="360" w:lineRule="auto"/>
              <w:jc w:val="center"/>
              <w:rPr>
                <w:rFonts w:cs="宋体"/>
                <w:color w:val="auto"/>
                <w:szCs w:val="21"/>
              </w:rPr>
            </w:pPr>
            <w:r>
              <w:rPr>
                <w:rFonts w:hint="eastAsia" w:cs="宋体"/>
                <w:color w:val="auto"/>
                <w:szCs w:val="21"/>
              </w:rPr>
              <w:t>职称</w:t>
            </w:r>
          </w:p>
        </w:tc>
        <w:tc>
          <w:tcPr>
            <w:tcW w:w="1281" w:type="pct"/>
            <w:tcBorders>
              <w:top w:val="single" w:color="auto" w:sz="12" w:space="0"/>
              <w:bottom w:val="double" w:color="auto" w:sz="6" w:space="0"/>
            </w:tcBorders>
            <w:vAlign w:val="center"/>
          </w:tcPr>
          <w:p w14:paraId="1A655104">
            <w:pPr>
              <w:keepNext/>
              <w:spacing w:line="360" w:lineRule="auto"/>
              <w:jc w:val="center"/>
              <w:rPr>
                <w:rFonts w:cs="宋体"/>
                <w:color w:val="auto"/>
                <w:szCs w:val="21"/>
              </w:rPr>
            </w:pPr>
            <w:r>
              <w:rPr>
                <w:rFonts w:hint="eastAsia" w:cs="宋体"/>
                <w:color w:val="auto"/>
                <w:szCs w:val="21"/>
              </w:rPr>
              <w:t>主要资历、经验及承担过的项目</w:t>
            </w:r>
          </w:p>
        </w:tc>
        <w:tc>
          <w:tcPr>
            <w:tcW w:w="1151" w:type="pct"/>
            <w:tcBorders>
              <w:top w:val="single" w:color="auto" w:sz="12" w:space="0"/>
              <w:bottom w:val="double" w:color="auto" w:sz="6" w:space="0"/>
            </w:tcBorders>
            <w:vAlign w:val="center"/>
          </w:tcPr>
          <w:p w14:paraId="4020E055">
            <w:pPr>
              <w:keepNext/>
              <w:spacing w:line="360" w:lineRule="auto"/>
              <w:jc w:val="center"/>
              <w:rPr>
                <w:rFonts w:cs="宋体"/>
                <w:color w:val="auto"/>
                <w:szCs w:val="21"/>
              </w:rPr>
            </w:pPr>
            <w:r>
              <w:rPr>
                <w:rFonts w:hint="eastAsia" w:cs="宋体"/>
                <w:color w:val="auto"/>
                <w:szCs w:val="21"/>
              </w:rPr>
              <w:t>身份证号码</w:t>
            </w:r>
          </w:p>
        </w:tc>
      </w:tr>
      <w:tr w14:paraId="22201D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3849" w:type="pct"/>
            <w:gridSpan w:val="5"/>
            <w:tcBorders>
              <w:top w:val="double" w:color="auto" w:sz="6" w:space="0"/>
            </w:tcBorders>
            <w:vAlign w:val="center"/>
          </w:tcPr>
          <w:p w14:paraId="7056E53D">
            <w:pPr>
              <w:keepNext/>
              <w:spacing w:line="360" w:lineRule="auto"/>
              <w:jc w:val="center"/>
              <w:rPr>
                <w:rFonts w:cs="宋体"/>
                <w:color w:val="auto"/>
                <w:szCs w:val="21"/>
              </w:rPr>
            </w:pPr>
            <w:r>
              <w:rPr>
                <w:rFonts w:hint="eastAsia" w:cs="宋体"/>
                <w:color w:val="auto"/>
                <w:szCs w:val="21"/>
              </w:rPr>
              <w:t>一、总部人员</w:t>
            </w:r>
          </w:p>
        </w:tc>
        <w:tc>
          <w:tcPr>
            <w:tcW w:w="1151" w:type="pct"/>
            <w:tcBorders>
              <w:top w:val="double" w:color="auto" w:sz="6" w:space="0"/>
            </w:tcBorders>
            <w:vAlign w:val="center"/>
          </w:tcPr>
          <w:p w14:paraId="58767D50">
            <w:pPr>
              <w:keepNext/>
              <w:spacing w:line="360" w:lineRule="auto"/>
              <w:jc w:val="center"/>
              <w:rPr>
                <w:rFonts w:cs="宋体"/>
                <w:color w:val="auto"/>
                <w:szCs w:val="21"/>
              </w:rPr>
            </w:pPr>
          </w:p>
        </w:tc>
      </w:tr>
      <w:tr w14:paraId="24F1C1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tcBorders>
              <w:top w:val="nil"/>
              <w:bottom w:val="nil"/>
            </w:tcBorders>
            <w:vAlign w:val="center"/>
          </w:tcPr>
          <w:p w14:paraId="3BFDA04D">
            <w:pPr>
              <w:spacing w:line="360" w:lineRule="auto"/>
              <w:jc w:val="center"/>
              <w:rPr>
                <w:rFonts w:cs="宋体"/>
                <w:color w:val="auto"/>
                <w:szCs w:val="21"/>
              </w:rPr>
            </w:pPr>
            <w:r>
              <w:rPr>
                <w:rFonts w:hint="eastAsia" w:cs="宋体"/>
                <w:color w:val="auto"/>
                <w:szCs w:val="21"/>
              </w:rPr>
              <w:t>项目主管</w:t>
            </w:r>
          </w:p>
        </w:tc>
        <w:tc>
          <w:tcPr>
            <w:tcW w:w="627" w:type="pct"/>
            <w:tcBorders>
              <w:top w:val="nil"/>
            </w:tcBorders>
            <w:vAlign w:val="center"/>
          </w:tcPr>
          <w:p w14:paraId="09FB65A6">
            <w:pPr>
              <w:keepNext/>
              <w:spacing w:line="360" w:lineRule="auto"/>
              <w:jc w:val="center"/>
              <w:rPr>
                <w:rFonts w:cs="宋体"/>
                <w:color w:val="auto"/>
                <w:szCs w:val="21"/>
              </w:rPr>
            </w:pPr>
          </w:p>
        </w:tc>
        <w:tc>
          <w:tcPr>
            <w:tcW w:w="502" w:type="pct"/>
            <w:tcBorders>
              <w:top w:val="nil"/>
            </w:tcBorders>
            <w:vAlign w:val="center"/>
          </w:tcPr>
          <w:p w14:paraId="27EFC743">
            <w:pPr>
              <w:keepNext/>
              <w:spacing w:line="360" w:lineRule="auto"/>
              <w:jc w:val="center"/>
              <w:rPr>
                <w:rFonts w:cs="宋体"/>
                <w:color w:val="auto"/>
                <w:szCs w:val="21"/>
              </w:rPr>
            </w:pPr>
          </w:p>
        </w:tc>
        <w:tc>
          <w:tcPr>
            <w:tcW w:w="502" w:type="pct"/>
            <w:tcBorders>
              <w:top w:val="nil"/>
            </w:tcBorders>
            <w:vAlign w:val="center"/>
          </w:tcPr>
          <w:p w14:paraId="5932A6A5">
            <w:pPr>
              <w:keepNext/>
              <w:spacing w:line="360" w:lineRule="auto"/>
              <w:jc w:val="center"/>
              <w:rPr>
                <w:rFonts w:cs="宋体"/>
                <w:color w:val="auto"/>
                <w:szCs w:val="21"/>
              </w:rPr>
            </w:pPr>
          </w:p>
        </w:tc>
        <w:tc>
          <w:tcPr>
            <w:tcW w:w="1281" w:type="pct"/>
            <w:tcBorders>
              <w:top w:val="nil"/>
            </w:tcBorders>
            <w:vAlign w:val="center"/>
          </w:tcPr>
          <w:p w14:paraId="4BE5C09F">
            <w:pPr>
              <w:keepNext/>
              <w:spacing w:line="360" w:lineRule="auto"/>
              <w:jc w:val="center"/>
              <w:rPr>
                <w:rFonts w:cs="宋体"/>
                <w:color w:val="auto"/>
                <w:szCs w:val="21"/>
              </w:rPr>
            </w:pPr>
          </w:p>
        </w:tc>
        <w:tc>
          <w:tcPr>
            <w:tcW w:w="1151" w:type="pct"/>
            <w:tcBorders>
              <w:top w:val="nil"/>
            </w:tcBorders>
            <w:vAlign w:val="center"/>
          </w:tcPr>
          <w:p w14:paraId="281BF576">
            <w:pPr>
              <w:keepNext/>
              <w:spacing w:line="360" w:lineRule="auto"/>
              <w:jc w:val="center"/>
              <w:rPr>
                <w:rFonts w:cs="宋体"/>
                <w:color w:val="auto"/>
                <w:szCs w:val="21"/>
              </w:rPr>
            </w:pPr>
          </w:p>
        </w:tc>
      </w:tr>
      <w:tr w14:paraId="564B9C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restart"/>
            <w:vAlign w:val="center"/>
          </w:tcPr>
          <w:p w14:paraId="2F969445">
            <w:pPr>
              <w:spacing w:line="360" w:lineRule="auto"/>
              <w:jc w:val="center"/>
              <w:rPr>
                <w:rFonts w:cs="宋体"/>
                <w:color w:val="auto"/>
                <w:szCs w:val="21"/>
              </w:rPr>
            </w:pPr>
            <w:r>
              <w:rPr>
                <w:rFonts w:hint="eastAsia" w:cs="宋体"/>
                <w:color w:val="auto"/>
                <w:szCs w:val="21"/>
              </w:rPr>
              <w:t>其他人员</w:t>
            </w:r>
          </w:p>
        </w:tc>
        <w:tc>
          <w:tcPr>
            <w:tcW w:w="627" w:type="pct"/>
            <w:vAlign w:val="center"/>
          </w:tcPr>
          <w:p w14:paraId="67883390">
            <w:pPr>
              <w:keepNext/>
              <w:spacing w:line="360" w:lineRule="auto"/>
              <w:jc w:val="center"/>
              <w:rPr>
                <w:rFonts w:cs="宋体"/>
                <w:color w:val="auto"/>
                <w:szCs w:val="21"/>
              </w:rPr>
            </w:pPr>
          </w:p>
        </w:tc>
        <w:tc>
          <w:tcPr>
            <w:tcW w:w="502" w:type="pct"/>
            <w:vAlign w:val="center"/>
          </w:tcPr>
          <w:p w14:paraId="3D8A9949">
            <w:pPr>
              <w:keepNext/>
              <w:spacing w:line="360" w:lineRule="auto"/>
              <w:jc w:val="center"/>
              <w:rPr>
                <w:rFonts w:cs="宋体"/>
                <w:color w:val="auto"/>
                <w:szCs w:val="21"/>
              </w:rPr>
            </w:pPr>
          </w:p>
        </w:tc>
        <w:tc>
          <w:tcPr>
            <w:tcW w:w="502" w:type="pct"/>
            <w:vAlign w:val="center"/>
          </w:tcPr>
          <w:p w14:paraId="64F1CDBA">
            <w:pPr>
              <w:keepNext/>
              <w:spacing w:line="360" w:lineRule="auto"/>
              <w:jc w:val="center"/>
              <w:rPr>
                <w:rFonts w:cs="宋体"/>
                <w:color w:val="auto"/>
                <w:szCs w:val="21"/>
              </w:rPr>
            </w:pPr>
          </w:p>
        </w:tc>
        <w:tc>
          <w:tcPr>
            <w:tcW w:w="1281" w:type="pct"/>
            <w:vAlign w:val="center"/>
          </w:tcPr>
          <w:p w14:paraId="50139840">
            <w:pPr>
              <w:keepNext/>
              <w:spacing w:line="360" w:lineRule="auto"/>
              <w:jc w:val="center"/>
              <w:rPr>
                <w:rFonts w:cs="宋体"/>
                <w:color w:val="auto"/>
                <w:szCs w:val="21"/>
              </w:rPr>
            </w:pPr>
          </w:p>
        </w:tc>
        <w:tc>
          <w:tcPr>
            <w:tcW w:w="1151" w:type="pct"/>
            <w:vAlign w:val="center"/>
          </w:tcPr>
          <w:p w14:paraId="22DA11EE">
            <w:pPr>
              <w:keepNext/>
              <w:spacing w:line="360" w:lineRule="auto"/>
              <w:jc w:val="center"/>
              <w:rPr>
                <w:rFonts w:cs="宋体"/>
                <w:color w:val="auto"/>
                <w:szCs w:val="21"/>
              </w:rPr>
            </w:pPr>
          </w:p>
        </w:tc>
      </w:tr>
      <w:tr w14:paraId="5531D3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14:paraId="2662953F">
            <w:pPr>
              <w:spacing w:line="360" w:lineRule="auto"/>
              <w:jc w:val="center"/>
              <w:rPr>
                <w:rFonts w:cs="宋体"/>
                <w:color w:val="auto"/>
                <w:szCs w:val="21"/>
              </w:rPr>
            </w:pPr>
          </w:p>
        </w:tc>
        <w:tc>
          <w:tcPr>
            <w:tcW w:w="627" w:type="pct"/>
            <w:vAlign w:val="center"/>
          </w:tcPr>
          <w:p w14:paraId="4210B880">
            <w:pPr>
              <w:keepNext/>
              <w:spacing w:line="360" w:lineRule="auto"/>
              <w:jc w:val="center"/>
              <w:rPr>
                <w:rFonts w:cs="宋体"/>
                <w:color w:val="auto"/>
                <w:szCs w:val="21"/>
              </w:rPr>
            </w:pPr>
          </w:p>
        </w:tc>
        <w:tc>
          <w:tcPr>
            <w:tcW w:w="502" w:type="pct"/>
            <w:vAlign w:val="center"/>
          </w:tcPr>
          <w:p w14:paraId="561A93EF">
            <w:pPr>
              <w:keepNext/>
              <w:spacing w:line="360" w:lineRule="auto"/>
              <w:jc w:val="center"/>
              <w:rPr>
                <w:rFonts w:cs="宋体"/>
                <w:color w:val="auto"/>
                <w:szCs w:val="21"/>
              </w:rPr>
            </w:pPr>
          </w:p>
        </w:tc>
        <w:tc>
          <w:tcPr>
            <w:tcW w:w="502" w:type="pct"/>
            <w:vAlign w:val="center"/>
          </w:tcPr>
          <w:p w14:paraId="31A67D6C">
            <w:pPr>
              <w:keepNext/>
              <w:spacing w:line="360" w:lineRule="auto"/>
              <w:jc w:val="center"/>
              <w:rPr>
                <w:rFonts w:cs="宋体"/>
                <w:color w:val="auto"/>
                <w:szCs w:val="21"/>
              </w:rPr>
            </w:pPr>
          </w:p>
        </w:tc>
        <w:tc>
          <w:tcPr>
            <w:tcW w:w="1281" w:type="pct"/>
            <w:vAlign w:val="center"/>
          </w:tcPr>
          <w:p w14:paraId="152D052E">
            <w:pPr>
              <w:keepNext/>
              <w:spacing w:line="360" w:lineRule="auto"/>
              <w:jc w:val="center"/>
              <w:rPr>
                <w:rFonts w:cs="宋体"/>
                <w:color w:val="auto"/>
                <w:szCs w:val="21"/>
              </w:rPr>
            </w:pPr>
          </w:p>
        </w:tc>
        <w:tc>
          <w:tcPr>
            <w:tcW w:w="1151" w:type="pct"/>
            <w:vAlign w:val="center"/>
          </w:tcPr>
          <w:p w14:paraId="7611BD24">
            <w:pPr>
              <w:keepNext/>
              <w:spacing w:line="360" w:lineRule="auto"/>
              <w:jc w:val="center"/>
              <w:rPr>
                <w:rFonts w:cs="宋体"/>
                <w:color w:val="auto"/>
                <w:szCs w:val="21"/>
              </w:rPr>
            </w:pPr>
          </w:p>
        </w:tc>
      </w:tr>
      <w:tr w14:paraId="3A9313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tcBorders>
              <w:bottom w:val="nil"/>
            </w:tcBorders>
            <w:vAlign w:val="center"/>
          </w:tcPr>
          <w:p w14:paraId="57F5193C">
            <w:pPr>
              <w:spacing w:line="360" w:lineRule="auto"/>
              <w:jc w:val="center"/>
              <w:rPr>
                <w:rFonts w:cs="宋体"/>
                <w:color w:val="auto"/>
                <w:szCs w:val="21"/>
              </w:rPr>
            </w:pPr>
          </w:p>
        </w:tc>
        <w:tc>
          <w:tcPr>
            <w:tcW w:w="627" w:type="pct"/>
            <w:vAlign w:val="center"/>
          </w:tcPr>
          <w:p w14:paraId="72B8120A">
            <w:pPr>
              <w:keepNext/>
              <w:spacing w:line="360" w:lineRule="auto"/>
              <w:jc w:val="center"/>
              <w:rPr>
                <w:rFonts w:cs="宋体"/>
                <w:color w:val="auto"/>
                <w:szCs w:val="21"/>
              </w:rPr>
            </w:pPr>
          </w:p>
        </w:tc>
        <w:tc>
          <w:tcPr>
            <w:tcW w:w="502" w:type="pct"/>
            <w:vAlign w:val="center"/>
          </w:tcPr>
          <w:p w14:paraId="56E1323E">
            <w:pPr>
              <w:keepNext/>
              <w:spacing w:line="360" w:lineRule="auto"/>
              <w:jc w:val="center"/>
              <w:rPr>
                <w:rFonts w:cs="宋体"/>
                <w:color w:val="auto"/>
                <w:szCs w:val="21"/>
              </w:rPr>
            </w:pPr>
          </w:p>
        </w:tc>
        <w:tc>
          <w:tcPr>
            <w:tcW w:w="502" w:type="pct"/>
            <w:vAlign w:val="center"/>
          </w:tcPr>
          <w:p w14:paraId="2B33A955">
            <w:pPr>
              <w:keepNext/>
              <w:spacing w:line="360" w:lineRule="auto"/>
              <w:jc w:val="center"/>
              <w:rPr>
                <w:rFonts w:cs="宋体"/>
                <w:color w:val="auto"/>
                <w:szCs w:val="21"/>
              </w:rPr>
            </w:pPr>
          </w:p>
        </w:tc>
        <w:tc>
          <w:tcPr>
            <w:tcW w:w="1281" w:type="pct"/>
            <w:vAlign w:val="center"/>
          </w:tcPr>
          <w:p w14:paraId="5BF27EBC">
            <w:pPr>
              <w:keepNext/>
              <w:spacing w:line="360" w:lineRule="auto"/>
              <w:jc w:val="center"/>
              <w:rPr>
                <w:rFonts w:cs="宋体"/>
                <w:color w:val="auto"/>
                <w:szCs w:val="21"/>
              </w:rPr>
            </w:pPr>
          </w:p>
        </w:tc>
        <w:tc>
          <w:tcPr>
            <w:tcW w:w="1151" w:type="pct"/>
            <w:vAlign w:val="center"/>
          </w:tcPr>
          <w:p w14:paraId="4748AAF6">
            <w:pPr>
              <w:keepNext/>
              <w:spacing w:line="360" w:lineRule="auto"/>
              <w:jc w:val="center"/>
              <w:rPr>
                <w:rFonts w:cs="宋体"/>
                <w:color w:val="auto"/>
                <w:szCs w:val="21"/>
              </w:rPr>
            </w:pPr>
          </w:p>
        </w:tc>
      </w:tr>
      <w:tr w14:paraId="3E13B4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3849" w:type="pct"/>
            <w:gridSpan w:val="5"/>
            <w:vAlign w:val="center"/>
          </w:tcPr>
          <w:p w14:paraId="4F7F9A31">
            <w:pPr>
              <w:keepNext/>
              <w:spacing w:line="360" w:lineRule="auto"/>
              <w:jc w:val="center"/>
              <w:rPr>
                <w:rFonts w:cs="宋体"/>
                <w:color w:val="auto"/>
                <w:szCs w:val="21"/>
              </w:rPr>
            </w:pPr>
            <w:r>
              <w:rPr>
                <w:rFonts w:hint="eastAsia" w:cs="宋体"/>
                <w:color w:val="auto"/>
                <w:szCs w:val="21"/>
              </w:rPr>
              <w:t>二、现场人员</w:t>
            </w:r>
          </w:p>
        </w:tc>
        <w:tc>
          <w:tcPr>
            <w:tcW w:w="1151" w:type="pct"/>
            <w:vAlign w:val="center"/>
          </w:tcPr>
          <w:p w14:paraId="1144BE46">
            <w:pPr>
              <w:keepNext/>
              <w:spacing w:line="360" w:lineRule="auto"/>
              <w:jc w:val="center"/>
              <w:rPr>
                <w:rFonts w:cs="宋体"/>
                <w:color w:val="auto"/>
                <w:szCs w:val="21"/>
              </w:rPr>
            </w:pPr>
          </w:p>
        </w:tc>
      </w:tr>
      <w:tr w14:paraId="29E3A0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5ABDC2A7">
            <w:pPr>
              <w:spacing w:line="360" w:lineRule="auto"/>
              <w:jc w:val="center"/>
              <w:rPr>
                <w:rFonts w:cs="宋体"/>
                <w:color w:val="auto"/>
                <w:szCs w:val="21"/>
              </w:rPr>
            </w:pPr>
            <w:r>
              <w:rPr>
                <w:rFonts w:hint="eastAsia" w:cs="宋体"/>
                <w:color w:val="auto"/>
                <w:szCs w:val="21"/>
              </w:rPr>
              <w:t>项目经理</w:t>
            </w:r>
          </w:p>
        </w:tc>
        <w:tc>
          <w:tcPr>
            <w:tcW w:w="627" w:type="pct"/>
            <w:vAlign w:val="center"/>
          </w:tcPr>
          <w:p w14:paraId="17E78B5A">
            <w:pPr>
              <w:keepNext/>
              <w:spacing w:line="360" w:lineRule="auto"/>
              <w:jc w:val="center"/>
              <w:rPr>
                <w:rFonts w:cs="宋体"/>
                <w:color w:val="auto"/>
                <w:szCs w:val="21"/>
              </w:rPr>
            </w:pPr>
          </w:p>
        </w:tc>
        <w:tc>
          <w:tcPr>
            <w:tcW w:w="502" w:type="pct"/>
            <w:vAlign w:val="center"/>
          </w:tcPr>
          <w:p w14:paraId="20BF509A">
            <w:pPr>
              <w:keepNext/>
              <w:spacing w:line="360" w:lineRule="auto"/>
              <w:jc w:val="center"/>
              <w:rPr>
                <w:rFonts w:cs="宋体"/>
                <w:color w:val="auto"/>
                <w:szCs w:val="21"/>
              </w:rPr>
            </w:pPr>
          </w:p>
        </w:tc>
        <w:tc>
          <w:tcPr>
            <w:tcW w:w="502" w:type="pct"/>
            <w:vAlign w:val="center"/>
          </w:tcPr>
          <w:p w14:paraId="453E5A00">
            <w:pPr>
              <w:keepNext/>
              <w:spacing w:line="360" w:lineRule="auto"/>
              <w:jc w:val="center"/>
              <w:rPr>
                <w:rFonts w:cs="宋体"/>
                <w:color w:val="auto"/>
                <w:szCs w:val="21"/>
              </w:rPr>
            </w:pPr>
          </w:p>
        </w:tc>
        <w:tc>
          <w:tcPr>
            <w:tcW w:w="1281" w:type="pct"/>
            <w:vAlign w:val="center"/>
          </w:tcPr>
          <w:p w14:paraId="5C787B98">
            <w:pPr>
              <w:keepNext/>
              <w:spacing w:line="360" w:lineRule="auto"/>
              <w:jc w:val="center"/>
              <w:rPr>
                <w:rFonts w:cs="宋体"/>
                <w:color w:val="auto"/>
                <w:szCs w:val="21"/>
              </w:rPr>
            </w:pPr>
          </w:p>
        </w:tc>
        <w:tc>
          <w:tcPr>
            <w:tcW w:w="1151" w:type="pct"/>
            <w:vAlign w:val="center"/>
          </w:tcPr>
          <w:p w14:paraId="3C3C6815">
            <w:pPr>
              <w:keepNext/>
              <w:spacing w:line="360" w:lineRule="auto"/>
              <w:jc w:val="center"/>
              <w:rPr>
                <w:rFonts w:cs="宋体"/>
                <w:color w:val="auto"/>
                <w:szCs w:val="21"/>
              </w:rPr>
            </w:pPr>
          </w:p>
        </w:tc>
      </w:tr>
      <w:tr w14:paraId="53A02B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56D4BAD4">
            <w:pPr>
              <w:spacing w:line="360" w:lineRule="auto"/>
              <w:jc w:val="center"/>
              <w:rPr>
                <w:rFonts w:cs="宋体"/>
                <w:color w:val="auto"/>
                <w:szCs w:val="21"/>
              </w:rPr>
            </w:pPr>
            <w:r>
              <w:rPr>
                <w:rFonts w:hint="eastAsia" w:cs="宋体"/>
                <w:color w:val="auto"/>
                <w:szCs w:val="21"/>
              </w:rPr>
              <w:t>项目副经理</w:t>
            </w:r>
          </w:p>
        </w:tc>
        <w:tc>
          <w:tcPr>
            <w:tcW w:w="627" w:type="pct"/>
            <w:vAlign w:val="center"/>
          </w:tcPr>
          <w:p w14:paraId="35100E76">
            <w:pPr>
              <w:keepNext/>
              <w:spacing w:line="360" w:lineRule="auto"/>
              <w:jc w:val="center"/>
              <w:rPr>
                <w:rFonts w:cs="宋体"/>
                <w:color w:val="auto"/>
                <w:szCs w:val="21"/>
              </w:rPr>
            </w:pPr>
          </w:p>
        </w:tc>
        <w:tc>
          <w:tcPr>
            <w:tcW w:w="502" w:type="pct"/>
            <w:vAlign w:val="center"/>
          </w:tcPr>
          <w:p w14:paraId="3DC5C546">
            <w:pPr>
              <w:keepNext/>
              <w:spacing w:line="360" w:lineRule="auto"/>
              <w:jc w:val="center"/>
              <w:rPr>
                <w:rFonts w:cs="宋体"/>
                <w:color w:val="auto"/>
                <w:szCs w:val="21"/>
              </w:rPr>
            </w:pPr>
          </w:p>
        </w:tc>
        <w:tc>
          <w:tcPr>
            <w:tcW w:w="502" w:type="pct"/>
            <w:vAlign w:val="center"/>
          </w:tcPr>
          <w:p w14:paraId="72C9427A">
            <w:pPr>
              <w:keepNext/>
              <w:spacing w:line="360" w:lineRule="auto"/>
              <w:jc w:val="center"/>
              <w:rPr>
                <w:rFonts w:cs="宋体"/>
                <w:color w:val="auto"/>
                <w:szCs w:val="21"/>
              </w:rPr>
            </w:pPr>
          </w:p>
        </w:tc>
        <w:tc>
          <w:tcPr>
            <w:tcW w:w="1281" w:type="pct"/>
            <w:vAlign w:val="center"/>
          </w:tcPr>
          <w:p w14:paraId="60692855">
            <w:pPr>
              <w:keepNext/>
              <w:spacing w:line="360" w:lineRule="auto"/>
              <w:jc w:val="center"/>
              <w:rPr>
                <w:rFonts w:cs="宋体"/>
                <w:color w:val="auto"/>
                <w:szCs w:val="21"/>
              </w:rPr>
            </w:pPr>
          </w:p>
        </w:tc>
        <w:tc>
          <w:tcPr>
            <w:tcW w:w="1151" w:type="pct"/>
            <w:vAlign w:val="center"/>
          </w:tcPr>
          <w:p w14:paraId="2E49FD29">
            <w:pPr>
              <w:keepNext/>
              <w:spacing w:line="360" w:lineRule="auto"/>
              <w:jc w:val="center"/>
              <w:rPr>
                <w:rFonts w:cs="宋体"/>
                <w:color w:val="auto"/>
                <w:szCs w:val="21"/>
              </w:rPr>
            </w:pPr>
          </w:p>
        </w:tc>
      </w:tr>
      <w:tr w14:paraId="4156E9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18A16D3B">
            <w:pPr>
              <w:spacing w:line="360" w:lineRule="auto"/>
              <w:jc w:val="center"/>
              <w:rPr>
                <w:rFonts w:cs="宋体"/>
                <w:color w:val="auto"/>
                <w:szCs w:val="21"/>
              </w:rPr>
            </w:pPr>
            <w:r>
              <w:rPr>
                <w:rFonts w:hint="eastAsia" w:cs="宋体"/>
                <w:color w:val="auto"/>
                <w:szCs w:val="21"/>
              </w:rPr>
              <w:t>项目技术负责人</w:t>
            </w:r>
          </w:p>
        </w:tc>
        <w:tc>
          <w:tcPr>
            <w:tcW w:w="627" w:type="pct"/>
            <w:vAlign w:val="center"/>
          </w:tcPr>
          <w:p w14:paraId="17ECF605">
            <w:pPr>
              <w:keepNext/>
              <w:spacing w:line="360" w:lineRule="auto"/>
              <w:jc w:val="center"/>
              <w:rPr>
                <w:rFonts w:cs="宋体"/>
                <w:color w:val="auto"/>
                <w:szCs w:val="21"/>
              </w:rPr>
            </w:pPr>
          </w:p>
        </w:tc>
        <w:tc>
          <w:tcPr>
            <w:tcW w:w="502" w:type="pct"/>
            <w:vAlign w:val="center"/>
          </w:tcPr>
          <w:p w14:paraId="2CB2F438">
            <w:pPr>
              <w:keepNext/>
              <w:spacing w:line="360" w:lineRule="auto"/>
              <w:jc w:val="center"/>
              <w:rPr>
                <w:rFonts w:cs="宋体"/>
                <w:color w:val="auto"/>
                <w:szCs w:val="21"/>
              </w:rPr>
            </w:pPr>
          </w:p>
        </w:tc>
        <w:tc>
          <w:tcPr>
            <w:tcW w:w="502" w:type="pct"/>
            <w:vAlign w:val="center"/>
          </w:tcPr>
          <w:p w14:paraId="380C4A39">
            <w:pPr>
              <w:keepNext/>
              <w:spacing w:line="360" w:lineRule="auto"/>
              <w:jc w:val="center"/>
              <w:rPr>
                <w:rFonts w:cs="宋体"/>
                <w:color w:val="auto"/>
                <w:szCs w:val="21"/>
              </w:rPr>
            </w:pPr>
          </w:p>
        </w:tc>
        <w:tc>
          <w:tcPr>
            <w:tcW w:w="1281" w:type="pct"/>
            <w:vAlign w:val="center"/>
          </w:tcPr>
          <w:p w14:paraId="7F439385">
            <w:pPr>
              <w:keepNext/>
              <w:spacing w:line="360" w:lineRule="auto"/>
              <w:jc w:val="center"/>
              <w:rPr>
                <w:rFonts w:cs="宋体"/>
                <w:color w:val="auto"/>
                <w:szCs w:val="21"/>
              </w:rPr>
            </w:pPr>
          </w:p>
        </w:tc>
        <w:tc>
          <w:tcPr>
            <w:tcW w:w="1151" w:type="pct"/>
            <w:vAlign w:val="center"/>
          </w:tcPr>
          <w:p w14:paraId="065792CA">
            <w:pPr>
              <w:keepNext/>
              <w:spacing w:line="360" w:lineRule="auto"/>
              <w:jc w:val="center"/>
              <w:rPr>
                <w:rFonts w:cs="宋体"/>
                <w:color w:val="auto"/>
                <w:szCs w:val="21"/>
              </w:rPr>
            </w:pPr>
          </w:p>
        </w:tc>
      </w:tr>
      <w:tr w14:paraId="075C68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70F090D6">
            <w:pPr>
              <w:spacing w:line="360" w:lineRule="auto"/>
              <w:jc w:val="center"/>
              <w:rPr>
                <w:rFonts w:cs="宋体"/>
                <w:color w:val="auto"/>
                <w:szCs w:val="21"/>
              </w:rPr>
            </w:pPr>
            <w:r>
              <w:rPr>
                <w:rFonts w:hint="eastAsia" w:cs="宋体"/>
                <w:color w:val="auto"/>
                <w:szCs w:val="21"/>
              </w:rPr>
              <w:t>施工员</w:t>
            </w:r>
          </w:p>
        </w:tc>
        <w:tc>
          <w:tcPr>
            <w:tcW w:w="627" w:type="pct"/>
            <w:vAlign w:val="center"/>
          </w:tcPr>
          <w:p w14:paraId="238CB94C">
            <w:pPr>
              <w:keepNext/>
              <w:spacing w:line="360" w:lineRule="auto"/>
              <w:jc w:val="center"/>
              <w:rPr>
                <w:rFonts w:cs="宋体"/>
                <w:color w:val="auto"/>
                <w:szCs w:val="21"/>
              </w:rPr>
            </w:pPr>
          </w:p>
        </w:tc>
        <w:tc>
          <w:tcPr>
            <w:tcW w:w="502" w:type="pct"/>
            <w:vAlign w:val="center"/>
          </w:tcPr>
          <w:p w14:paraId="767B3090">
            <w:pPr>
              <w:keepNext/>
              <w:spacing w:line="360" w:lineRule="auto"/>
              <w:jc w:val="center"/>
              <w:rPr>
                <w:rFonts w:cs="宋体"/>
                <w:color w:val="auto"/>
                <w:szCs w:val="21"/>
              </w:rPr>
            </w:pPr>
          </w:p>
        </w:tc>
        <w:tc>
          <w:tcPr>
            <w:tcW w:w="502" w:type="pct"/>
            <w:vAlign w:val="center"/>
          </w:tcPr>
          <w:p w14:paraId="51754569">
            <w:pPr>
              <w:keepNext/>
              <w:spacing w:line="360" w:lineRule="auto"/>
              <w:jc w:val="center"/>
              <w:rPr>
                <w:rFonts w:cs="宋体"/>
                <w:color w:val="auto"/>
                <w:szCs w:val="21"/>
              </w:rPr>
            </w:pPr>
          </w:p>
        </w:tc>
        <w:tc>
          <w:tcPr>
            <w:tcW w:w="1281" w:type="pct"/>
            <w:vAlign w:val="center"/>
          </w:tcPr>
          <w:p w14:paraId="25771E4E">
            <w:pPr>
              <w:keepNext/>
              <w:spacing w:line="360" w:lineRule="auto"/>
              <w:jc w:val="center"/>
              <w:rPr>
                <w:rFonts w:cs="宋体"/>
                <w:color w:val="auto"/>
                <w:szCs w:val="21"/>
              </w:rPr>
            </w:pPr>
          </w:p>
        </w:tc>
        <w:tc>
          <w:tcPr>
            <w:tcW w:w="1151" w:type="pct"/>
            <w:vAlign w:val="center"/>
          </w:tcPr>
          <w:p w14:paraId="3BA055D6">
            <w:pPr>
              <w:keepNext/>
              <w:spacing w:line="360" w:lineRule="auto"/>
              <w:jc w:val="center"/>
              <w:rPr>
                <w:rFonts w:cs="宋体"/>
                <w:color w:val="auto"/>
                <w:szCs w:val="21"/>
              </w:rPr>
            </w:pPr>
          </w:p>
        </w:tc>
      </w:tr>
      <w:tr w14:paraId="171810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14865722">
            <w:pPr>
              <w:spacing w:line="360" w:lineRule="auto"/>
              <w:jc w:val="center"/>
              <w:rPr>
                <w:rFonts w:cs="宋体"/>
                <w:color w:val="auto"/>
                <w:szCs w:val="21"/>
              </w:rPr>
            </w:pPr>
            <w:r>
              <w:rPr>
                <w:rFonts w:hint="eastAsia" w:cs="宋体"/>
                <w:color w:val="auto"/>
                <w:szCs w:val="21"/>
              </w:rPr>
              <w:t>质检员（质量员）</w:t>
            </w:r>
          </w:p>
        </w:tc>
        <w:tc>
          <w:tcPr>
            <w:tcW w:w="627" w:type="pct"/>
            <w:vAlign w:val="center"/>
          </w:tcPr>
          <w:p w14:paraId="149F7FFD">
            <w:pPr>
              <w:keepNext/>
              <w:spacing w:line="360" w:lineRule="auto"/>
              <w:jc w:val="center"/>
              <w:rPr>
                <w:rFonts w:cs="宋体"/>
                <w:color w:val="auto"/>
                <w:szCs w:val="21"/>
              </w:rPr>
            </w:pPr>
          </w:p>
        </w:tc>
        <w:tc>
          <w:tcPr>
            <w:tcW w:w="502" w:type="pct"/>
            <w:vAlign w:val="center"/>
          </w:tcPr>
          <w:p w14:paraId="3418F30B">
            <w:pPr>
              <w:keepNext/>
              <w:spacing w:line="360" w:lineRule="auto"/>
              <w:jc w:val="center"/>
              <w:rPr>
                <w:rFonts w:cs="宋体"/>
                <w:color w:val="auto"/>
                <w:szCs w:val="21"/>
              </w:rPr>
            </w:pPr>
          </w:p>
        </w:tc>
        <w:tc>
          <w:tcPr>
            <w:tcW w:w="502" w:type="pct"/>
            <w:vAlign w:val="center"/>
          </w:tcPr>
          <w:p w14:paraId="7C800A45">
            <w:pPr>
              <w:keepNext/>
              <w:spacing w:line="360" w:lineRule="auto"/>
              <w:jc w:val="center"/>
              <w:rPr>
                <w:rFonts w:cs="宋体"/>
                <w:color w:val="auto"/>
                <w:szCs w:val="21"/>
              </w:rPr>
            </w:pPr>
          </w:p>
        </w:tc>
        <w:tc>
          <w:tcPr>
            <w:tcW w:w="1281" w:type="pct"/>
            <w:vAlign w:val="center"/>
          </w:tcPr>
          <w:p w14:paraId="69DC58AC">
            <w:pPr>
              <w:keepNext/>
              <w:spacing w:line="360" w:lineRule="auto"/>
              <w:jc w:val="center"/>
              <w:rPr>
                <w:rFonts w:cs="宋体"/>
                <w:color w:val="auto"/>
                <w:szCs w:val="21"/>
              </w:rPr>
            </w:pPr>
          </w:p>
        </w:tc>
        <w:tc>
          <w:tcPr>
            <w:tcW w:w="1151" w:type="pct"/>
            <w:vAlign w:val="center"/>
          </w:tcPr>
          <w:p w14:paraId="40D113D1">
            <w:pPr>
              <w:keepNext/>
              <w:spacing w:line="360" w:lineRule="auto"/>
              <w:jc w:val="center"/>
              <w:rPr>
                <w:rFonts w:cs="宋体"/>
                <w:color w:val="auto"/>
                <w:szCs w:val="21"/>
              </w:rPr>
            </w:pPr>
          </w:p>
        </w:tc>
      </w:tr>
      <w:tr w14:paraId="0E5056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002608A9">
            <w:pPr>
              <w:spacing w:line="360" w:lineRule="auto"/>
              <w:jc w:val="center"/>
              <w:rPr>
                <w:rFonts w:cs="宋体"/>
                <w:color w:val="auto"/>
                <w:szCs w:val="21"/>
              </w:rPr>
            </w:pPr>
            <w:r>
              <w:rPr>
                <w:rFonts w:hint="eastAsia" w:cs="宋体"/>
                <w:color w:val="auto"/>
                <w:szCs w:val="21"/>
              </w:rPr>
              <w:t>安全员</w:t>
            </w:r>
          </w:p>
        </w:tc>
        <w:tc>
          <w:tcPr>
            <w:tcW w:w="627" w:type="pct"/>
            <w:vAlign w:val="center"/>
          </w:tcPr>
          <w:p w14:paraId="6B8DA5AE">
            <w:pPr>
              <w:keepNext/>
              <w:spacing w:line="360" w:lineRule="auto"/>
              <w:jc w:val="center"/>
              <w:rPr>
                <w:rFonts w:cs="宋体"/>
                <w:color w:val="auto"/>
                <w:szCs w:val="21"/>
              </w:rPr>
            </w:pPr>
          </w:p>
        </w:tc>
        <w:tc>
          <w:tcPr>
            <w:tcW w:w="502" w:type="pct"/>
            <w:vAlign w:val="center"/>
          </w:tcPr>
          <w:p w14:paraId="65C0EA38">
            <w:pPr>
              <w:keepNext/>
              <w:spacing w:line="360" w:lineRule="auto"/>
              <w:jc w:val="center"/>
              <w:rPr>
                <w:rFonts w:cs="宋体"/>
                <w:color w:val="auto"/>
                <w:szCs w:val="21"/>
              </w:rPr>
            </w:pPr>
          </w:p>
        </w:tc>
        <w:tc>
          <w:tcPr>
            <w:tcW w:w="502" w:type="pct"/>
            <w:vAlign w:val="center"/>
          </w:tcPr>
          <w:p w14:paraId="16CB371F">
            <w:pPr>
              <w:keepNext/>
              <w:spacing w:line="360" w:lineRule="auto"/>
              <w:jc w:val="center"/>
              <w:rPr>
                <w:rFonts w:cs="宋体"/>
                <w:color w:val="auto"/>
                <w:szCs w:val="21"/>
              </w:rPr>
            </w:pPr>
          </w:p>
        </w:tc>
        <w:tc>
          <w:tcPr>
            <w:tcW w:w="1281" w:type="pct"/>
            <w:vAlign w:val="center"/>
          </w:tcPr>
          <w:p w14:paraId="6830490F">
            <w:pPr>
              <w:keepNext/>
              <w:spacing w:line="360" w:lineRule="auto"/>
              <w:jc w:val="center"/>
              <w:rPr>
                <w:rFonts w:cs="宋体"/>
                <w:color w:val="auto"/>
                <w:szCs w:val="21"/>
              </w:rPr>
            </w:pPr>
          </w:p>
        </w:tc>
        <w:tc>
          <w:tcPr>
            <w:tcW w:w="1151" w:type="pct"/>
            <w:vAlign w:val="center"/>
          </w:tcPr>
          <w:p w14:paraId="56A13034">
            <w:pPr>
              <w:keepNext/>
              <w:spacing w:line="360" w:lineRule="auto"/>
              <w:jc w:val="center"/>
              <w:rPr>
                <w:rFonts w:cs="宋体"/>
                <w:color w:val="auto"/>
                <w:szCs w:val="21"/>
              </w:rPr>
            </w:pPr>
          </w:p>
        </w:tc>
      </w:tr>
      <w:tr w14:paraId="437160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5E2DA712">
            <w:pPr>
              <w:spacing w:line="360" w:lineRule="auto"/>
              <w:jc w:val="center"/>
              <w:rPr>
                <w:rFonts w:cs="宋体"/>
                <w:color w:val="auto"/>
                <w:szCs w:val="21"/>
              </w:rPr>
            </w:pPr>
            <w:r>
              <w:rPr>
                <w:rFonts w:hint="eastAsia" w:cs="宋体"/>
                <w:color w:val="auto"/>
                <w:szCs w:val="21"/>
              </w:rPr>
              <w:t>资料员</w:t>
            </w:r>
          </w:p>
        </w:tc>
        <w:tc>
          <w:tcPr>
            <w:tcW w:w="627" w:type="pct"/>
            <w:vAlign w:val="center"/>
          </w:tcPr>
          <w:p w14:paraId="0FD376EC">
            <w:pPr>
              <w:keepNext/>
              <w:spacing w:line="360" w:lineRule="auto"/>
              <w:jc w:val="center"/>
              <w:rPr>
                <w:rFonts w:cs="宋体"/>
                <w:color w:val="auto"/>
                <w:szCs w:val="21"/>
              </w:rPr>
            </w:pPr>
          </w:p>
        </w:tc>
        <w:tc>
          <w:tcPr>
            <w:tcW w:w="502" w:type="pct"/>
            <w:vAlign w:val="center"/>
          </w:tcPr>
          <w:p w14:paraId="267E1218">
            <w:pPr>
              <w:keepNext/>
              <w:spacing w:line="360" w:lineRule="auto"/>
              <w:jc w:val="center"/>
              <w:rPr>
                <w:rFonts w:cs="宋体"/>
                <w:color w:val="auto"/>
                <w:szCs w:val="21"/>
              </w:rPr>
            </w:pPr>
          </w:p>
        </w:tc>
        <w:tc>
          <w:tcPr>
            <w:tcW w:w="502" w:type="pct"/>
            <w:vAlign w:val="center"/>
          </w:tcPr>
          <w:p w14:paraId="428E078C">
            <w:pPr>
              <w:keepNext/>
              <w:spacing w:line="360" w:lineRule="auto"/>
              <w:jc w:val="center"/>
              <w:rPr>
                <w:rFonts w:cs="宋体"/>
                <w:color w:val="auto"/>
                <w:szCs w:val="21"/>
              </w:rPr>
            </w:pPr>
          </w:p>
        </w:tc>
        <w:tc>
          <w:tcPr>
            <w:tcW w:w="1281" w:type="pct"/>
            <w:vAlign w:val="center"/>
          </w:tcPr>
          <w:p w14:paraId="656BA431">
            <w:pPr>
              <w:keepNext/>
              <w:spacing w:line="360" w:lineRule="auto"/>
              <w:jc w:val="center"/>
              <w:rPr>
                <w:rFonts w:cs="宋体"/>
                <w:color w:val="auto"/>
                <w:szCs w:val="21"/>
              </w:rPr>
            </w:pPr>
          </w:p>
        </w:tc>
        <w:tc>
          <w:tcPr>
            <w:tcW w:w="1151" w:type="pct"/>
            <w:vAlign w:val="center"/>
          </w:tcPr>
          <w:p w14:paraId="5F5FCC1B">
            <w:pPr>
              <w:keepNext/>
              <w:spacing w:line="360" w:lineRule="auto"/>
              <w:jc w:val="center"/>
              <w:rPr>
                <w:rFonts w:cs="宋体"/>
                <w:color w:val="auto"/>
                <w:szCs w:val="21"/>
              </w:rPr>
            </w:pPr>
          </w:p>
        </w:tc>
      </w:tr>
      <w:tr w14:paraId="6BDDA7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restart"/>
            <w:vAlign w:val="center"/>
          </w:tcPr>
          <w:p w14:paraId="51712FDC">
            <w:pPr>
              <w:spacing w:line="360" w:lineRule="auto"/>
              <w:jc w:val="center"/>
              <w:rPr>
                <w:rFonts w:cs="宋体"/>
                <w:color w:val="auto"/>
                <w:szCs w:val="21"/>
              </w:rPr>
            </w:pPr>
            <w:r>
              <w:rPr>
                <w:rFonts w:hint="eastAsia" w:cs="宋体"/>
                <w:color w:val="auto"/>
                <w:szCs w:val="21"/>
              </w:rPr>
              <w:t>其他人员</w:t>
            </w:r>
          </w:p>
        </w:tc>
        <w:tc>
          <w:tcPr>
            <w:tcW w:w="627" w:type="pct"/>
            <w:vAlign w:val="center"/>
          </w:tcPr>
          <w:p w14:paraId="3A45120B">
            <w:pPr>
              <w:keepNext/>
              <w:spacing w:line="360" w:lineRule="auto"/>
              <w:jc w:val="center"/>
              <w:rPr>
                <w:rFonts w:cs="宋体"/>
                <w:color w:val="auto"/>
                <w:szCs w:val="21"/>
              </w:rPr>
            </w:pPr>
          </w:p>
        </w:tc>
        <w:tc>
          <w:tcPr>
            <w:tcW w:w="502" w:type="pct"/>
            <w:vAlign w:val="center"/>
          </w:tcPr>
          <w:p w14:paraId="4987C3FD">
            <w:pPr>
              <w:keepNext/>
              <w:spacing w:line="360" w:lineRule="auto"/>
              <w:jc w:val="center"/>
              <w:rPr>
                <w:rFonts w:cs="宋体"/>
                <w:color w:val="auto"/>
                <w:szCs w:val="21"/>
              </w:rPr>
            </w:pPr>
          </w:p>
        </w:tc>
        <w:tc>
          <w:tcPr>
            <w:tcW w:w="502" w:type="pct"/>
            <w:vAlign w:val="center"/>
          </w:tcPr>
          <w:p w14:paraId="14F5C69A">
            <w:pPr>
              <w:keepNext/>
              <w:spacing w:line="360" w:lineRule="auto"/>
              <w:jc w:val="center"/>
              <w:rPr>
                <w:rFonts w:cs="宋体"/>
                <w:color w:val="auto"/>
                <w:szCs w:val="21"/>
              </w:rPr>
            </w:pPr>
          </w:p>
        </w:tc>
        <w:tc>
          <w:tcPr>
            <w:tcW w:w="1281" w:type="pct"/>
            <w:vAlign w:val="center"/>
          </w:tcPr>
          <w:p w14:paraId="11EB035A">
            <w:pPr>
              <w:keepNext/>
              <w:spacing w:line="360" w:lineRule="auto"/>
              <w:jc w:val="center"/>
              <w:rPr>
                <w:rFonts w:cs="宋体"/>
                <w:color w:val="auto"/>
                <w:szCs w:val="21"/>
              </w:rPr>
            </w:pPr>
          </w:p>
        </w:tc>
        <w:tc>
          <w:tcPr>
            <w:tcW w:w="1151" w:type="pct"/>
            <w:vAlign w:val="center"/>
          </w:tcPr>
          <w:p w14:paraId="78E9A09A">
            <w:pPr>
              <w:keepNext/>
              <w:spacing w:line="360" w:lineRule="auto"/>
              <w:jc w:val="center"/>
              <w:rPr>
                <w:rFonts w:cs="宋体"/>
                <w:color w:val="auto"/>
                <w:szCs w:val="21"/>
              </w:rPr>
            </w:pPr>
          </w:p>
        </w:tc>
      </w:tr>
      <w:tr w14:paraId="161671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14:paraId="62AC8DD4">
            <w:pPr>
              <w:keepNext/>
              <w:spacing w:line="360" w:lineRule="auto"/>
              <w:jc w:val="center"/>
              <w:rPr>
                <w:rFonts w:cs="宋体"/>
                <w:color w:val="auto"/>
                <w:szCs w:val="21"/>
              </w:rPr>
            </w:pPr>
          </w:p>
        </w:tc>
        <w:tc>
          <w:tcPr>
            <w:tcW w:w="627" w:type="pct"/>
            <w:tcBorders>
              <w:bottom w:val="nil"/>
            </w:tcBorders>
            <w:vAlign w:val="center"/>
          </w:tcPr>
          <w:p w14:paraId="5E8DDBE3">
            <w:pPr>
              <w:keepNext/>
              <w:spacing w:line="360" w:lineRule="auto"/>
              <w:jc w:val="center"/>
              <w:rPr>
                <w:rFonts w:cs="宋体"/>
                <w:color w:val="auto"/>
                <w:szCs w:val="21"/>
              </w:rPr>
            </w:pPr>
          </w:p>
        </w:tc>
        <w:tc>
          <w:tcPr>
            <w:tcW w:w="502" w:type="pct"/>
            <w:tcBorders>
              <w:bottom w:val="nil"/>
            </w:tcBorders>
            <w:vAlign w:val="center"/>
          </w:tcPr>
          <w:p w14:paraId="0954EE1B">
            <w:pPr>
              <w:keepNext/>
              <w:spacing w:line="360" w:lineRule="auto"/>
              <w:jc w:val="center"/>
              <w:rPr>
                <w:rFonts w:cs="宋体"/>
                <w:color w:val="auto"/>
                <w:szCs w:val="21"/>
              </w:rPr>
            </w:pPr>
          </w:p>
        </w:tc>
        <w:tc>
          <w:tcPr>
            <w:tcW w:w="502" w:type="pct"/>
            <w:tcBorders>
              <w:bottom w:val="nil"/>
            </w:tcBorders>
            <w:vAlign w:val="center"/>
          </w:tcPr>
          <w:p w14:paraId="1BEFF77B">
            <w:pPr>
              <w:keepNext/>
              <w:spacing w:line="360" w:lineRule="auto"/>
              <w:jc w:val="center"/>
              <w:rPr>
                <w:rFonts w:cs="宋体"/>
                <w:color w:val="auto"/>
                <w:szCs w:val="21"/>
              </w:rPr>
            </w:pPr>
          </w:p>
        </w:tc>
        <w:tc>
          <w:tcPr>
            <w:tcW w:w="1281" w:type="pct"/>
            <w:tcBorders>
              <w:bottom w:val="nil"/>
            </w:tcBorders>
            <w:vAlign w:val="center"/>
          </w:tcPr>
          <w:p w14:paraId="5A0D8FC4">
            <w:pPr>
              <w:keepNext/>
              <w:spacing w:line="360" w:lineRule="auto"/>
              <w:jc w:val="center"/>
              <w:rPr>
                <w:rFonts w:cs="宋体"/>
                <w:color w:val="auto"/>
                <w:szCs w:val="21"/>
              </w:rPr>
            </w:pPr>
          </w:p>
        </w:tc>
        <w:tc>
          <w:tcPr>
            <w:tcW w:w="1151" w:type="pct"/>
            <w:tcBorders>
              <w:bottom w:val="nil"/>
            </w:tcBorders>
            <w:vAlign w:val="center"/>
          </w:tcPr>
          <w:p w14:paraId="0D8A9196">
            <w:pPr>
              <w:keepNext/>
              <w:spacing w:line="360" w:lineRule="auto"/>
              <w:jc w:val="center"/>
              <w:rPr>
                <w:rFonts w:cs="宋体"/>
                <w:color w:val="auto"/>
                <w:szCs w:val="21"/>
              </w:rPr>
            </w:pPr>
          </w:p>
        </w:tc>
      </w:tr>
      <w:tr w14:paraId="7D567A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14:paraId="475E628D">
            <w:pPr>
              <w:keepNext/>
              <w:spacing w:line="360" w:lineRule="auto"/>
              <w:jc w:val="center"/>
              <w:rPr>
                <w:rFonts w:cs="宋体"/>
                <w:color w:val="auto"/>
                <w:szCs w:val="21"/>
              </w:rPr>
            </w:pPr>
          </w:p>
        </w:tc>
        <w:tc>
          <w:tcPr>
            <w:tcW w:w="627" w:type="pct"/>
            <w:vAlign w:val="center"/>
          </w:tcPr>
          <w:p w14:paraId="0C3A579E">
            <w:pPr>
              <w:keepNext/>
              <w:spacing w:line="360" w:lineRule="auto"/>
              <w:jc w:val="center"/>
              <w:rPr>
                <w:rFonts w:cs="宋体"/>
                <w:color w:val="auto"/>
                <w:szCs w:val="21"/>
              </w:rPr>
            </w:pPr>
          </w:p>
        </w:tc>
        <w:tc>
          <w:tcPr>
            <w:tcW w:w="502" w:type="pct"/>
            <w:vAlign w:val="center"/>
          </w:tcPr>
          <w:p w14:paraId="7AEBD7A0">
            <w:pPr>
              <w:keepNext/>
              <w:spacing w:line="360" w:lineRule="auto"/>
              <w:jc w:val="center"/>
              <w:rPr>
                <w:rFonts w:cs="宋体"/>
                <w:color w:val="auto"/>
                <w:szCs w:val="21"/>
              </w:rPr>
            </w:pPr>
          </w:p>
        </w:tc>
        <w:tc>
          <w:tcPr>
            <w:tcW w:w="502" w:type="pct"/>
            <w:vAlign w:val="center"/>
          </w:tcPr>
          <w:p w14:paraId="1C1399E5">
            <w:pPr>
              <w:keepNext/>
              <w:spacing w:line="360" w:lineRule="auto"/>
              <w:jc w:val="center"/>
              <w:rPr>
                <w:rFonts w:cs="宋体"/>
                <w:color w:val="auto"/>
                <w:szCs w:val="21"/>
              </w:rPr>
            </w:pPr>
          </w:p>
        </w:tc>
        <w:tc>
          <w:tcPr>
            <w:tcW w:w="1281" w:type="pct"/>
            <w:vAlign w:val="center"/>
          </w:tcPr>
          <w:p w14:paraId="31425843">
            <w:pPr>
              <w:keepNext/>
              <w:spacing w:line="360" w:lineRule="auto"/>
              <w:jc w:val="center"/>
              <w:rPr>
                <w:rFonts w:cs="宋体"/>
                <w:color w:val="auto"/>
                <w:szCs w:val="21"/>
              </w:rPr>
            </w:pPr>
          </w:p>
        </w:tc>
        <w:tc>
          <w:tcPr>
            <w:tcW w:w="1151" w:type="pct"/>
            <w:vAlign w:val="center"/>
          </w:tcPr>
          <w:p w14:paraId="0C89A1D6">
            <w:pPr>
              <w:keepNext/>
              <w:spacing w:line="360" w:lineRule="auto"/>
              <w:jc w:val="center"/>
              <w:rPr>
                <w:rFonts w:cs="宋体"/>
                <w:color w:val="auto"/>
                <w:szCs w:val="21"/>
              </w:rPr>
            </w:pPr>
          </w:p>
        </w:tc>
      </w:tr>
      <w:tr w14:paraId="046BC4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14:paraId="4C811BE9">
            <w:pPr>
              <w:keepNext/>
              <w:spacing w:line="360" w:lineRule="auto"/>
              <w:jc w:val="center"/>
              <w:rPr>
                <w:rFonts w:cs="宋体"/>
                <w:color w:val="auto"/>
                <w:szCs w:val="21"/>
              </w:rPr>
            </w:pPr>
          </w:p>
        </w:tc>
        <w:tc>
          <w:tcPr>
            <w:tcW w:w="627" w:type="pct"/>
            <w:vAlign w:val="center"/>
          </w:tcPr>
          <w:p w14:paraId="70603579">
            <w:pPr>
              <w:keepNext/>
              <w:spacing w:line="360" w:lineRule="auto"/>
              <w:jc w:val="center"/>
              <w:rPr>
                <w:rFonts w:cs="宋体"/>
                <w:color w:val="auto"/>
                <w:szCs w:val="21"/>
              </w:rPr>
            </w:pPr>
          </w:p>
        </w:tc>
        <w:tc>
          <w:tcPr>
            <w:tcW w:w="502" w:type="pct"/>
            <w:vAlign w:val="center"/>
          </w:tcPr>
          <w:p w14:paraId="2F5ECD06">
            <w:pPr>
              <w:keepNext/>
              <w:spacing w:line="360" w:lineRule="auto"/>
              <w:jc w:val="center"/>
              <w:rPr>
                <w:rFonts w:cs="宋体"/>
                <w:color w:val="auto"/>
                <w:szCs w:val="21"/>
              </w:rPr>
            </w:pPr>
          </w:p>
        </w:tc>
        <w:tc>
          <w:tcPr>
            <w:tcW w:w="502" w:type="pct"/>
            <w:vAlign w:val="center"/>
          </w:tcPr>
          <w:p w14:paraId="19AB789E">
            <w:pPr>
              <w:keepNext/>
              <w:spacing w:line="360" w:lineRule="auto"/>
              <w:jc w:val="center"/>
              <w:rPr>
                <w:rFonts w:cs="宋体"/>
                <w:color w:val="auto"/>
                <w:szCs w:val="21"/>
              </w:rPr>
            </w:pPr>
          </w:p>
        </w:tc>
        <w:tc>
          <w:tcPr>
            <w:tcW w:w="1281" w:type="pct"/>
            <w:vAlign w:val="center"/>
          </w:tcPr>
          <w:p w14:paraId="16E04F77">
            <w:pPr>
              <w:keepNext/>
              <w:spacing w:line="360" w:lineRule="auto"/>
              <w:jc w:val="center"/>
              <w:rPr>
                <w:rFonts w:cs="宋体"/>
                <w:color w:val="auto"/>
                <w:szCs w:val="21"/>
              </w:rPr>
            </w:pPr>
          </w:p>
        </w:tc>
        <w:tc>
          <w:tcPr>
            <w:tcW w:w="1151" w:type="pct"/>
            <w:vAlign w:val="center"/>
          </w:tcPr>
          <w:p w14:paraId="32D7C43E">
            <w:pPr>
              <w:keepNext/>
              <w:spacing w:line="360" w:lineRule="auto"/>
              <w:jc w:val="center"/>
              <w:rPr>
                <w:rFonts w:cs="宋体"/>
                <w:color w:val="auto"/>
                <w:szCs w:val="21"/>
              </w:rPr>
            </w:pPr>
          </w:p>
        </w:tc>
      </w:tr>
      <w:tr w14:paraId="5EDB6D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14:paraId="27F7DF5B">
            <w:pPr>
              <w:keepNext/>
              <w:spacing w:line="360" w:lineRule="auto"/>
              <w:jc w:val="center"/>
              <w:rPr>
                <w:rFonts w:cs="宋体"/>
                <w:color w:val="auto"/>
                <w:szCs w:val="21"/>
              </w:rPr>
            </w:pPr>
          </w:p>
        </w:tc>
        <w:tc>
          <w:tcPr>
            <w:tcW w:w="627" w:type="pct"/>
            <w:vAlign w:val="center"/>
          </w:tcPr>
          <w:p w14:paraId="7FD144FC">
            <w:pPr>
              <w:keepNext/>
              <w:spacing w:line="360" w:lineRule="auto"/>
              <w:jc w:val="center"/>
              <w:rPr>
                <w:rFonts w:cs="宋体"/>
                <w:color w:val="auto"/>
                <w:szCs w:val="21"/>
              </w:rPr>
            </w:pPr>
          </w:p>
        </w:tc>
        <w:tc>
          <w:tcPr>
            <w:tcW w:w="502" w:type="pct"/>
            <w:vAlign w:val="center"/>
          </w:tcPr>
          <w:p w14:paraId="26A07DEA">
            <w:pPr>
              <w:keepNext/>
              <w:spacing w:line="360" w:lineRule="auto"/>
              <w:jc w:val="center"/>
              <w:rPr>
                <w:rFonts w:cs="宋体"/>
                <w:color w:val="auto"/>
                <w:szCs w:val="21"/>
              </w:rPr>
            </w:pPr>
          </w:p>
        </w:tc>
        <w:tc>
          <w:tcPr>
            <w:tcW w:w="502" w:type="pct"/>
            <w:vAlign w:val="center"/>
          </w:tcPr>
          <w:p w14:paraId="28217649">
            <w:pPr>
              <w:keepNext/>
              <w:spacing w:line="360" w:lineRule="auto"/>
              <w:jc w:val="center"/>
              <w:rPr>
                <w:rFonts w:cs="宋体"/>
                <w:color w:val="auto"/>
                <w:szCs w:val="21"/>
              </w:rPr>
            </w:pPr>
          </w:p>
        </w:tc>
        <w:tc>
          <w:tcPr>
            <w:tcW w:w="1281" w:type="pct"/>
            <w:vAlign w:val="center"/>
          </w:tcPr>
          <w:p w14:paraId="3EEC0CC0">
            <w:pPr>
              <w:keepNext/>
              <w:spacing w:line="360" w:lineRule="auto"/>
              <w:jc w:val="center"/>
              <w:rPr>
                <w:rFonts w:cs="宋体"/>
                <w:color w:val="auto"/>
                <w:szCs w:val="21"/>
              </w:rPr>
            </w:pPr>
          </w:p>
        </w:tc>
        <w:tc>
          <w:tcPr>
            <w:tcW w:w="1151" w:type="pct"/>
            <w:vAlign w:val="center"/>
          </w:tcPr>
          <w:p w14:paraId="476A5C5E">
            <w:pPr>
              <w:keepNext/>
              <w:spacing w:line="360" w:lineRule="auto"/>
              <w:jc w:val="center"/>
              <w:rPr>
                <w:rFonts w:cs="宋体"/>
                <w:color w:val="auto"/>
                <w:szCs w:val="21"/>
              </w:rPr>
            </w:pPr>
          </w:p>
        </w:tc>
      </w:tr>
      <w:tr w14:paraId="06AF77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tcBorders>
              <w:bottom w:val="single" w:color="auto" w:sz="12" w:space="0"/>
            </w:tcBorders>
            <w:vAlign w:val="center"/>
          </w:tcPr>
          <w:p w14:paraId="172A0858">
            <w:pPr>
              <w:keepNext/>
              <w:spacing w:line="360" w:lineRule="auto"/>
              <w:jc w:val="center"/>
              <w:rPr>
                <w:rFonts w:cs="宋体"/>
                <w:color w:val="auto"/>
                <w:szCs w:val="21"/>
              </w:rPr>
            </w:pPr>
          </w:p>
        </w:tc>
        <w:tc>
          <w:tcPr>
            <w:tcW w:w="627" w:type="pct"/>
            <w:tcBorders>
              <w:bottom w:val="single" w:color="auto" w:sz="12" w:space="0"/>
            </w:tcBorders>
            <w:vAlign w:val="center"/>
          </w:tcPr>
          <w:p w14:paraId="7D8D2C23">
            <w:pPr>
              <w:keepNext/>
              <w:spacing w:line="360" w:lineRule="auto"/>
              <w:jc w:val="center"/>
              <w:rPr>
                <w:rFonts w:cs="宋体"/>
                <w:color w:val="auto"/>
                <w:szCs w:val="21"/>
              </w:rPr>
            </w:pPr>
          </w:p>
        </w:tc>
        <w:tc>
          <w:tcPr>
            <w:tcW w:w="502" w:type="pct"/>
            <w:tcBorders>
              <w:bottom w:val="single" w:color="auto" w:sz="12" w:space="0"/>
            </w:tcBorders>
            <w:vAlign w:val="center"/>
          </w:tcPr>
          <w:p w14:paraId="3C8BB3A3">
            <w:pPr>
              <w:keepNext/>
              <w:spacing w:line="360" w:lineRule="auto"/>
              <w:jc w:val="center"/>
              <w:rPr>
                <w:rFonts w:cs="宋体"/>
                <w:color w:val="auto"/>
                <w:szCs w:val="21"/>
              </w:rPr>
            </w:pPr>
          </w:p>
        </w:tc>
        <w:tc>
          <w:tcPr>
            <w:tcW w:w="502" w:type="pct"/>
            <w:tcBorders>
              <w:bottom w:val="single" w:color="auto" w:sz="12" w:space="0"/>
            </w:tcBorders>
            <w:vAlign w:val="center"/>
          </w:tcPr>
          <w:p w14:paraId="7F3894D0">
            <w:pPr>
              <w:keepNext/>
              <w:spacing w:line="360" w:lineRule="auto"/>
              <w:jc w:val="center"/>
              <w:rPr>
                <w:rFonts w:cs="宋体"/>
                <w:color w:val="auto"/>
                <w:szCs w:val="21"/>
              </w:rPr>
            </w:pPr>
          </w:p>
        </w:tc>
        <w:tc>
          <w:tcPr>
            <w:tcW w:w="1281" w:type="pct"/>
            <w:tcBorders>
              <w:bottom w:val="single" w:color="auto" w:sz="12" w:space="0"/>
            </w:tcBorders>
            <w:vAlign w:val="center"/>
          </w:tcPr>
          <w:p w14:paraId="1E9B351F">
            <w:pPr>
              <w:keepNext/>
              <w:spacing w:line="360" w:lineRule="auto"/>
              <w:jc w:val="center"/>
              <w:rPr>
                <w:rFonts w:cs="宋体"/>
                <w:color w:val="auto"/>
                <w:szCs w:val="21"/>
              </w:rPr>
            </w:pPr>
          </w:p>
        </w:tc>
        <w:tc>
          <w:tcPr>
            <w:tcW w:w="1151" w:type="pct"/>
            <w:tcBorders>
              <w:bottom w:val="single" w:color="auto" w:sz="12" w:space="0"/>
            </w:tcBorders>
            <w:vAlign w:val="center"/>
          </w:tcPr>
          <w:p w14:paraId="6EE28BC2">
            <w:pPr>
              <w:keepNext/>
              <w:spacing w:line="360" w:lineRule="auto"/>
              <w:jc w:val="center"/>
              <w:rPr>
                <w:rFonts w:cs="宋体"/>
                <w:color w:val="auto"/>
                <w:szCs w:val="21"/>
              </w:rPr>
            </w:pPr>
          </w:p>
        </w:tc>
      </w:tr>
    </w:tbl>
    <w:p w14:paraId="63861702">
      <w:pPr>
        <w:spacing w:before="312" w:beforeLines="100" w:after="312" w:afterLines="100"/>
        <w:outlineLvl w:val="2"/>
        <w:rPr>
          <w:rFonts w:ascii="Times New Roman" w:eastAsia="黑体"/>
          <w:color w:val="auto"/>
          <w:szCs w:val="24"/>
        </w:rPr>
      </w:pPr>
      <w:r>
        <w:rPr>
          <w:rFonts w:hint="eastAsia" w:cs="宋体"/>
          <w:bCs/>
          <w:color w:val="auto"/>
        </w:rPr>
        <w:br w:type="page"/>
      </w:r>
      <w:bookmarkStart w:id="638" w:name="_Toc128950242"/>
      <w:r>
        <w:rPr>
          <w:rFonts w:hint="eastAsia" w:ascii="Times New Roman" w:eastAsia="黑体"/>
          <w:color w:val="auto"/>
          <w:szCs w:val="24"/>
        </w:rPr>
        <w:t>附</w:t>
      </w:r>
      <w:bookmarkStart w:id="639" w:name="_Toc296891269"/>
      <w:bookmarkStart w:id="640" w:name="_Toc296503229"/>
      <w:bookmarkStart w:id="641" w:name="_Toc296347228"/>
      <w:bookmarkStart w:id="642" w:name="_Toc296346730"/>
      <w:bookmarkStart w:id="643" w:name="_Toc296944568"/>
      <w:bookmarkStart w:id="644" w:name="_Toc296891057"/>
      <w:r>
        <w:rPr>
          <w:rFonts w:hint="eastAsia" w:ascii="Times New Roman" w:eastAsia="黑体"/>
          <w:color w:val="auto"/>
          <w:szCs w:val="24"/>
        </w:rPr>
        <w:t>件</w:t>
      </w:r>
      <w:r>
        <w:rPr>
          <w:rFonts w:ascii="Times New Roman" w:eastAsia="黑体"/>
          <w:color w:val="auto"/>
          <w:szCs w:val="24"/>
        </w:rPr>
        <w:t>7</w:t>
      </w:r>
      <w:r>
        <w:rPr>
          <w:rFonts w:hint="eastAsia" w:ascii="Times New Roman" w:eastAsia="黑体"/>
          <w:color w:val="auto"/>
          <w:szCs w:val="24"/>
        </w:rPr>
        <w:t>：分包人主要施工管理人员表</w:t>
      </w:r>
      <w:bookmarkEnd w:id="638"/>
    </w:p>
    <w:bookmarkEnd w:id="639"/>
    <w:bookmarkEnd w:id="640"/>
    <w:bookmarkEnd w:id="641"/>
    <w:bookmarkEnd w:id="642"/>
    <w:bookmarkEnd w:id="643"/>
    <w:bookmarkEnd w:id="644"/>
    <w:p w14:paraId="4AF8B591">
      <w:pPr>
        <w:spacing w:before="156" w:beforeLines="50" w:after="156" w:afterLines="50" w:line="360" w:lineRule="auto"/>
        <w:jc w:val="center"/>
        <w:rPr>
          <w:rFonts w:cs="宋体"/>
          <w:b/>
          <w:color w:val="auto"/>
          <w:szCs w:val="21"/>
        </w:rPr>
      </w:pPr>
      <w:r>
        <w:rPr>
          <w:rFonts w:hint="eastAsia" w:cs="宋体"/>
          <w:b/>
          <w:color w:val="auto"/>
          <w:szCs w:val="21"/>
        </w:rPr>
        <w:t>分包人主要施工管理人员表</w:t>
      </w:r>
    </w:p>
    <w:tbl>
      <w:tblPr>
        <w:tblStyle w:val="55"/>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1527"/>
        <w:gridCol w:w="1158"/>
        <w:gridCol w:w="927"/>
        <w:gridCol w:w="674"/>
        <w:gridCol w:w="3414"/>
        <w:gridCol w:w="1336"/>
      </w:tblGrid>
      <w:tr w14:paraId="78FD83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tcBorders>
              <w:top w:val="single" w:color="auto" w:sz="12" w:space="0"/>
              <w:bottom w:val="double" w:color="auto" w:sz="6" w:space="0"/>
            </w:tcBorders>
            <w:vAlign w:val="center"/>
          </w:tcPr>
          <w:p w14:paraId="3B6EF351">
            <w:pPr>
              <w:keepNext/>
              <w:spacing w:line="360" w:lineRule="auto"/>
              <w:jc w:val="center"/>
              <w:rPr>
                <w:rFonts w:cs="宋体"/>
                <w:color w:val="auto"/>
                <w:szCs w:val="21"/>
              </w:rPr>
            </w:pPr>
            <w:r>
              <w:rPr>
                <w:rFonts w:hint="eastAsia" w:cs="宋体"/>
                <w:color w:val="auto"/>
                <w:szCs w:val="21"/>
              </w:rPr>
              <w:t>名称</w:t>
            </w:r>
          </w:p>
        </w:tc>
        <w:tc>
          <w:tcPr>
            <w:tcW w:w="641" w:type="pct"/>
            <w:tcBorders>
              <w:top w:val="single" w:color="auto" w:sz="12" w:space="0"/>
              <w:bottom w:val="double" w:color="auto" w:sz="6" w:space="0"/>
            </w:tcBorders>
            <w:vAlign w:val="center"/>
          </w:tcPr>
          <w:p w14:paraId="3B25ED27">
            <w:pPr>
              <w:keepNext/>
              <w:spacing w:line="360" w:lineRule="auto"/>
              <w:jc w:val="center"/>
              <w:rPr>
                <w:rFonts w:cs="宋体"/>
                <w:color w:val="auto"/>
                <w:szCs w:val="21"/>
              </w:rPr>
            </w:pPr>
            <w:r>
              <w:rPr>
                <w:rFonts w:hint="eastAsia" w:cs="宋体"/>
                <w:color w:val="auto"/>
                <w:szCs w:val="21"/>
              </w:rPr>
              <w:t>姓名</w:t>
            </w:r>
          </w:p>
        </w:tc>
        <w:tc>
          <w:tcPr>
            <w:tcW w:w="513" w:type="pct"/>
            <w:tcBorders>
              <w:top w:val="single" w:color="auto" w:sz="12" w:space="0"/>
              <w:bottom w:val="double" w:color="auto" w:sz="6" w:space="0"/>
            </w:tcBorders>
            <w:vAlign w:val="center"/>
          </w:tcPr>
          <w:p w14:paraId="0695C07E">
            <w:pPr>
              <w:keepNext/>
              <w:spacing w:line="360" w:lineRule="auto"/>
              <w:jc w:val="center"/>
              <w:rPr>
                <w:rFonts w:cs="宋体"/>
                <w:color w:val="auto"/>
                <w:szCs w:val="21"/>
              </w:rPr>
            </w:pPr>
            <w:r>
              <w:rPr>
                <w:rFonts w:hint="eastAsia" w:cs="宋体"/>
                <w:color w:val="auto"/>
                <w:szCs w:val="21"/>
              </w:rPr>
              <w:t>职务</w:t>
            </w:r>
          </w:p>
        </w:tc>
        <w:tc>
          <w:tcPr>
            <w:tcW w:w="373" w:type="pct"/>
            <w:tcBorders>
              <w:top w:val="single" w:color="auto" w:sz="12" w:space="0"/>
              <w:bottom w:val="double" w:color="auto" w:sz="6" w:space="0"/>
            </w:tcBorders>
            <w:vAlign w:val="center"/>
          </w:tcPr>
          <w:p w14:paraId="068A0251">
            <w:pPr>
              <w:keepNext/>
              <w:spacing w:line="360" w:lineRule="auto"/>
              <w:jc w:val="center"/>
              <w:rPr>
                <w:rFonts w:cs="宋体"/>
                <w:color w:val="auto"/>
                <w:szCs w:val="21"/>
              </w:rPr>
            </w:pPr>
            <w:r>
              <w:rPr>
                <w:rFonts w:hint="eastAsia" w:cs="宋体"/>
                <w:color w:val="auto"/>
                <w:szCs w:val="21"/>
              </w:rPr>
              <w:t>职称</w:t>
            </w:r>
          </w:p>
        </w:tc>
        <w:tc>
          <w:tcPr>
            <w:tcW w:w="1889" w:type="pct"/>
            <w:tcBorders>
              <w:top w:val="single" w:color="auto" w:sz="12" w:space="0"/>
              <w:bottom w:val="double" w:color="auto" w:sz="6" w:space="0"/>
            </w:tcBorders>
            <w:vAlign w:val="center"/>
          </w:tcPr>
          <w:p w14:paraId="790633D3">
            <w:pPr>
              <w:keepNext/>
              <w:spacing w:line="360" w:lineRule="auto"/>
              <w:jc w:val="center"/>
              <w:rPr>
                <w:rFonts w:cs="宋体"/>
                <w:color w:val="auto"/>
                <w:szCs w:val="21"/>
              </w:rPr>
            </w:pPr>
            <w:r>
              <w:rPr>
                <w:rFonts w:hint="eastAsia" w:cs="宋体"/>
                <w:color w:val="auto"/>
                <w:szCs w:val="21"/>
              </w:rPr>
              <w:t>主要资历、经验及承担过的项目</w:t>
            </w:r>
          </w:p>
        </w:tc>
        <w:tc>
          <w:tcPr>
            <w:tcW w:w="739" w:type="pct"/>
            <w:tcBorders>
              <w:top w:val="single" w:color="auto" w:sz="12" w:space="0"/>
              <w:bottom w:val="double" w:color="auto" w:sz="6" w:space="0"/>
            </w:tcBorders>
            <w:vAlign w:val="center"/>
          </w:tcPr>
          <w:p w14:paraId="5BD96C6D">
            <w:pPr>
              <w:keepNext/>
              <w:spacing w:line="360" w:lineRule="auto"/>
              <w:jc w:val="center"/>
              <w:rPr>
                <w:rFonts w:cs="宋体"/>
                <w:color w:val="auto"/>
                <w:szCs w:val="21"/>
              </w:rPr>
            </w:pPr>
            <w:r>
              <w:rPr>
                <w:rFonts w:hint="eastAsia" w:cs="宋体"/>
                <w:color w:val="auto"/>
                <w:szCs w:val="21"/>
              </w:rPr>
              <w:t>身份证号码</w:t>
            </w:r>
          </w:p>
        </w:tc>
      </w:tr>
      <w:tr w14:paraId="11C307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4261" w:type="pct"/>
            <w:gridSpan w:val="5"/>
            <w:tcBorders>
              <w:top w:val="double" w:color="auto" w:sz="6" w:space="0"/>
            </w:tcBorders>
            <w:vAlign w:val="center"/>
          </w:tcPr>
          <w:p w14:paraId="6726D343">
            <w:pPr>
              <w:keepNext/>
              <w:spacing w:line="360" w:lineRule="auto"/>
              <w:jc w:val="center"/>
              <w:rPr>
                <w:rFonts w:cs="宋体"/>
                <w:color w:val="auto"/>
                <w:szCs w:val="21"/>
              </w:rPr>
            </w:pPr>
            <w:r>
              <w:rPr>
                <w:rFonts w:hint="eastAsia" w:cs="宋体"/>
                <w:color w:val="auto"/>
                <w:szCs w:val="21"/>
              </w:rPr>
              <w:t>一、总部人员</w:t>
            </w:r>
          </w:p>
        </w:tc>
        <w:tc>
          <w:tcPr>
            <w:tcW w:w="739" w:type="pct"/>
            <w:tcBorders>
              <w:top w:val="double" w:color="auto" w:sz="6" w:space="0"/>
            </w:tcBorders>
            <w:vAlign w:val="center"/>
          </w:tcPr>
          <w:p w14:paraId="5A6E33E5">
            <w:pPr>
              <w:keepNext/>
              <w:spacing w:line="360" w:lineRule="auto"/>
              <w:jc w:val="center"/>
              <w:rPr>
                <w:rFonts w:cs="宋体"/>
                <w:color w:val="auto"/>
                <w:szCs w:val="21"/>
              </w:rPr>
            </w:pPr>
          </w:p>
        </w:tc>
      </w:tr>
      <w:tr w14:paraId="3A4BBA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tcBorders>
              <w:top w:val="nil"/>
              <w:bottom w:val="nil"/>
            </w:tcBorders>
            <w:vAlign w:val="center"/>
          </w:tcPr>
          <w:p w14:paraId="78FEB315">
            <w:pPr>
              <w:keepNext/>
              <w:spacing w:line="360" w:lineRule="auto"/>
              <w:jc w:val="center"/>
              <w:rPr>
                <w:rFonts w:cs="宋体"/>
                <w:color w:val="auto"/>
                <w:szCs w:val="21"/>
              </w:rPr>
            </w:pPr>
            <w:r>
              <w:rPr>
                <w:rFonts w:hint="eastAsia" w:cs="宋体"/>
                <w:color w:val="auto"/>
                <w:szCs w:val="21"/>
              </w:rPr>
              <w:t>项目主管</w:t>
            </w:r>
          </w:p>
        </w:tc>
        <w:tc>
          <w:tcPr>
            <w:tcW w:w="641" w:type="pct"/>
            <w:tcBorders>
              <w:top w:val="nil"/>
            </w:tcBorders>
            <w:vAlign w:val="center"/>
          </w:tcPr>
          <w:p w14:paraId="7BCA928B">
            <w:pPr>
              <w:keepNext/>
              <w:spacing w:line="360" w:lineRule="auto"/>
              <w:jc w:val="center"/>
              <w:rPr>
                <w:rFonts w:cs="宋体"/>
                <w:color w:val="auto"/>
                <w:szCs w:val="21"/>
              </w:rPr>
            </w:pPr>
          </w:p>
        </w:tc>
        <w:tc>
          <w:tcPr>
            <w:tcW w:w="513" w:type="pct"/>
            <w:tcBorders>
              <w:top w:val="nil"/>
            </w:tcBorders>
            <w:vAlign w:val="center"/>
          </w:tcPr>
          <w:p w14:paraId="5D115411">
            <w:pPr>
              <w:keepNext/>
              <w:spacing w:line="360" w:lineRule="auto"/>
              <w:jc w:val="center"/>
              <w:rPr>
                <w:rFonts w:cs="宋体"/>
                <w:color w:val="auto"/>
                <w:szCs w:val="21"/>
              </w:rPr>
            </w:pPr>
          </w:p>
        </w:tc>
        <w:tc>
          <w:tcPr>
            <w:tcW w:w="373" w:type="pct"/>
            <w:tcBorders>
              <w:top w:val="nil"/>
            </w:tcBorders>
            <w:vAlign w:val="center"/>
          </w:tcPr>
          <w:p w14:paraId="2876EF9B">
            <w:pPr>
              <w:keepNext/>
              <w:spacing w:line="360" w:lineRule="auto"/>
              <w:jc w:val="center"/>
              <w:rPr>
                <w:rFonts w:cs="宋体"/>
                <w:color w:val="auto"/>
                <w:szCs w:val="21"/>
              </w:rPr>
            </w:pPr>
          </w:p>
        </w:tc>
        <w:tc>
          <w:tcPr>
            <w:tcW w:w="1889" w:type="pct"/>
            <w:tcBorders>
              <w:top w:val="nil"/>
            </w:tcBorders>
            <w:vAlign w:val="center"/>
          </w:tcPr>
          <w:p w14:paraId="76909926">
            <w:pPr>
              <w:keepNext/>
              <w:spacing w:line="360" w:lineRule="auto"/>
              <w:jc w:val="center"/>
              <w:rPr>
                <w:rFonts w:cs="宋体"/>
                <w:color w:val="auto"/>
                <w:szCs w:val="21"/>
              </w:rPr>
            </w:pPr>
          </w:p>
        </w:tc>
        <w:tc>
          <w:tcPr>
            <w:tcW w:w="739" w:type="pct"/>
            <w:tcBorders>
              <w:top w:val="nil"/>
            </w:tcBorders>
            <w:vAlign w:val="center"/>
          </w:tcPr>
          <w:p w14:paraId="3C449D6A">
            <w:pPr>
              <w:keepNext/>
              <w:spacing w:line="360" w:lineRule="auto"/>
              <w:jc w:val="center"/>
              <w:rPr>
                <w:rFonts w:cs="宋体"/>
                <w:color w:val="auto"/>
                <w:szCs w:val="21"/>
              </w:rPr>
            </w:pPr>
          </w:p>
        </w:tc>
      </w:tr>
      <w:tr w14:paraId="1F91C7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restart"/>
            <w:vAlign w:val="center"/>
          </w:tcPr>
          <w:p w14:paraId="7B33F94E">
            <w:pPr>
              <w:keepNext/>
              <w:spacing w:line="360" w:lineRule="auto"/>
              <w:jc w:val="center"/>
              <w:rPr>
                <w:rFonts w:cs="宋体"/>
                <w:color w:val="auto"/>
                <w:szCs w:val="21"/>
              </w:rPr>
            </w:pPr>
            <w:r>
              <w:rPr>
                <w:rFonts w:hint="eastAsia" w:cs="宋体"/>
                <w:color w:val="auto"/>
                <w:szCs w:val="21"/>
              </w:rPr>
              <w:t>其他人员</w:t>
            </w:r>
          </w:p>
        </w:tc>
        <w:tc>
          <w:tcPr>
            <w:tcW w:w="641" w:type="pct"/>
            <w:vAlign w:val="center"/>
          </w:tcPr>
          <w:p w14:paraId="2EA4116E">
            <w:pPr>
              <w:keepNext/>
              <w:spacing w:line="360" w:lineRule="auto"/>
              <w:jc w:val="center"/>
              <w:rPr>
                <w:rFonts w:cs="宋体"/>
                <w:color w:val="auto"/>
                <w:szCs w:val="21"/>
              </w:rPr>
            </w:pPr>
          </w:p>
        </w:tc>
        <w:tc>
          <w:tcPr>
            <w:tcW w:w="513" w:type="pct"/>
            <w:vAlign w:val="center"/>
          </w:tcPr>
          <w:p w14:paraId="7FED38B0">
            <w:pPr>
              <w:keepNext/>
              <w:spacing w:line="360" w:lineRule="auto"/>
              <w:jc w:val="center"/>
              <w:rPr>
                <w:rFonts w:cs="宋体"/>
                <w:color w:val="auto"/>
                <w:szCs w:val="21"/>
              </w:rPr>
            </w:pPr>
          </w:p>
        </w:tc>
        <w:tc>
          <w:tcPr>
            <w:tcW w:w="373" w:type="pct"/>
            <w:vAlign w:val="center"/>
          </w:tcPr>
          <w:p w14:paraId="70003292">
            <w:pPr>
              <w:keepNext/>
              <w:spacing w:line="360" w:lineRule="auto"/>
              <w:jc w:val="center"/>
              <w:rPr>
                <w:rFonts w:cs="宋体"/>
                <w:color w:val="auto"/>
                <w:szCs w:val="21"/>
              </w:rPr>
            </w:pPr>
          </w:p>
        </w:tc>
        <w:tc>
          <w:tcPr>
            <w:tcW w:w="1889" w:type="pct"/>
            <w:vAlign w:val="center"/>
          </w:tcPr>
          <w:p w14:paraId="753FF7F8">
            <w:pPr>
              <w:keepNext/>
              <w:spacing w:line="360" w:lineRule="auto"/>
              <w:jc w:val="center"/>
              <w:rPr>
                <w:rFonts w:cs="宋体"/>
                <w:color w:val="auto"/>
                <w:szCs w:val="21"/>
              </w:rPr>
            </w:pPr>
          </w:p>
        </w:tc>
        <w:tc>
          <w:tcPr>
            <w:tcW w:w="739" w:type="pct"/>
            <w:vAlign w:val="center"/>
          </w:tcPr>
          <w:p w14:paraId="182A08E2">
            <w:pPr>
              <w:keepNext/>
              <w:spacing w:line="360" w:lineRule="auto"/>
              <w:jc w:val="center"/>
              <w:rPr>
                <w:rFonts w:cs="宋体"/>
                <w:color w:val="auto"/>
                <w:szCs w:val="21"/>
              </w:rPr>
            </w:pPr>
          </w:p>
        </w:tc>
      </w:tr>
      <w:tr w14:paraId="7EDF85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vAlign w:val="center"/>
          </w:tcPr>
          <w:p w14:paraId="1E0DAB62">
            <w:pPr>
              <w:keepNext/>
              <w:spacing w:line="360" w:lineRule="auto"/>
              <w:jc w:val="center"/>
              <w:rPr>
                <w:rFonts w:cs="宋体"/>
                <w:color w:val="auto"/>
                <w:szCs w:val="21"/>
              </w:rPr>
            </w:pPr>
          </w:p>
        </w:tc>
        <w:tc>
          <w:tcPr>
            <w:tcW w:w="641" w:type="pct"/>
            <w:vAlign w:val="center"/>
          </w:tcPr>
          <w:p w14:paraId="17B2A9D7">
            <w:pPr>
              <w:keepNext/>
              <w:spacing w:line="360" w:lineRule="auto"/>
              <w:jc w:val="center"/>
              <w:rPr>
                <w:rFonts w:cs="宋体"/>
                <w:color w:val="auto"/>
                <w:szCs w:val="21"/>
              </w:rPr>
            </w:pPr>
          </w:p>
        </w:tc>
        <w:tc>
          <w:tcPr>
            <w:tcW w:w="513" w:type="pct"/>
            <w:vAlign w:val="center"/>
          </w:tcPr>
          <w:p w14:paraId="74004497">
            <w:pPr>
              <w:keepNext/>
              <w:spacing w:line="360" w:lineRule="auto"/>
              <w:jc w:val="center"/>
              <w:rPr>
                <w:rFonts w:cs="宋体"/>
                <w:color w:val="auto"/>
                <w:szCs w:val="21"/>
              </w:rPr>
            </w:pPr>
          </w:p>
        </w:tc>
        <w:tc>
          <w:tcPr>
            <w:tcW w:w="373" w:type="pct"/>
            <w:vAlign w:val="center"/>
          </w:tcPr>
          <w:p w14:paraId="5AA4FA0F">
            <w:pPr>
              <w:keepNext/>
              <w:spacing w:line="360" w:lineRule="auto"/>
              <w:jc w:val="center"/>
              <w:rPr>
                <w:rFonts w:cs="宋体"/>
                <w:color w:val="auto"/>
                <w:szCs w:val="21"/>
              </w:rPr>
            </w:pPr>
          </w:p>
        </w:tc>
        <w:tc>
          <w:tcPr>
            <w:tcW w:w="1889" w:type="pct"/>
            <w:vAlign w:val="center"/>
          </w:tcPr>
          <w:p w14:paraId="1B90DD33">
            <w:pPr>
              <w:keepNext/>
              <w:spacing w:line="360" w:lineRule="auto"/>
              <w:jc w:val="center"/>
              <w:rPr>
                <w:rFonts w:cs="宋体"/>
                <w:color w:val="auto"/>
                <w:szCs w:val="21"/>
              </w:rPr>
            </w:pPr>
          </w:p>
        </w:tc>
        <w:tc>
          <w:tcPr>
            <w:tcW w:w="739" w:type="pct"/>
            <w:vAlign w:val="center"/>
          </w:tcPr>
          <w:p w14:paraId="44D04724">
            <w:pPr>
              <w:keepNext/>
              <w:spacing w:line="360" w:lineRule="auto"/>
              <w:jc w:val="center"/>
              <w:rPr>
                <w:rFonts w:cs="宋体"/>
                <w:color w:val="auto"/>
                <w:szCs w:val="21"/>
              </w:rPr>
            </w:pPr>
          </w:p>
        </w:tc>
      </w:tr>
      <w:tr w14:paraId="7BF648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tcBorders>
              <w:bottom w:val="nil"/>
            </w:tcBorders>
            <w:vAlign w:val="center"/>
          </w:tcPr>
          <w:p w14:paraId="143CFF22">
            <w:pPr>
              <w:keepNext/>
              <w:spacing w:line="360" w:lineRule="auto"/>
              <w:jc w:val="center"/>
              <w:rPr>
                <w:rFonts w:cs="宋体"/>
                <w:color w:val="auto"/>
                <w:szCs w:val="21"/>
              </w:rPr>
            </w:pPr>
          </w:p>
        </w:tc>
        <w:tc>
          <w:tcPr>
            <w:tcW w:w="641" w:type="pct"/>
            <w:vAlign w:val="center"/>
          </w:tcPr>
          <w:p w14:paraId="76F44BDB">
            <w:pPr>
              <w:keepNext/>
              <w:spacing w:line="360" w:lineRule="auto"/>
              <w:jc w:val="center"/>
              <w:rPr>
                <w:rFonts w:cs="宋体"/>
                <w:color w:val="auto"/>
                <w:szCs w:val="21"/>
              </w:rPr>
            </w:pPr>
          </w:p>
        </w:tc>
        <w:tc>
          <w:tcPr>
            <w:tcW w:w="513" w:type="pct"/>
            <w:vAlign w:val="center"/>
          </w:tcPr>
          <w:p w14:paraId="2E900E00">
            <w:pPr>
              <w:keepNext/>
              <w:spacing w:line="360" w:lineRule="auto"/>
              <w:jc w:val="center"/>
              <w:rPr>
                <w:rFonts w:cs="宋体"/>
                <w:color w:val="auto"/>
                <w:szCs w:val="21"/>
              </w:rPr>
            </w:pPr>
          </w:p>
        </w:tc>
        <w:tc>
          <w:tcPr>
            <w:tcW w:w="373" w:type="pct"/>
            <w:vAlign w:val="center"/>
          </w:tcPr>
          <w:p w14:paraId="7BE1A786">
            <w:pPr>
              <w:keepNext/>
              <w:spacing w:line="360" w:lineRule="auto"/>
              <w:jc w:val="center"/>
              <w:rPr>
                <w:rFonts w:cs="宋体"/>
                <w:color w:val="auto"/>
                <w:szCs w:val="21"/>
              </w:rPr>
            </w:pPr>
          </w:p>
        </w:tc>
        <w:tc>
          <w:tcPr>
            <w:tcW w:w="1889" w:type="pct"/>
            <w:vAlign w:val="center"/>
          </w:tcPr>
          <w:p w14:paraId="2B6FC428">
            <w:pPr>
              <w:keepNext/>
              <w:spacing w:line="360" w:lineRule="auto"/>
              <w:jc w:val="center"/>
              <w:rPr>
                <w:rFonts w:cs="宋体"/>
                <w:color w:val="auto"/>
                <w:szCs w:val="21"/>
              </w:rPr>
            </w:pPr>
          </w:p>
        </w:tc>
        <w:tc>
          <w:tcPr>
            <w:tcW w:w="739" w:type="pct"/>
            <w:vAlign w:val="center"/>
          </w:tcPr>
          <w:p w14:paraId="4411DA97">
            <w:pPr>
              <w:keepNext/>
              <w:spacing w:line="360" w:lineRule="auto"/>
              <w:jc w:val="center"/>
              <w:rPr>
                <w:rFonts w:cs="宋体"/>
                <w:color w:val="auto"/>
                <w:szCs w:val="21"/>
              </w:rPr>
            </w:pPr>
          </w:p>
        </w:tc>
      </w:tr>
      <w:tr w14:paraId="43BDA6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4261" w:type="pct"/>
            <w:gridSpan w:val="5"/>
            <w:vAlign w:val="center"/>
          </w:tcPr>
          <w:p w14:paraId="55D4E0DC">
            <w:pPr>
              <w:keepNext/>
              <w:spacing w:line="360" w:lineRule="auto"/>
              <w:jc w:val="center"/>
              <w:rPr>
                <w:rFonts w:cs="宋体"/>
                <w:color w:val="auto"/>
                <w:szCs w:val="21"/>
              </w:rPr>
            </w:pPr>
            <w:r>
              <w:rPr>
                <w:rFonts w:hint="eastAsia" w:cs="宋体"/>
                <w:color w:val="auto"/>
                <w:szCs w:val="21"/>
              </w:rPr>
              <w:t>二、现场人员</w:t>
            </w:r>
          </w:p>
        </w:tc>
        <w:tc>
          <w:tcPr>
            <w:tcW w:w="739" w:type="pct"/>
            <w:vAlign w:val="center"/>
          </w:tcPr>
          <w:p w14:paraId="752A987F">
            <w:pPr>
              <w:keepNext/>
              <w:spacing w:line="360" w:lineRule="auto"/>
              <w:jc w:val="center"/>
              <w:rPr>
                <w:rFonts w:cs="宋体"/>
                <w:color w:val="auto"/>
                <w:szCs w:val="21"/>
              </w:rPr>
            </w:pPr>
          </w:p>
        </w:tc>
      </w:tr>
      <w:tr w14:paraId="36FE2F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14:paraId="43990BBF">
            <w:pPr>
              <w:spacing w:line="360" w:lineRule="auto"/>
              <w:jc w:val="center"/>
              <w:rPr>
                <w:rFonts w:cs="宋体"/>
                <w:color w:val="auto"/>
                <w:szCs w:val="22"/>
              </w:rPr>
            </w:pPr>
            <w:r>
              <w:rPr>
                <w:rFonts w:hint="eastAsia" w:cs="宋体"/>
                <w:color w:val="auto"/>
                <w:szCs w:val="22"/>
              </w:rPr>
              <w:t>项目经理</w:t>
            </w:r>
          </w:p>
        </w:tc>
        <w:tc>
          <w:tcPr>
            <w:tcW w:w="641" w:type="pct"/>
            <w:vAlign w:val="center"/>
          </w:tcPr>
          <w:p w14:paraId="7877C675">
            <w:pPr>
              <w:keepNext/>
              <w:spacing w:line="360" w:lineRule="auto"/>
              <w:jc w:val="center"/>
              <w:rPr>
                <w:rFonts w:cs="宋体"/>
                <w:color w:val="auto"/>
                <w:szCs w:val="21"/>
              </w:rPr>
            </w:pPr>
          </w:p>
        </w:tc>
        <w:tc>
          <w:tcPr>
            <w:tcW w:w="513" w:type="pct"/>
            <w:vAlign w:val="center"/>
          </w:tcPr>
          <w:p w14:paraId="122773D9">
            <w:pPr>
              <w:keepNext/>
              <w:spacing w:line="360" w:lineRule="auto"/>
              <w:jc w:val="center"/>
              <w:rPr>
                <w:rFonts w:cs="宋体"/>
                <w:color w:val="auto"/>
                <w:szCs w:val="21"/>
              </w:rPr>
            </w:pPr>
          </w:p>
        </w:tc>
        <w:tc>
          <w:tcPr>
            <w:tcW w:w="373" w:type="pct"/>
            <w:vAlign w:val="center"/>
          </w:tcPr>
          <w:p w14:paraId="765C02AA">
            <w:pPr>
              <w:keepNext/>
              <w:spacing w:line="360" w:lineRule="auto"/>
              <w:jc w:val="center"/>
              <w:rPr>
                <w:rFonts w:cs="宋体"/>
                <w:color w:val="auto"/>
                <w:szCs w:val="21"/>
              </w:rPr>
            </w:pPr>
          </w:p>
        </w:tc>
        <w:tc>
          <w:tcPr>
            <w:tcW w:w="1889" w:type="pct"/>
            <w:vAlign w:val="center"/>
          </w:tcPr>
          <w:p w14:paraId="289BA50D">
            <w:pPr>
              <w:keepNext/>
              <w:spacing w:line="360" w:lineRule="auto"/>
              <w:jc w:val="center"/>
              <w:rPr>
                <w:rFonts w:cs="宋体"/>
                <w:color w:val="auto"/>
                <w:szCs w:val="21"/>
              </w:rPr>
            </w:pPr>
          </w:p>
        </w:tc>
        <w:tc>
          <w:tcPr>
            <w:tcW w:w="739" w:type="pct"/>
            <w:vAlign w:val="center"/>
          </w:tcPr>
          <w:p w14:paraId="043F1F4C">
            <w:pPr>
              <w:keepNext/>
              <w:spacing w:line="360" w:lineRule="auto"/>
              <w:jc w:val="center"/>
              <w:rPr>
                <w:rFonts w:cs="宋体"/>
                <w:color w:val="auto"/>
                <w:szCs w:val="21"/>
              </w:rPr>
            </w:pPr>
          </w:p>
        </w:tc>
      </w:tr>
      <w:tr w14:paraId="4EE4FD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14:paraId="149B6DC4">
            <w:pPr>
              <w:spacing w:line="360" w:lineRule="auto"/>
              <w:jc w:val="center"/>
              <w:rPr>
                <w:rFonts w:cs="宋体"/>
                <w:color w:val="auto"/>
                <w:szCs w:val="22"/>
              </w:rPr>
            </w:pPr>
            <w:r>
              <w:rPr>
                <w:rFonts w:hint="eastAsia" w:cs="宋体"/>
                <w:color w:val="auto"/>
                <w:szCs w:val="22"/>
              </w:rPr>
              <w:t>项目副经理</w:t>
            </w:r>
          </w:p>
        </w:tc>
        <w:tc>
          <w:tcPr>
            <w:tcW w:w="641" w:type="pct"/>
            <w:vAlign w:val="center"/>
          </w:tcPr>
          <w:p w14:paraId="06A8935B">
            <w:pPr>
              <w:keepNext/>
              <w:spacing w:line="360" w:lineRule="auto"/>
              <w:jc w:val="center"/>
              <w:rPr>
                <w:rFonts w:cs="宋体"/>
                <w:color w:val="auto"/>
                <w:szCs w:val="21"/>
              </w:rPr>
            </w:pPr>
          </w:p>
        </w:tc>
        <w:tc>
          <w:tcPr>
            <w:tcW w:w="513" w:type="pct"/>
            <w:vAlign w:val="center"/>
          </w:tcPr>
          <w:p w14:paraId="634BD4CF">
            <w:pPr>
              <w:keepNext/>
              <w:spacing w:line="360" w:lineRule="auto"/>
              <w:jc w:val="center"/>
              <w:rPr>
                <w:rFonts w:cs="宋体"/>
                <w:color w:val="auto"/>
                <w:szCs w:val="21"/>
              </w:rPr>
            </w:pPr>
          </w:p>
        </w:tc>
        <w:tc>
          <w:tcPr>
            <w:tcW w:w="373" w:type="pct"/>
            <w:vAlign w:val="center"/>
          </w:tcPr>
          <w:p w14:paraId="12BF897A">
            <w:pPr>
              <w:keepNext/>
              <w:spacing w:line="360" w:lineRule="auto"/>
              <w:jc w:val="center"/>
              <w:rPr>
                <w:rFonts w:cs="宋体"/>
                <w:color w:val="auto"/>
                <w:szCs w:val="21"/>
              </w:rPr>
            </w:pPr>
          </w:p>
        </w:tc>
        <w:tc>
          <w:tcPr>
            <w:tcW w:w="1889" w:type="pct"/>
            <w:vAlign w:val="center"/>
          </w:tcPr>
          <w:p w14:paraId="7ECD96A0">
            <w:pPr>
              <w:keepNext/>
              <w:spacing w:line="360" w:lineRule="auto"/>
              <w:jc w:val="center"/>
              <w:rPr>
                <w:rFonts w:cs="宋体"/>
                <w:color w:val="auto"/>
                <w:szCs w:val="21"/>
              </w:rPr>
            </w:pPr>
          </w:p>
        </w:tc>
        <w:tc>
          <w:tcPr>
            <w:tcW w:w="739" w:type="pct"/>
            <w:vAlign w:val="center"/>
          </w:tcPr>
          <w:p w14:paraId="677A3860">
            <w:pPr>
              <w:keepNext/>
              <w:spacing w:line="360" w:lineRule="auto"/>
              <w:jc w:val="center"/>
              <w:rPr>
                <w:rFonts w:cs="宋体"/>
                <w:color w:val="auto"/>
                <w:szCs w:val="21"/>
              </w:rPr>
            </w:pPr>
          </w:p>
        </w:tc>
      </w:tr>
      <w:tr w14:paraId="02C716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14:paraId="17BB2DCE">
            <w:pPr>
              <w:spacing w:line="360" w:lineRule="auto"/>
              <w:jc w:val="center"/>
              <w:rPr>
                <w:rFonts w:cs="宋体"/>
                <w:color w:val="auto"/>
                <w:szCs w:val="22"/>
              </w:rPr>
            </w:pPr>
            <w:r>
              <w:rPr>
                <w:rFonts w:hint="eastAsia" w:cs="宋体"/>
                <w:color w:val="auto"/>
                <w:szCs w:val="22"/>
              </w:rPr>
              <w:t>项目技术负责人</w:t>
            </w:r>
          </w:p>
        </w:tc>
        <w:tc>
          <w:tcPr>
            <w:tcW w:w="641" w:type="pct"/>
            <w:vAlign w:val="center"/>
          </w:tcPr>
          <w:p w14:paraId="39EE3708">
            <w:pPr>
              <w:keepNext/>
              <w:spacing w:line="360" w:lineRule="auto"/>
              <w:jc w:val="center"/>
              <w:rPr>
                <w:rFonts w:cs="宋体"/>
                <w:color w:val="auto"/>
                <w:szCs w:val="21"/>
              </w:rPr>
            </w:pPr>
          </w:p>
        </w:tc>
        <w:tc>
          <w:tcPr>
            <w:tcW w:w="513" w:type="pct"/>
            <w:vAlign w:val="center"/>
          </w:tcPr>
          <w:p w14:paraId="671736CD">
            <w:pPr>
              <w:keepNext/>
              <w:spacing w:line="360" w:lineRule="auto"/>
              <w:jc w:val="center"/>
              <w:rPr>
                <w:rFonts w:cs="宋体"/>
                <w:color w:val="auto"/>
                <w:szCs w:val="21"/>
              </w:rPr>
            </w:pPr>
          </w:p>
        </w:tc>
        <w:tc>
          <w:tcPr>
            <w:tcW w:w="373" w:type="pct"/>
            <w:vAlign w:val="center"/>
          </w:tcPr>
          <w:p w14:paraId="06892432">
            <w:pPr>
              <w:keepNext/>
              <w:spacing w:line="360" w:lineRule="auto"/>
              <w:jc w:val="center"/>
              <w:rPr>
                <w:rFonts w:cs="宋体"/>
                <w:color w:val="auto"/>
                <w:szCs w:val="21"/>
              </w:rPr>
            </w:pPr>
          </w:p>
        </w:tc>
        <w:tc>
          <w:tcPr>
            <w:tcW w:w="1889" w:type="pct"/>
            <w:vAlign w:val="center"/>
          </w:tcPr>
          <w:p w14:paraId="2F67C328">
            <w:pPr>
              <w:keepNext/>
              <w:spacing w:line="360" w:lineRule="auto"/>
              <w:jc w:val="center"/>
              <w:rPr>
                <w:rFonts w:cs="宋体"/>
                <w:color w:val="auto"/>
                <w:szCs w:val="21"/>
              </w:rPr>
            </w:pPr>
          </w:p>
        </w:tc>
        <w:tc>
          <w:tcPr>
            <w:tcW w:w="739" w:type="pct"/>
            <w:vAlign w:val="center"/>
          </w:tcPr>
          <w:p w14:paraId="06996F74">
            <w:pPr>
              <w:keepNext/>
              <w:spacing w:line="360" w:lineRule="auto"/>
              <w:jc w:val="center"/>
              <w:rPr>
                <w:rFonts w:cs="宋体"/>
                <w:color w:val="auto"/>
                <w:szCs w:val="21"/>
              </w:rPr>
            </w:pPr>
          </w:p>
        </w:tc>
      </w:tr>
      <w:tr w14:paraId="4C1929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14:paraId="1B31C5E0">
            <w:pPr>
              <w:spacing w:line="360" w:lineRule="auto"/>
              <w:jc w:val="center"/>
              <w:rPr>
                <w:rFonts w:cs="宋体"/>
                <w:color w:val="auto"/>
                <w:szCs w:val="22"/>
              </w:rPr>
            </w:pPr>
            <w:r>
              <w:rPr>
                <w:rFonts w:hint="eastAsia" w:cs="宋体"/>
                <w:color w:val="auto"/>
                <w:szCs w:val="22"/>
              </w:rPr>
              <w:t>施工员</w:t>
            </w:r>
          </w:p>
        </w:tc>
        <w:tc>
          <w:tcPr>
            <w:tcW w:w="641" w:type="pct"/>
            <w:vAlign w:val="center"/>
          </w:tcPr>
          <w:p w14:paraId="2444815E">
            <w:pPr>
              <w:keepNext/>
              <w:spacing w:line="360" w:lineRule="auto"/>
              <w:jc w:val="center"/>
              <w:rPr>
                <w:rFonts w:cs="宋体"/>
                <w:color w:val="auto"/>
                <w:szCs w:val="21"/>
              </w:rPr>
            </w:pPr>
          </w:p>
        </w:tc>
        <w:tc>
          <w:tcPr>
            <w:tcW w:w="513" w:type="pct"/>
            <w:vAlign w:val="center"/>
          </w:tcPr>
          <w:p w14:paraId="4A781456">
            <w:pPr>
              <w:keepNext/>
              <w:spacing w:line="360" w:lineRule="auto"/>
              <w:jc w:val="center"/>
              <w:rPr>
                <w:rFonts w:cs="宋体"/>
                <w:color w:val="auto"/>
                <w:szCs w:val="21"/>
              </w:rPr>
            </w:pPr>
          </w:p>
        </w:tc>
        <w:tc>
          <w:tcPr>
            <w:tcW w:w="373" w:type="pct"/>
            <w:vAlign w:val="center"/>
          </w:tcPr>
          <w:p w14:paraId="134E3ED7">
            <w:pPr>
              <w:keepNext/>
              <w:spacing w:line="360" w:lineRule="auto"/>
              <w:jc w:val="center"/>
              <w:rPr>
                <w:rFonts w:cs="宋体"/>
                <w:color w:val="auto"/>
                <w:szCs w:val="21"/>
              </w:rPr>
            </w:pPr>
          </w:p>
        </w:tc>
        <w:tc>
          <w:tcPr>
            <w:tcW w:w="1889" w:type="pct"/>
            <w:vAlign w:val="center"/>
          </w:tcPr>
          <w:p w14:paraId="4C418684">
            <w:pPr>
              <w:keepNext/>
              <w:spacing w:line="360" w:lineRule="auto"/>
              <w:jc w:val="center"/>
              <w:rPr>
                <w:rFonts w:cs="宋体"/>
                <w:color w:val="auto"/>
                <w:szCs w:val="21"/>
              </w:rPr>
            </w:pPr>
          </w:p>
        </w:tc>
        <w:tc>
          <w:tcPr>
            <w:tcW w:w="739" w:type="pct"/>
            <w:vAlign w:val="center"/>
          </w:tcPr>
          <w:p w14:paraId="7D427C13">
            <w:pPr>
              <w:keepNext/>
              <w:spacing w:line="360" w:lineRule="auto"/>
              <w:jc w:val="center"/>
              <w:rPr>
                <w:rFonts w:cs="宋体"/>
                <w:color w:val="auto"/>
                <w:szCs w:val="21"/>
              </w:rPr>
            </w:pPr>
          </w:p>
        </w:tc>
      </w:tr>
      <w:tr w14:paraId="11D631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14:paraId="726C84D6">
            <w:pPr>
              <w:spacing w:line="360" w:lineRule="auto"/>
              <w:jc w:val="center"/>
              <w:rPr>
                <w:rFonts w:cs="宋体"/>
                <w:color w:val="auto"/>
                <w:szCs w:val="22"/>
              </w:rPr>
            </w:pPr>
            <w:r>
              <w:rPr>
                <w:rFonts w:hint="eastAsia" w:cs="宋体"/>
                <w:color w:val="auto"/>
                <w:szCs w:val="22"/>
              </w:rPr>
              <w:t>质检员（质量员）</w:t>
            </w:r>
          </w:p>
        </w:tc>
        <w:tc>
          <w:tcPr>
            <w:tcW w:w="641" w:type="pct"/>
            <w:vAlign w:val="center"/>
          </w:tcPr>
          <w:p w14:paraId="2886D216">
            <w:pPr>
              <w:keepNext/>
              <w:spacing w:line="360" w:lineRule="auto"/>
              <w:jc w:val="center"/>
              <w:rPr>
                <w:rFonts w:cs="宋体"/>
                <w:color w:val="auto"/>
                <w:szCs w:val="21"/>
              </w:rPr>
            </w:pPr>
          </w:p>
        </w:tc>
        <w:tc>
          <w:tcPr>
            <w:tcW w:w="513" w:type="pct"/>
            <w:vAlign w:val="center"/>
          </w:tcPr>
          <w:p w14:paraId="1EAAEDA7">
            <w:pPr>
              <w:keepNext/>
              <w:spacing w:line="360" w:lineRule="auto"/>
              <w:jc w:val="center"/>
              <w:rPr>
                <w:rFonts w:cs="宋体"/>
                <w:color w:val="auto"/>
                <w:szCs w:val="21"/>
              </w:rPr>
            </w:pPr>
          </w:p>
        </w:tc>
        <w:tc>
          <w:tcPr>
            <w:tcW w:w="373" w:type="pct"/>
            <w:vAlign w:val="center"/>
          </w:tcPr>
          <w:p w14:paraId="563191A4">
            <w:pPr>
              <w:keepNext/>
              <w:spacing w:line="360" w:lineRule="auto"/>
              <w:jc w:val="center"/>
              <w:rPr>
                <w:rFonts w:cs="宋体"/>
                <w:color w:val="auto"/>
                <w:szCs w:val="21"/>
              </w:rPr>
            </w:pPr>
          </w:p>
        </w:tc>
        <w:tc>
          <w:tcPr>
            <w:tcW w:w="1889" w:type="pct"/>
            <w:vAlign w:val="center"/>
          </w:tcPr>
          <w:p w14:paraId="725AB96F">
            <w:pPr>
              <w:keepNext/>
              <w:spacing w:line="360" w:lineRule="auto"/>
              <w:jc w:val="center"/>
              <w:rPr>
                <w:rFonts w:cs="宋体"/>
                <w:color w:val="auto"/>
                <w:szCs w:val="21"/>
              </w:rPr>
            </w:pPr>
          </w:p>
        </w:tc>
        <w:tc>
          <w:tcPr>
            <w:tcW w:w="739" w:type="pct"/>
            <w:vAlign w:val="center"/>
          </w:tcPr>
          <w:p w14:paraId="678A463F">
            <w:pPr>
              <w:keepNext/>
              <w:spacing w:line="360" w:lineRule="auto"/>
              <w:jc w:val="center"/>
              <w:rPr>
                <w:rFonts w:cs="宋体"/>
                <w:color w:val="auto"/>
                <w:szCs w:val="21"/>
              </w:rPr>
            </w:pPr>
          </w:p>
        </w:tc>
      </w:tr>
      <w:tr w14:paraId="30C1FA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14:paraId="07FAC600">
            <w:pPr>
              <w:spacing w:line="360" w:lineRule="auto"/>
              <w:jc w:val="center"/>
              <w:rPr>
                <w:rFonts w:cs="宋体"/>
                <w:color w:val="auto"/>
                <w:szCs w:val="22"/>
              </w:rPr>
            </w:pPr>
            <w:r>
              <w:rPr>
                <w:rFonts w:hint="eastAsia" w:cs="宋体"/>
                <w:color w:val="auto"/>
                <w:szCs w:val="22"/>
              </w:rPr>
              <w:t>安全员</w:t>
            </w:r>
          </w:p>
        </w:tc>
        <w:tc>
          <w:tcPr>
            <w:tcW w:w="641" w:type="pct"/>
            <w:vAlign w:val="center"/>
          </w:tcPr>
          <w:p w14:paraId="5CB7BD7E">
            <w:pPr>
              <w:keepNext/>
              <w:spacing w:line="360" w:lineRule="auto"/>
              <w:jc w:val="center"/>
              <w:rPr>
                <w:rFonts w:cs="宋体"/>
                <w:color w:val="auto"/>
                <w:szCs w:val="21"/>
              </w:rPr>
            </w:pPr>
          </w:p>
        </w:tc>
        <w:tc>
          <w:tcPr>
            <w:tcW w:w="513" w:type="pct"/>
            <w:vAlign w:val="center"/>
          </w:tcPr>
          <w:p w14:paraId="7E17B1DE">
            <w:pPr>
              <w:keepNext/>
              <w:spacing w:line="360" w:lineRule="auto"/>
              <w:jc w:val="center"/>
              <w:rPr>
                <w:rFonts w:cs="宋体"/>
                <w:color w:val="auto"/>
                <w:szCs w:val="21"/>
              </w:rPr>
            </w:pPr>
          </w:p>
        </w:tc>
        <w:tc>
          <w:tcPr>
            <w:tcW w:w="373" w:type="pct"/>
            <w:vAlign w:val="center"/>
          </w:tcPr>
          <w:p w14:paraId="4AAEEF8A">
            <w:pPr>
              <w:keepNext/>
              <w:spacing w:line="360" w:lineRule="auto"/>
              <w:jc w:val="center"/>
              <w:rPr>
                <w:rFonts w:cs="宋体"/>
                <w:color w:val="auto"/>
                <w:szCs w:val="21"/>
              </w:rPr>
            </w:pPr>
          </w:p>
        </w:tc>
        <w:tc>
          <w:tcPr>
            <w:tcW w:w="1889" w:type="pct"/>
            <w:vAlign w:val="center"/>
          </w:tcPr>
          <w:p w14:paraId="6186D2CC">
            <w:pPr>
              <w:keepNext/>
              <w:spacing w:line="360" w:lineRule="auto"/>
              <w:jc w:val="center"/>
              <w:rPr>
                <w:rFonts w:cs="宋体"/>
                <w:color w:val="auto"/>
                <w:szCs w:val="21"/>
              </w:rPr>
            </w:pPr>
          </w:p>
        </w:tc>
        <w:tc>
          <w:tcPr>
            <w:tcW w:w="739" w:type="pct"/>
            <w:vAlign w:val="center"/>
          </w:tcPr>
          <w:p w14:paraId="7DD3EB8D">
            <w:pPr>
              <w:keepNext/>
              <w:spacing w:line="360" w:lineRule="auto"/>
              <w:jc w:val="center"/>
              <w:rPr>
                <w:rFonts w:cs="宋体"/>
                <w:color w:val="auto"/>
                <w:szCs w:val="21"/>
              </w:rPr>
            </w:pPr>
          </w:p>
        </w:tc>
      </w:tr>
      <w:tr w14:paraId="732E1B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14:paraId="14658807">
            <w:pPr>
              <w:spacing w:line="360" w:lineRule="auto"/>
              <w:jc w:val="center"/>
              <w:rPr>
                <w:rFonts w:cs="宋体"/>
                <w:color w:val="auto"/>
                <w:szCs w:val="22"/>
              </w:rPr>
            </w:pPr>
            <w:r>
              <w:rPr>
                <w:rFonts w:hint="eastAsia" w:cs="宋体"/>
                <w:color w:val="auto"/>
                <w:szCs w:val="22"/>
              </w:rPr>
              <w:t>资料员</w:t>
            </w:r>
          </w:p>
        </w:tc>
        <w:tc>
          <w:tcPr>
            <w:tcW w:w="641" w:type="pct"/>
            <w:vAlign w:val="center"/>
          </w:tcPr>
          <w:p w14:paraId="6D83BB2B">
            <w:pPr>
              <w:keepNext/>
              <w:spacing w:line="360" w:lineRule="auto"/>
              <w:jc w:val="center"/>
              <w:rPr>
                <w:rFonts w:cs="宋体"/>
                <w:color w:val="auto"/>
                <w:szCs w:val="21"/>
              </w:rPr>
            </w:pPr>
          </w:p>
        </w:tc>
        <w:tc>
          <w:tcPr>
            <w:tcW w:w="513" w:type="pct"/>
            <w:vAlign w:val="center"/>
          </w:tcPr>
          <w:p w14:paraId="7CF43E97">
            <w:pPr>
              <w:keepNext/>
              <w:spacing w:line="360" w:lineRule="auto"/>
              <w:jc w:val="center"/>
              <w:rPr>
                <w:rFonts w:cs="宋体"/>
                <w:color w:val="auto"/>
                <w:szCs w:val="21"/>
              </w:rPr>
            </w:pPr>
          </w:p>
        </w:tc>
        <w:tc>
          <w:tcPr>
            <w:tcW w:w="373" w:type="pct"/>
            <w:vAlign w:val="center"/>
          </w:tcPr>
          <w:p w14:paraId="5495EB2C">
            <w:pPr>
              <w:keepNext/>
              <w:spacing w:line="360" w:lineRule="auto"/>
              <w:jc w:val="center"/>
              <w:rPr>
                <w:rFonts w:cs="宋体"/>
                <w:color w:val="auto"/>
                <w:szCs w:val="21"/>
              </w:rPr>
            </w:pPr>
          </w:p>
        </w:tc>
        <w:tc>
          <w:tcPr>
            <w:tcW w:w="1889" w:type="pct"/>
            <w:vAlign w:val="center"/>
          </w:tcPr>
          <w:p w14:paraId="5B9F3831">
            <w:pPr>
              <w:keepNext/>
              <w:spacing w:line="360" w:lineRule="auto"/>
              <w:jc w:val="center"/>
              <w:rPr>
                <w:rFonts w:cs="宋体"/>
                <w:color w:val="auto"/>
                <w:szCs w:val="21"/>
              </w:rPr>
            </w:pPr>
          </w:p>
        </w:tc>
        <w:tc>
          <w:tcPr>
            <w:tcW w:w="739" w:type="pct"/>
            <w:vAlign w:val="center"/>
          </w:tcPr>
          <w:p w14:paraId="02F5F63C">
            <w:pPr>
              <w:keepNext/>
              <w:spacing w:line="360" w:lineRule="auto"/>
              <w:jc w:val="center"/>
              <w:rPr>
                <w:rFonts w:cs="宋体"/>
                <w:color w:val="auto"/>
                <w:szCs w:val="21"/>
              </w:rPr>
            </w:pPr>
          </w:p>
        </w:tc>
      </w:tr>
      <w:tr w14:paraId="1EA9D2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restart"/>
            <w:vAlign w:val="center"/>
          </w:tcPr>
          <w:p w14:paraId="2933C3C1">
            <w:pPr>
              <w:keepNext/>
              <w:spacing w:line="360" w:lineRule="auto"/>
              <w:jc w:val="center"/>
              <w:rPr>
                <w:rFonts w:cs="宋体"/>
                <w:color w:val="auto"/>
                <w:szCs w:val="21"/>
              </w:rPr>
            </w:pPr>
            <w:r>
              <w:rPr>
                <w:rFonts w:hint="eastAsia" w:cs="宋体"/>
                <w:color w:val="auto"/>
                <w:szCs w:val="21"/>
              </w:rPr>
              <w:t>其他人员</w:t>
            </w:r>
          </w:p>
        </w:tc>
        <w:tc>
          <w:tcPr>
            <w:tcW w:w="641" w:type="pct"/>
            <w:vAlign w:val="center"/>
          </w:tcPr>
          <w:p w14:paraId="2A3D0214">
            <w:pPr>
              <w:keepNext/>
              <w:spacing w:line="360" w:lineRule="auto"/>
              <w:jc w:val="center"/>
              <w:rPr>
                <w:rFonts w:cs="宋体"/>
                <w:color w:val="auto"/>
                <w:szCs w:val="21"/>
              </w:rPr>
            </w:pPr>
          </w:p>
        </w:tc>
        <w:tc>
          <w:tcPr>
            <w:tcW w:w="513" w:type="pct"/>
            <w:vAlign w:val="center"/>
          </w:tcPr>
          <w:p w14:paraId="676E82E3">
            <w:pPr>
              <w:keepNext/>
              <w:spacing w:line="360" w:lineRule="auto"/>
              <w:jc w:val="center"/>
              <w:rPr>
                <w:rFonts w:cs="宋体"/>
                <w:color w:val="auto"/>
                <w:szCs w:val="21"/>
              </w:rPr>
            </w:pPr>
          </w:p>
        </w:tc>
        <w:tc>
          <w:tcPr>
            <w:tcW w:w="373" w:type="pct"/>
            <w:vAlign w:val="center"/>
          </w:tcPr>
          <w:p w14:paraId="7AA41CED">
            <w:pPr>
              <w:keepNext/>
              <w:spacing w:line="360" w:lineRule="auto"/>
              <w:jc w:val="center"/>
              <w:rPr>
                <w:rFonts w:cs="宋体"/>
                <w:color w:val="auto"/>
                <w:szCs w:val="21"/>
              </w:rPr>
            </w:pPr>
          </w:p>
        </w:tc>
        <w:tc>
          <w:tcPr>
            <w:tcW w:w="1889" w:type="pct"/>
            <w:vAlign w:val="center"/>
          </w:tcPr>
          <w:p w14:paraId="21AAAEB2">
            <w:pPr>
              <w:keepNext/>
              <w:spacing w:line="360" w:lineRule="auto"/>
              <w:jc w:val="center"/>
              <w:rPr>
                <w:rFonts w:cs="宋体"/>
                <w:color w:val="auto"/>
                <w:szCs w:val="21"/>
              </w:rPr>
            </w:pPr>
          </w:p>
        </w:tc>
        <w:tc>
          <w:tcPr>
            <w:tcW w:w="739" w:type="pct"/>
            <w:vAlign w:val="center"/>
          </w:tcPr>
          <w:p w14:paraId="32EAFC62">
            <w:pPr>
              <w:keepNext/>
              <w:spacing w:line="360" w:lineRule="auto"/>
              <w:jc w:val="center"/>
              <w:rPr>
                <w:rFonts w:cs="宋体"/>
                <w:color w:val="auto"/>
                <w:szCs w:val="21"/>
              </w:rPr>
            </w:pPr>
          </w:p>
        </w:tc>
      </w:tr>
      <w:tr w14:paraId="599FA9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vAlign w:val="center"/>
          </w:tcPr>
          <w:p w14:paraId="4E18F08E">
            <w:pPr>
              <w:keepNext/>
              <w:spacing w:line="360" w:lineRule="auto"/>
              <w:jc w:val="center"/>
              <w:rPr>
                <w:rFonts w:cs="宋体"/>
                <w:color w:val="auto"/>
                <w:szCs w:val="21"/>
              </w:rPr>
            </w:pPr>
          </w:p>
        </w:tc>
        <w:tc>
          <w:tcPr>
            <w:tcW w:w="641" w:type="pct"/>
            <w:tcBorders>
              <w:bottom w:val="nil"/>
            </w:tcBorders>
            <w:vAlign w:val="center"/>
          </w:tcPr>
          <w:p w14:paraId="4BB9CD33">
            <w:pPr>
              <w:keepNext/>
              <w:spacing w:line="360" w:lineRule="auto"/>
              <w:jc w:val="center"/>
              <w:rPr>
                <w:rFonts w:cs="宋体"/>
                <w:color w:val="auto"/>
                <w:szCs w:val="21"/>
              </w:rPr>
            </w:pPr>
          </w:p>
        </w:tc>
        <w:tc>
          <w:tcPr>
            <w:tcW w:w="513" w:type="pct"/>
            <w:tcBorders>
              <w:bottom w:val="nil"/>
            </w:tcBorders>
            <w:vAlign w:val="center"/>
          </w:tcPr>
          <w:p w14:paraId="2D6CCAC6">
            <w:pPr>
              <w:keepNext/>
              <w:spacing w:line="360" w:lineRule="auto"/>
              <w:jc w:val="center"/>
              <w:rPr>
                <w:rFonts w:cs="宋体"/>
                <w:color w:val="auto"/>
                <w:szCs w:val="21"/>
              </w:rPr>
            </w:pPr>
          </w:p>
        </w:tc>
        <w:tc>
          <w:tcPr>
            <w:tcW w:w="373" w:type="pct"/>
            <w:tcBorders>
              <w:bottom w:val="nil"/>
            </w:tcBorders>
            <w:vAlign w:val="center"/>
          </w:tcPr>
          <w:p w14:paraId="73F39EFA">
            <w:pPr>
              <w:keepNext/>
              <w:spacing w:line="360" w:lineRule="auto"/>
              <w:jc w:val="center"/>
              <w:rPr>
                <w:rFonts w:cs="宋体"/>
                <w:color w:val="auto"/>
                <w:szCs w:val="21"/>
              </w:rPr>
            </w:pPr>
          </w:p>
        </w:tc>
        <w:tc>
          <w:tcPr>
            <w:tcW w:w="1889" w:type="pct"/>
            <w:tcBorders>
              <w:bottom w:val="nil"/>
            </w:tcBorders>
            <w:vAlign w:val="center"/>
          </w:tcPr>
          <w:p w14:paraId="16C24D12">
            <w:pPr>
              <w:keepNext/>
              <w:spacing w:line="360" w:lineRule="auto"/>
              <w:jc w:val="center"/>
              <w:rPr>
                <w:rFonts w:cs="宋体"/>
                <w:color w:val="auto"/>
                <w:szCs w:val="21"/>
              </w:rPr>
            </w:pPr>
          </w:p>
        </w:tc>
        <w:tc>
          <w:tcPr>
            <w:tcW w:w="739" w:type="pct"/>
            <w:tcBorders>
              <w:bottom w:val="nil"/>
            </w:tcBorders>
            <w:vAlign w:val="center"/>
          </w:tcPr>
          <w:p w14:paraId="7D80C9F3">
            <w:pPr>
              <w:keepNext/>
              <w:spacing w:line="360" w:lineRule="auto"/>
              <w:jc w:val="center"/>
              <w:rPr>
                <w:rFonts w:cs="宋体"/>
                <w:color w:val="auto"/>
                <w:szCs w:val="21"/>
              </w:rPr>
            </w:pPr>
          </w:p>
        </w:tc>
      </w:tr>
      <w:tr w14:paraId="25D77D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vAlign w:val="center"/>
          </w:tcPr>
          <w:p w14:paraId="5BB6C057">
            <w:pPr>
              <w:keepNext/>
              <w:spacing w:line="360" w:lineRule="auto"/>
              <w:jc w:val="center"/>
              <w:rPr>
                <w:rFonts w:cs="宋体"/>
                <w:color w:val="auto"/>
                <w:szCs w:val="21"/>
              </w:rPr>
            </w:pPr>
          </w:p>
        </w:tc>
        <w:tc>
          <w:tcPr>
            <w:tcW w:w="641" w:type="pct"/>
            <w:vAlign w:val="center"/>
          </w:tcPr>
          <w:p w14:paraId="3F72F751">
            <w:pPr>
              <w:keepNext/>
              <w:spacing w:line="360" w:lineRule="auto"/>
              <w:jc w:val="center"/>
              <w:rPr>
                <w:rFonts w:cs="宋体"/>
                <w:color w:val="auto"/>
                <w:szCs w:val="21"/>
              </w:rPr>
            </w:pPr>
          </w:p>
        </w:tc>
        <w:tc>
          <w:tcPr>
            <w:tcW w:w="513" w:type="pct"/>
            <w:vAlign w:val="center"/>
          </w:tcPr>
          <w:p w14:paraId="42CACB0C">
            <w:pPr>
              <w:keepNext/>
              <w:spacing w:line="360" w:lineRule="auto"/>
              <w:jc w:val="center"/>
              <w:rPr>
                <w:rFonts w:cs="宋体"/>
                <w:color w:val="auto"/>
                <w:szCs w:val="21"/>
              </w:rPr>
            </w:pPr>
          </w:p>
        </w:tc>
        <w:tc>
          <w:tcPr>
            <w:tcW w:w="373" w:type="pct"/>
            <w:vAlign w:val="center"/>
          </w:tcPr>
          <w:p w14:paraId="1EFF7690">
            <w:pPr>
              <w:keepNext/>
              <w:spacing w:line="360" w:lineRule="auto"/>
              <w:jc w:val="center"/>
              <w:rPr>
                <w:rFonts w:cs="宋体"/>
                <w:color w:val="auto"/>
                <w:szCs w:val="21"/>
              </w:rPr>
            </w:pPr>
          </w:p>
        </w:tc>
        <w:tc>
          <w:tcPr>
            <w:tcW w:w="1889" w:type="pct"/>
            <w:vAlign w:val="center"/>
          </w:tcPr>
          <w:p w14:paraId="7D210C64">
            <w:pPr>
              <w:keepNext/>
              <w:spacing w:line="360" w:lineRule="auto"/>
              <w:jc w:val="center"/>
              <w:rPr>
                <w:rFonts w:cs="宋体"/>
                <w:color w:val="auto"/>
                <w:szCs w:val="21"/>
              </w:rPr>
            </w:pPr>
          </w:p>
        </w:tc>
        <w:tc>
          <w:tcPr>
            <w:tcW w:w="739" w:type="pct"/>
            <w:vAlign w:val="center"/>
          </w:tcPr>
          <w:p w14:paraId="21308C91">
            <w:pPr>
              <w:keepNext/>
              <w:spacing w:line="360" w:lineRule="auto"/>
              <w:jc w:val="center"/>
              <w:rPr>
                <w:rFonts w:cs="宋体"/>
                <w:color w:val="auto"/>
                <w:szCs w:val="21"/>
              </w:rPr>
            </w:pPr>
          </w:p>
        </w:tc>
      </w:tr>
      <w:tr w14:paraId="281A4F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vAlign w:val="center"/>
          </w:tcPr>
          <w:p w14:paraId="21436087">
            <w:pPr>
              <w:keepNext/>
              <w:spacing w:line="360" w:lineRule="auto"/>
              <w:jc w:val="center"/>
              <w:rPr>
                <w:rFonts w:cs="宋体"/>
                <w:color w:val="auto"/>
                <w:szCs w:val="21"/>
              </w:rPr>
            </w:pPr>
          </w:p>
        </w:tc>
        <w:tc>
          <w:tcPr>
            <w:tcW w:w="641" w:type="pct"/>
            <w:vAlign w:val="center"/>
          </w:tcPr>
          <w:p w14:paraId="12FD08C7">
            <w:pPr>
              <w:keepNext/>
              <w:spacing w:line="360" w:lineRule="auto"/>
              <w:jc w:val="center"/>
              <w:rPr>
                <w:rFonts w:cs="宋体"/>
                <w:color w:val="auto"/>
                <w:szCs w:val="21"/>
              </w:rPr>
            </w:pPr>
          </w:p>
        </w:tc>
        <w:tc>
          <w:tcPr>
            <w:tcW w:w="513" w:type="pct"/>
            <w:vAlign w:val="center"/>
          </w:tcPr>
          <w:p w14:paraId="0E345675">
            <w:pPr>
              <w:keepNext/>
              <w:spacing w:line="360" w:lineRule="auto"/>
              <w:jc w:val="center"/>
              <w:rPr>
                <w:rFonts w:cs="宋体"/>
                <w:color w:val="auto"/>
                <w:szCs w:val="21"/>
              </w:rPr>
            </w:pPr>
          </w:p>
        </w:tc>
        <w:tc>
          <w:tcPr>
            <w:tcW w:w="373" w:type="pct"/>
            <w:vAlign w:val="center"/>
          </w:tcPr>
          <w:p w14:paraId="46B842F6">
            <w:pPr>
              <w:keepNext/>
              <w:spacing w:line="360" w:lineRule="auto"/>
              <w:jc w:val="center"/>
              <w:rPr>
                <w:rFonts w:cs="宋体"/>
                <w:color w:val="auto"/>
                <w:szCs w:val="21"/>
              </w:rPr>
            </w:pPr>
          </w:p>
        </w:tc>
        <w:tc>
          <w:tcPr>
            <w:tcW w:w="1889" w:type="pct"/>
            <w:vAlign w:val="center"/>
          </w:tcPr>
          <w:p w14:paraId="2D18953A">
            <w:pPr>
              <w:keepNext/>
              <w:spacing w:line="360" w:lineRule="auto"/>
              <w:jc w:val="center"/>
              <w:rPr>
                <w:rFonts w:cs="宋体"/>
                <w:color w:val="auto"/>
                <w:szCs w:val="21"/>
              </w:rPr>
            </w:pPr>
          </w:p>
        </w:tc>
        <w:tc>
          <w:tcPr>
            <w:tcW w:w="739" w:type="pct"/>
            <w:vAlign w:val="center"/>
          </w:tcPr>
          <w:p w14:paraId="1AFF186C">
            <w:pPr>
              <w:keepNext/>
              <w:spacing w:line="360" w:lineRule="auto"/>
              <w:jc w:val="center"/>
              <w:rPr>
                <w:rFonts w:cs="宋体"/>
                <w:color w:val="auto"/>
                <w:szCs w:val="21"/>
              </w:rPr>
            </w:pPr>
          </w:p>
        </w:tc>
      </w:tr>
      <w:tr w14:paraId="4B5A78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vAlign w:val="center"/>
          </w:tcPr>
          <w:p w14:paraId="3ADA8E1B">
            <w:pPr>
              <w:keepNext/>
              <w:spacing w:line="360" w:lineRule="auto"/>
              <w:jc w:val="center"/>
              <w:rPr>
                <w:rFonts w:cs="宋体"/>
                <w:color w:val="auto"/>
                <w:szCs w:val="21"/>
              </w:rPr>
            </w:pPr>
          </w:p>
        </w:tc>
        <w:tc>
          <w:tcPr>
            <w:tcW w:w="641" w:type="pct"/>
            <w:vAlign w:val="center"/>
          </w:tcPr>
          <w:p w14:paraId="0678C39B">
            <w:pPr>
              <w:keepNext/>
              <w:spacing w:line="360" w:lineRule="auto"/>
              <w:jc w:val="center"/>
              <w:rPr>
                <w:rFonts w:cs="宋体"/>
                <w:color w:val="auto"/>
                <w:szCs w:val="21"/>
              </w:rPr>
            </w:pPr>
          </w:p>
        </w:tc>
        <w:tc>
          <w:tcPr>
            <w:tcW w:w="513" w:type="pct"/>
            <w:vAlign w:val="center"/>
          </w:tcPr>
          <w:p w14:paraId="31E9C87A">
            <w:pPr>
              <w:keepNext/>
              <w:spacing w:line="360" w:lineRule="auto"/>
              <w:jc w:val="center"/>
              <w:rPr>
                <w:rFonts w:cs="宋体"/>
                <w:color w:val="auto"/>
                <w:szCs w:val="21"/>
              </w:rPr>
            </w:pPr>
          </w:p>
        </w:tc>
        <w:tc>
          <w:tcPr>
            <w:tcW w:w="373" w:type="pct"/>
            <w:vAlign w:val="center"/>
          </w:tcPr>
          <w:p w14:paraId="0E20721F">
            <w:pPr>
              <w:keepNext/>
              <w:spacing w:line="360" w:lineRule="auto"/>
              <w:jc w:val="center"/>
              <w:rPr>
                <w:rFonts w:cs="宋体"/>
                <w:color w:val="auto"/>
                <w:szCs w:val="21"/>
              </w:rPr>
            </w:pPr>
          </w:p>
        </w:tc>
        <w:tc>
          <w:tcPr>
            <w:tcW w:w="1889" w:type="pct"/>
            <w:vAlign w:val="center"/>
          </w:tcPr>
          <w:p w14:paraId="280F52BB">
            <w:pPr>
              <w:keepNext/>
              <w:spacing w:line="360" w:lineRule="auto"/>
              <w:jc w:val="center"/>
              <w:rPr>
                <w:rFonts w:cs="宋体"/>
                <w:color w:val="auto"/>
                <w:szCs w:val="21"/>
              </w:rPr>
            </w:pPr>
          </w:p>
        </w:tc>
        <w:tc>
          <w:tcPr>
            <w:tcW w:w="739" w:type="pct"/>
            <w:vAlign w:val="center"/>
          </w:tcPr>
          <w:p w14:paraId="48ED9F06">
            <w:pPr>
              <w:keepNext/>
              <w:spacing w:line="360" w:lineRule="auto"/>
              <w:jc w:val="center"/>
              <w:rPr>
                <w:rFonts w:cs="宋体"/>
                <w:color w:val="auto"/>
                <w:szCs w:val="21"/>
              </w:rPr>
            </w:pPr>
          </w:p>
        </w:tc>
      </w:tr>
      <w:tr w14:paraId="6FCD69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tcBorders>
              <w:bottom w:val="single" w:color="auto" w:sz="12" w:space="0"/>
            </w:tcBorders>
            <w:vAlign w:val="center"/>
          </w:tcPr>
          <w:p w14:paraId="4F570612">
            <w:pPr>
              <w:keepNext/>
              <w:spacing w:line="360" w:lineRule="auto"/>
              <w:jc w:val="center"/>
              <w:rPr>
                <w:rFonts w:cs="宋体"/>
                <w:color w:val="auto"/>
                <w:szCs w:val="21"/>
              </w:rPr>
            </w:pPr>
          </w:p>
        </w:tc>
        <w:tc>
          <w:tcPr>
            <w:tcW w:w="641" w:type="pct"/>
            <w:tcBorders>
              <w:bottom w:val="single" w:color="auto" w:sz="12" w:space="0"/>
            </w:tcBorders>
            <w:vAlign w:val="center"/>
          </w:tcPr>
          <w:p w14:paraId="7B4C5233">
            <w:pPr>
              <w:keepNext/>
              <w:spacing w:line="360" w:lineRule="auto"/>
              <w:jc w:val="center"/>
              <w:rPr>
                <w:rFonts w:cs="宋体"/>
                <w:color w:val="auto"/>
                <w:szCs w:val="21"/>
              </w:rPr>
            </w:pPr>
          </w:p>
        </w:tc>
        <w:tc>
          <w:tcPr>
            <w:tcW w:w="513" w:type="pct"/>
            <w:tcBorders>
              <w:bottom w:val="single" w:color="auto" w:sz="12" w:space="0"/>
            </w:tcBorders>
            <w:vAlign w:val="center"/>
          </w:tcPr>
          <w:p w14:paraId="691BD566">
            <w:pPr>
              <w:keepNext/>
              <w:spacing w:line="360" w:lineRule="auto"/>
              <w:jc w:val="center"/>
              <w:rPr>
                <w:rFonts w:cs="宋体"/>
                <w:color w:val="auto"/>
                <w:szCs w:val="21"/>
              </w:rPr>
            </w:pPr>
          </w:p>
        </w:tc>
        <w:tc>
          <w:tcPr>
            <w:tcW w:w="373" w:type="pct"/>
            <w:tcBorders>
              <w:bottom w:val="single" w:color="auto" w:sz="12" w:space="0"/>
            </w:tcBorders>
            <w:vAlign w:val="center"/>
          </w:tcPr>
          <w:p w14:paraId="77F74FD5">
            <w:pPr>
              <w:keepNext/>
              <w:spacing w:line="360" w:lineRule="auto"/>
              <w:jc w:val="center"/>
              <w:rPr>
                <w:rFonts w:cs="宋体"/>
                <w:color w:val="auto"/>
                <w:szCs w:val="21"/>
              </w:rPr>
            </w:pPr>
          </w:p>
        </w:tc>
        <w:tc>
          <w:tcPr>
            <w:tcW w:w="1889" w:type="pct"/>
            <w:tcBorders>
              <w:bottom w:val="single" w:color="auto" w:sz="12" w:space="0"/>
            </w:tcBorders>
            <w:vAlign w:val="center"/>
          </w:tcPr>
          <w:p w14:paraId="679DD4F8">
            <w:pPr>
              <w:keepNext/>
              <w:spacing w:line="360" w:lineRule="auto"/>
              <w:jc w:val="center"/>
              <w:rPr>
                <w:rFonts w:cs="宋体"/>
                <w:color w:val="auto"/>
                <w:szCs w:val="21"/>
              </w:rPr>
            </w:pPr>
          </w:p>
        </w:tc>
        <w:tc>
          <w:tcPr>
            <w:tcW w:w="739" w:type="pct"/>
            <w:tcBorders>
              <w:bottom w:val="single" w:color="auto" w:sz="12" w:space="0"/>
            </w:tcBorders>
            <w:vAlign w:val="center"/>
          </w:tcPr>
          <w:p w14:paraId="06309C98">
            <w:pPr>
              <w:keepNext/>
              <w:spacing w:line="360" w:lineRule="auto"/>
              <w:jc w:val="center"/>
              <w:rPr>
                <w:rFonts w:cs="宋体"/>
                <w:color w:val="auto"/>
                <w:szCs w:val="21"/>
              </w:rPr>
            </w:pPr>
          </w:p>
        </w:tc>
      </w:tr>
    </w:tbl>
    <w:p w14:paraId="6E5D06C8">
      <w:pPr>
        <w:spacing w:before="312" w:beforeLines="100" w:after="312" w:afterLines="100"/>
        <w:outlineLvl w:val="2"/>
        <w:rPr>
          <w:rFonts w:ascii="Times New Roman" w:eastAsia="黑体"/>
          <w:color w:val="auto"/>
          <w:szCs w:val="24"/>
        </w:rPr>
      </w:pPr>
      <w:r>
        <w:rPr>
          <w:rFonts w:hint="eastAsia" w:cs="宋体"/>
          <w:bCs/>
          <w:color w:val="auto"/>
        </w:rPr>
        <w:br w:type="page"/>
      </w:r>
      <w:bookmarkStart w:id="645" w:name="_Toc128950243"/>
      <w:r>
        <w:rPr>
          <w:rFonts w:hint="eastAsia" w:ascii="Times New Roman" w:eastAsia="黑体"/>
          <w:color w:val="auto"/>
          <w:szCs w:val="24"/>
        </w:rPr>
        <w:t>附</w:t>
      </w:r>
      <w:bookmarkStart w:id="646" w:name="_Toc296891059"/>
      <w:bookmarkStart w:id="647" w:name="_Toc296944570"/>
      <w:bookmarkStart w:id="648" w:name="_Toc296347230"/>
      <w:bookmarkStart w:id="649" w:name="_Toc296891271"/>
      <w:bookmarkStart w:id="650" w:name="_Toc296503231"/>
      <w:bookmarkStart w:id="651" w:name="_Toc296346732"/>
      <w:r>
        <w:rPr>
          <w:rFonts w:hint="eastAsia" w:ascii="Times New Roman" w:eastAsia="黑体"/>
          <w:color w:val="auto"/>
          <w:szCs w:val="24"/>
        </w:rPr>
        <w:t>件</w:t>
      </w:r>
      <w:r>
        <w:rPr>
          <w:rFonts w:ascii="Times New Roman" w:eastAsia="黑体"/>
          <w:color w:val="auto"/>
          <w:szCs w:val="24"/>
        </w:rPr>
        <w:t>8</w:t>
      </w:r>
      <w:r>
        <w:rPr>
          <w:rFonts w:hint="eastAsia" w:ascii="Times New Roman" w:eastAsia="黑体"/>
          <w:color w:val="auto"/>
          <w:szCs w:val="24"/>
        </w:rPr>
        <w:t>：廉政协议</w:t>
      </w:r>
      <w:bookmarkEnd w:id="645"/>
    </w:p>
    <w:bookmarkEnd w:id="646"/>
    <w:bookmarkEnd w:id="647"/>
    <w:bookmarkEnd w:id="648"/>
    <w:bookmarkEnd w:id="649"/>
    <w:bookmarkEnd w:id="650"/>
    <w:bookmarkEnd w:id="651"/>
    <w:p w14:paraId="59EDD367">
      <w:pPr>
        <w:widowControl/>
        <w:spacing w:line="360" w:lineRule="auto"/>
        <w:ind w:firstLine="643"/>
        <w:jc w:val="center"/>
        <w:rPr>
          <w:rFonts w:cs="宋体"/>
          <w:b/>
          <w:bCs/>
          <w:color w:val="auto"/>
          <w:sz w:val="32"/>
          <w:szCs w:val="32"/>
        </w:rPr>
      </w:pPr>
      <w:r>
        <w:rPr>
          <w:rFonts w:hint="eastAsia" w:cs="宋体"/>
          <w:b/>
          <w:bCs/>
          <w:color w:val="auto"/>
          <w:sz w:val="32"/>
          <w:szCs w:val="32"/>
        </w:rPr>
        <w:t>廉政协议</w:t>
      </w:r>
    </w:p>
    <w:p w14:paraId="6E6E5125">
      <w:pPr>
        <w:widowControl/>
        <w:spacing w:line="360" w:lineRule="auto"/>
        <w:ind w:firstLine="420" w:firstLineChars="200"/>
        <w:jc w:val="left"/>
        <w:rPr>
          <w:rFonts w:cs="宋体"/>
          <w:color w:val="auto"/>
          <w:sz w:val="21"/>
          <w:szCs w:val="21"/>
        </w:rPr>
      </w:pPr>
      <w:r>
        <w:rPr>
          <w:rFonts w:hint="eastAsia" w:cs="宋体"/>
          <w:color w:val="auto"/>
          <w:sz w:val="21"/>
          <w:szCs w:val="21"/>
        </w:rPr>
        <w:t>为促进双方诚信经营、廉洁从业，防范商业贿赂，保护国家、集体和当事人的合法权益，根据国家有关法律法规和安徽省廉政建设的规定，</w:t>
      </w:r>
      <w:r>
        <w:rPr>
          <w:rFonts w:hint="eastAsia" w:cs="宋体"/>
          <w:color w:val="auto"/>
          <w:sz w:val="21"/>
          <w:szCs w:val="21"/>
          <w:u w:val="single"/>
        </w:rPr>
        <w:t xml:space="preserve">     </w:t>
      </w:r>
      <w:r>
        <w:rPr>
          <w:rFonts w:hint="eastAsia" w:cs="宋体"/>
          <w:color w:val="auto"/>
          <w:sz w:val="21"/>
          <w:szCs w:val="21"/>
        </w:rPr>
        <w:t>（以下称甲方）与</w:t>
      </w:r>
      <w:r>
        <w:rPr>
          <w:rFonts w:hint="eastAsia" w:cs="宋体"/>
          <w:color w:val="auto"/>
          <w:sz w:val="21"/>
          <w:szCs w:val="21"/>
          <w:u w:val="single"/>
        </w:rPr>
        <w:t xml:space="preserve">             （</w:t>
      </w:r>
      <w:r>
        <w:rPr>
          <w:rFonts w:hint="eastAsia" w:cs="宋体"/>
          <w:color w:val="auto"/>
          <w:sz w:val="21"/>
          <w:szCs w:val="21"/>
        </w:rPr>
        <w:t>以下称乙方），特此订立本协议共同遵照执行。</w:t>
      </w:r>
    </w:p>
    <w:p w14:paraId="4DCAD01A">
      <w:pPr>
        <w:widowControl/>
        <w:spacing w:line="360" w:lineRule="auto"/>
        <w:ind w:firstLine="420" w:firstLineChars="200"/>
        <w:jc w:val="left"/>
        <w:rPr>
          <w:rFonts w:cs="宋体"/>
          <w:color w:val="auto"/>
          <w:sz w:val="21"/>
          <w:szCs w:val="21"/>
        </w:rPr>
      </w:pPr>
      <w:r>
        <w:rPr>
          <w:rFonts w:hint="eastAsia" w:cs="宋体"/>
          <w:color w:val="auto"/>
          <w:sz w:val="21"/>
          <w:szCs w:val="21"/>
        </w:rPr>
        <w:t>第一条 甲乙双方的权利和义务</w:t>
      </w:r>
    </w:p>
    <w:p w14:paraId="513D04BF">
      <w:pPr>
        <w:widowControl/>
        <w:spacing w:line="360" w:lineRule="auto"/>
        <w:ind w:firstLine="420" w:firstLineChars="200"/>
        <w:jc w:val="left"/>
        <w:rPr>
          <w:rFonts w:cs="宋体"/>
          <w:color w:val="auto"/>
          <w:sz w:val="21"/>
          <w:szCs w:val="21"/>
        </w:rPr>
      </w:pPr>
      <w:r>
        <w:rPr>
          <w:rFonts w:hint="eastAsia" w:cs="宋体"/>
          <w:color w:val="auto"/>
          <w:sz w:val="21"/>
          <w:szCs w:val="21"/>
        </w:rPr>
        <w:t>（一）甲乙双方自觉遵守《中华人民共和国反不正当竞争法》、国家工商行政管理局《关于禁止商业贿赂行为的暂行规定》、国家最高人民检察院、最高人民法院《关于办理受贿刑事案件适用法律若干问题的意见》及相关法律法规和廉政建设的规定。</w:t>
      </w:r>
    </w:p>
    <w:p w14:paraId="6529EB32">
      <w:pPr>
        <w:widowControl/>
        <w:spacing w:line="360" w:lineRule="auto"/>
        <w:ind w:firstLine="420" w:firstLineChars="200"/>
        <w:jc w:val="left"/>
        <w:rPr>
          <w:rFonts w:cs="宋体"/>
          <w:color w:val="auto"/>
          <w:sz w:val="21"/>
          <w:szCs w:val="21"/>
        </w:rPr>
      </w:pPr>
      <w:r>
        <w:rPr>
          <w:rFonts w:hint="eastAsia" w:cs="宋体"/>
          <w:color w:val="auto"/>
          <w:sz w:val="21"/>
          <w:szCs w:val="21"/>
        </w:rPr>
        <w:t>（二）严格执行</w:t>
      </w:r>
      <w:r>
        <w:rPr>
          <w:rFonts w:hint="eastAsia" w:cs="宋体"/>
          <w:color w:val="auto"/>
          <w:sz w:val="21"/>
          <w:szCs w:val="21"/>
          <w:u w:val="single"/>
        </w:rPr>
        <w:t xml:space="preserve">                                </w:t>
      </w:r>
      <w:r>
        <w:rPr>
          <w:rFonts w:hint="eastAsia" w:cs="宋体"/>
          <w:color w:val="auto"/>
          <w:sz w:val="21"/>
          <w:szCs w:val="21"/>
        </w:rPr>
        <w:t>的合同要求，自觉履行合同约定的相关义务。</w:t>
      </w:r>
    </w:p>
    <w:p w14:paraId="2A1BEE69">
      <w:pPr>
        <w:widowControl/>
        <w:spacing w:line="360" w:lineRule="auto"/>
        <w:ind w:firstLine="420" w:firstLineChars="200"/>
        <w:jc w:val="left"/>
        <w:rPr>
          <w:rFonts w:cs="宋体"/>
          <w:color w:val="auto"/>
          <w:sz w:val="21"/>
          <w:szCs w:val="21"/>
        </w:rPr>
      </w:pPr>
      <w:r>
        <w:rPr>
          <w:rFonts w:hint="eastAsia" w:cs="宋体"/>
          <w:color w:val="auto"/>
          <w:sz w:val="21"/>
          <w:szCs w:val="21"/>
        </w:rPr>
        <w:t>（三）在业务活动中坚持公开、公正、诚信、透明的原则，不得损害国家、集体利益。</w:t>
      </w:r>
    </w:p>
    <w:p w14:paraId="170AAEDF">
      <w:pPr>
        <w:widowControl/>
        <w:spacing w:line="360" w:lineRule="auto"/>
        <w:ind w:firstLine="420" w:firstLineChars="200"/>
        <w:jc w:val="left"/>
        <w:rPr>
          <w:rFonts w:cs="宋体"/>
          <w:color w:val="auto"/>
          <w:sz w:val="21"/>
          <w:szCs w:val="21"/>
        </w:rPr>
      </w:pPr>
      <w:r>
        <w:rPr>
          <w:rFonts w:hint="eastAsia" w:cs="宋体"/>
          <w:color w:val="auto"/>
          <w:sz w:val="21"/>
          <w:szCs w:val="21"/>
        </w:rPr>
        <w:t>（四）建立健全廉政制度，开展廉政教育，公布举报电话，监督并认真查处违法违纪行为。</w:t>
      </w:r>
    </w:p>
    <w:p w14:paraId="375958F4">
      <w:pPr>
        <w:widowControl/>
        <w:spacing w:line="360" w:lineRule="auto"/>
        <w:ind w:firstLine="420" w:firstLineChars="200"/>
        <w:jc w:val="left"/>
        <w:rPr>
          <w:rFonts w:cs="宋体"/>
          <w:color w:val="auto"/>
          <w:sz w:val="21"/>
          <w:szCs w:val="21"/>
        </w:rPr>
      </w:pPr>
      <w:r>
        <w:rPr>
          <w:rFonts w:hint="eastAsia" w:cs="宋体"/>
          <w:color w:val="auto"/>
          <w:sz w:val="21"/>
          <w:szCs w:val="21"/>
        </w:rPr>
        <w:t>（五）发现对方在业务活动中有违反廉政规定的行为，应及时提醒对方纠正。情节严重的，应向其上级有关部门举报、建议给予处理，并有权要求告知处理结果。</w:t>
      </w:r>
    </w:p>
    <w:p w14:paraId="0372E51D">
      <w:pPr>
        <w:widowControl/>
        <w:spacing w:line="360" w:lineRule="auto"/>
        <w:ind w:firstLine="420" w:firstLineChars="200"/>
        <w:jc w:val="left"/>
        <w:rPr>
          <w:rFonts w:cs="宋体"/>
          <w:color w:val="auto"/>
          <w:sz w:val="21"/>
          <w:szCs w:val="21"/>
        </w:rPr>
      </w:pPr>
      <w:r>
        <w:rPr>
          <w:rFonts w:hint="eastAsia" w:cs="宋体"/>
          <w:color w:val="auto"/>
          <w:sz w:val="21"/>
          <w:szCs w:val="21"/>
        </w:rPr>
        <w:t>第二条 甲方的义务</w:t>
      </w:r>
    </w:p>
    <w:p w14:paraId="517D9693">
      <w:pPr>
        <w:widowControl/>
        <w:spacing w:line="360" w:lineRule="auto"/>
        <w:ind w:firstLine="525" w:firstLineChars="250"/>
        <w:jc w:val="left"/>
        <w:rPr>
          <w:rFonts w:cs="宋体"/>
          <w:color w:val="auto"/>
          <w:sz w:val="21"/>
          <w:szCs w:val="21"/>
        </w:rPr>
      </w:pPr>
      <w:r>
        <w:rPr>
          <w:rFonts w:hint="eastAsia" w:cs="宋体"/>
          <w:color w:val="auto"/>
          <w:sz w:val="21"/>
          <w:szCs w:val="21"/>
        </w:rPr>
        <w:t>（一）甲方及其工作人员不得索要或接受乙方的礼金、有价证券和贵重物品，不得在乙方报销任何应由甲方单位或个人支付的费用等。</w:t>
      </w:r>
    </w:p>
    <w:p w14:paraId="60C6C363">
      <w:pPr>
        <w:widowControl/>
        <w:spacing w:line="360" w:lineRule="auto"/>
        <w:ind w:firstLine="420" w:firstLineChars="200"/>
        <w:jc w:val="left"/>
        <w:rPr>
          <w:rFonts w:cs="宋体"/>
          <w:color w:val="auto"/>
          <w:sz w:val="21"/>
          <w:szCs w:val="21"/>
        </w:rPr>
      </w:pPr>
      <w:r>
        <w:rPr>
          <w:rFonts w:hint="eastAsia" w:cs="宋体"/>
          <w:color w:val="auto"/>
          <w:sz w:val="21"/>
          <w:szCs w:val="21"/>
        </w:rPr>
        <w:t>（二）甲方工作人员不得参加乙方安排的可能影响相关业务公开、公正、公平性的宴请和娱乐活动；不得参与任何形式的赌博，严禁通过赌博方式取得乙方及其工作人员的财物；不得接受乙方提供的通讯工具和高档办公用品等。</w:t>
      </w:r>
    </w:p>
    <w:p w14:paraId="0C0C902D">
      <w:pPr>
        <w:widowControl/>
        <w:spacing w:line="360" w:lineRule="auto"/>
        <w:ind w:firstLine="420" w:firstLineChars="200"/>
        <w:jc w:val="left"/>
        <w:rPr>
          <w:rFonts w:cs="宋体"/>
          <w:color w:val="auto"/>
          <w:sz w:val="21"/>
          <w:szCs w:val="21"/>
        </w:rPr>
      </w:pPr>
      <w:r>
        <w:rPr>
          <w:rFonts w:hint="eastAsia" w:cs="宋体"/>
          <w:color w:val="auto"/>
          <w:sz w:val="21"/>
          <w:szCs w:val="21"/>
        </w:rPr>
        <w:t>（三） 甲方及其工作人员不得要求或者接受乙方为其住房装修、婚丧嫁娶活动、配偶子女工作安排以及出国出境、旅游等提供方便等。</w:t>
      </w:r>
    </w:p>
    <w:p w14:paraId="61729193">
      <w:pPr>
        <w:widowControl/>
        <w:spacing w:line="360" w:lineRule="auto"/>
        <w:ind w:firstLine="420" w:firstLineChars="200"/>
        <w:jc w:val="left"/>
        <w:rPr>
          <w:rFonts w:cs="宋体"/>
          <w:color w:val="auto"/>
          <w:sz w:val="21"/>
          <w:szCs w:val="21"/>
        </w:rPr>
      </w:pPr>
      <w:r>
        <w:rPr>
          <w:rFonts w:hint="eastAsia" w:cs="宋体"/>
          <w:color w:val="auto"/>
          <w:sz w:val="21"/>
          <w:szCs w:val="21"/>
        </w:rPr>
        <w:t>（四） 甲方工作人员不得在乙方有股权关联的企业兼职，不得向乙方介绍家属或者亲友从事与甲方业务有关的经济活动。</w:t>
      </w:r>
    </w:p>
    <w:p w14:paraId="61AC764A">
      <w:pPr>
        <w:widowControl/>
        <w:spacing w:line="360" w:lineRule="auto"/>
        <w:ind w:firstLine="420" w:firstLineChars="200"/>
        <w:jc w:val="left"/>
        <w:rPr>
          <w:rFonts w:cs="宋体"/>
          <w:color w:val="auto"/>
          <w:sz w:val="21"/>
          <w:szCs w:val="21"/>
        </w:rPr>
      </w:pPr>
      <w:r>
        <w:rPr>
          <w:rFonts w:hint="eastAsia" w:cs="宋体"/>
          <w:color w:val="auto"/>
          <w:sz w:val="21"/>
          <w:szCs w:val="21"/>
        </w:rPr>
        <w:t>（五）甲方工作人员不得以明显低于市场的价格向乙方购买房屋、汽车等物品；不得以明显高于市场的价格向乙方出售房屋、汽车等物品；不得以其他交易形式非法收受请托人财物。</w:t>
      </w:r>
    </w:p>
    <w:p w14:paraId="16C0A100">
      <w:pPr>
        <w:widowControl/>
        <w:spacing w:line="360" w:lineRule="auto"/>
        <w:ind w:firstLine="420" w:firstLineChars="200"/>
        <w:jc w:val="left"/>
        <w:rPr>
          <w:rFonts w:cs="宋体"/>
          <w:color w:val="auto"/>
          <w:sz w:val="21"/>
          <w:szCs w:val="21"/>
        </w:rPr>
      </w:pPr>
      <w:r>
        <w:rPr>
          <w:rFonts w:hint="eastAsia" w:cs="宋体"/>
          <w:color w:val="auto"/>
          <w:sz w:val="21"/>
          <w:szCs w:val="21"/>
        </w:rPr>
        <w:t>（六）甲方工作人员不得利用职务之便收受乙方以回扣、手续费、加班费、咨询费、劳务费、协调费、辛苦费等各种名义给予或赠送的钱物。</w:t>
      </w:r>
    </w:p>
    <w:p w14:paraId="5BB9C1B6">
      <w:pPr>
        <w:widowControl/>
        <w:spacing w:line="360" w:lineRule="auto"/>
        <w:ind w:firstLine="420" w:firstLineChars="200"/>
        <w:jc w:val="left"/>
        <w:rPr>
          <w:rFonts w:cs="宋体"/>
          <w:color w:val="auto"/>
          <w:sz w:val="21"/>
          <w:szCs w:val="21"/>
        </w:rPr>
      </w:pPr>
      <w:r>
        <w:rPr>
          <w:rFonts w:hint="eastAsia" w:cs="宋体"/>
          <w:color w:val="auto"/>
          <w:sz w:val="21"/>
          <w:szCs w:val="21"/>
        </w:rPr>
        <w:t>（七）甲方工作人员不得接受乙方给予或赠送的干股或红利。</w:t>
      </w:r>
    </w:p>
    <w:p w14:paraId="499BFF67">
      <w:pPr>
        <w:widowControl/>
        <w:spacing w:line="360" w:lineRule="auto"/>
        <w:ind w:firstLine="420" w:firstLineChars="200"/>
        <w:jc w:val="left"/>
        <w:rPr>
          <w:rFonts w:cs="宋体"/>
          <w:color w:val="auto"/>
          <w:sz w:val="21"/>
          <w:szCs w:val="21"/>
        </w:rPr>
      </w:pPr>
      <w:r>
        <w:rPr>
          <w:rFonts w:hint="eastAsia" w:cs="宋体"/>
          <w:color w:val="auto"/>
          <w:sz w:val="21"/>
          <w:szCs w:val="21"/>
        </w:rPr>
        <w:t>（八）甲方任何人不得以个人的名义向乙方推荐设备、部件等供货商以及其他合作单位。</w:t>
      </w:r>
    </w:p>
    <w:p w14:paraId="5BE2E1C1">
      <w:pPr>
        <w:widowControl/>
        <w:spacing w:line="360" w:lineRule="auto"/>
        <w:ind w:firstLine="420" w:firstLineChars="200"/>
        <w:jc w:val="left"/>
        <w:rPr>
          <w:rFonts w:cs="宋体"/>
          <w:color w:val="auto"/>
          <w:sz w:val="21"/>
          <w:szCs w:val="21"/>
        </w:rPr>
      </w:pPr>
      <w:r>
        <w:rPr>
          <w:rFonts w:hint="eastAsia" w:cs="宋体"/>
          <w:color w:val="auto"/>
          <w:sz w:val="21"/>
          <w:szCs w:val="21"/>
        </w:rPr>
        <w:t>第三条 乙方的义务</w:t>
      </w:r>
    </w:p>
    <w:p w14:paraId="6A3367C7">
      <w:pPr>
        <w:widowControl/>
        <w:spacing w:line="360" w:lineRule="auto"/>
        <w:ind w:firstLine="525" w:firstLineChars="250"/>
        <w:jc w:val="left"/>
        <w:rPr>
          <w:rFonts w:cs="宋体"/>
          <w:color w:val="auto"/>
          <w:sz w:val="21"/>
          <w:szCs w:val="21"/>
        </w:rPr>
      </w:pPr>
      <w:r>
        <w:rPr>
          <w:rFonts w:hint="eastAsia" w:cs="宋体"/>
          <w:color w:val="auto"/>
          <w:sz w:val="21"/>
          <w:szCs w:val="21"/>
        </w:rPr>
        <w:t>（一）乙方不得以任何理由向甲方及其工作人员行贿或馈赠礼金、有价证券、贵重礼品。</w:t>
      </w:r>
    </w:p>
    <w:p w14:paraId="65E3B929">
      <w:pPr>
        <w:widowControl/>
        <w:spacing w:line="360" w:lineRule="auto"/>
        <w:ind w:firstLine="420" w:firstLineChars="200"/>
        <w:jc w:val="left"/>
        <w:rPr>
          <w:rFonts w:cs="宋体"/>
          <w:color w:val="auto"/>
          <w:sz w:val="21"/>
          <w:szCs w:val="21"/>
        </w:rPr>
      </w:pPr>
      <w:r>
        <w:rPr>
          <w:rFonts w:hint="eastAsia" w:cs="宋体"/>
          <w:color w:val="auto"/>
          <w:sz w:val="21"/>
          <w:szCs w:val="21"/>
        </w:rPr>
        <w:t>（二）乙方不得以任何名义为甲方及其工作人员报销应由甲方单位或个人支付的任何费用。</w:t>
      </w:r>
    </w:p>
    <w:p w14:paraId="0A6F617D">
      <w:pPr>
        <w:widowControl/>
        <w:spacing w:line="360" w:lineRule="auto"/>
        <w:ind w:firstLine="420" w:firstLineChars="200"/>
        <w:jc w:val="left"/>
        <w:rPr>
          <w:rFonts w:cs="宋体"/>
          <w:color w:val="auto"/>
          <w:sz w:val="21"/>
          <w:szCs w:val="21"/>
        </w:rPr>
      </w:pPr>
      <w:r>
        <w:rPr>
          <w:rFonts w:hint="eastAsia" w:cs="宋体"/>
          <w:color w:val="auto"/>
          <w:sz w:val="21"/>
          <w:szCs w:val="21"/>
        </w:rPr>
        <w:t>（三）乙方不得以任何理由安排甲方工作人员参加可能影响相关业务公开、公正、公平性的宴请及娱乐活动。</w:t>
      </w:r>
    </w:p>
    <w:p w14:paraId="0736A5EB">
      <w:pPr>
        <w:widowControl/>
        <w:spacing w:line="360" w:lineRule="auto"/>
        <w:ind w:firstLine="420" w:firstLineChars="200"/>
        <w:jc w:val="left"/>
        <w:rPr>
          <w:rFonts w:cs="宋体"/>
          <w:color w:val="auto"/>
          <w:sz w:val="21"/>
          <w:szCs w:val="21"/>
        </w:rPr>
      </w:pPr>
      <w:r>
        <w:rPr>
          <w:rFonts w:hint="eastAsia" w:cs="宋体"/>
          <w:color w:val="auto"/>
          <w:sz w:val="21"/>
          <w:szCs w:val="21"/>
        </w:rPr>
        <w:t>（四）乙方不得为甲方单位和个人购置或提供通讯工具和高档办公用品等物品，也不得为甲方提供与工作无关的房屋、汽车等。</w:t>
      </w:r>
    </w:p>
    <w:p w14:paraId="16605377">
      <w:pPr>
        <w:widowControl/>
        <w:spacing w:line="360" w:lineRule="auto"/>
        <w:ind w:firstLine="420" w:firstLineChars="200"/>
        <w:jc w:val="left"/>
        <w:rPr>
          <w:rFonts w:cs="宋体"/>
          <w:color w:val="auto"/>
          <w:sz w:val="21"/>
          <w:szCs w:val="21"/>
        </w:rPr>
      </w:pPr>
      <w:r>
        <w:rPr>
          <w:rFonts w:hint="eastAsia" w:cs="宋体"/>
          <w:color w:val="auto"/>
          <w:sz w:val="21"/>
          <w:szCs w:val="21"/>
        </w:rPr>
        <w:t>（五）乙方不得与甲方工作人员就合同中的质量、数量、价格、工程量、验收等条款进行私下商谈或者达成默契。</w:t>
      </w:r>
    </w:p>
    <w:p w14:paraId="7AF8C2F6">
      <w:pPr>
        <w:widowControl/>
        <w:spacing w:line="360" w:lineRule="auto"/>
        <w:ind w:firstLine="420" w:firstLineChars="200"/>
        <w:jc w:val="left"/>
        <w:rPr>
          <w:rFonts w:cs="宋体"/>
          <w:color w:val="auto"/>
          <w:sz w:val="21"/>
          <w:szCs w:val="21"/>
        </w:rPr>
      </w:pPr>
      <w:r>
        <w:rPr>
          <w:rFonts w:hint="eastAsia" w:cs="宋体"/>
          <w:color w:val="auto"/>
          <w:sz w:val="21"/>
          <w:szCs w:val="21"/>
        </w:rPr>
        <w:t>（六）乙方不得以回扣、手续费、加班费、咨询费、劳务费、协调费、辛苦费等各种名义向甲方工作人员给予或赠送钱物。</w:t>
      </w:r>
    </w:p>
    <w:p w14:paraId="30201005">
      <w:pPr>
        <w:widowControl/>
        <w:spacing w:line="360" w:lineRule="auto"/>
        <w:ind w:firstLine="420" w:firstLineChars="200"/>
        <w:jc w:val="left"/>
        <w:rPr>
          <w:rFonts w:cs="宋体"/>
          <w:color w:val="auto"/>
          <w:sz w:val="21"/>
          <w:szCs w:val="21"/>
        </w:rPr>
      </w:pPr>
      <w:r>
        <w:rPr>
          <w:rFonts w:hint="eastAsia" w:cs="宋体"/>
          <w:color w:val="auto"/>
          <w:sz w:val="21"/>
          <w:szCs w:val="21"/>
        </w:rPr>
        <w:t>（七）乙方不得向甲方工作人员提供干股或红利。</w:t>
      </w:r>
    </w:p>
    <w:p w14:paraId="3914CE62">
      <w:pPr>
        <w:widowControl/>
        <w:spacing w:line="360" w:lineRule="auto"/>
        <w:ind w:firstLine="420" w:firstLineChars="200"/>
        <w:jc w:val="left"/>
        <w:rPr>
          <w:rFonts w:cs="宋体"/>
          <w:color w:val="auto"/>
          <w:sz w:val="21"/>
          <w:szCs w:val="21"/>
        </w:rPr>
      </w:pPr>
      <w:r>
        <w:rPr>
          <w:rFonts w:hint="eastAsia" w:cs="宋体"/>
          <w:color w:val="auto"/>
          <w:sz w:val="21"/>
          <w:szCs w:val="21"/>
        </w:rPr>
        <w:t>（八）乙方须按</w:t>
      </w:r>
      <w:r>
        <w:rPr>
          <w:rFonts w:hint="eastAsia" w:cs="宋体"/>
          <w:color w:val="auto"/>
          <w:sz w:val="21"/>
          <w:szCs w:val="21"/>
          <w:u w:val="single"/>
        </w:rPr>
        <w:t xml:space="preserve">         </w:t>
      </w:r>
      <w:r>
        <w:rPr>
          <w:rFonts w:hint="eastAsia" w:cs="宋体"/>
          <w:color w:val="auto"/>
          <w:sz w:val="21"/>
          <w:szCs w:val="21"/>
        </w:rPr>
        <w:t>专项纪检监察工作组（如有）要求开展相关工作。</w:t>
      </w:r>
    </w:p>
    <w:p w14:paraId="6BBFB4B2">
      <w:pPr>
        <w:widowControl/>
        <w:spacing w:line="360" w:lineRule="auto"/>
        <w:ind w:firstLine="420" w:firstLineChars="200"/>
        <w:jc w:val="left"/>
        <w:rPr>
          <w:rFonts w:cs="宋体"/>
          <w:color w:val="auto"/>
          <w:sz w:val="21"/>
          <w:szCs w:val="21"/>
        </w:rPr>
      </w:pPr>
      <w:r>
        <w:rPr>
          <w:rFonts w:hint="eastAsia" w:cs="宋体"/>
          <w:color w:val="auto"/>
          <w:sz w:val="21"/>
          <w:szCs w:val="21"/>
        </w:rPr>
        <w:t>第四条 违约责任</w:t>
      </w:r>
    </w:p>
    <w:p w14:paraId="542D143A">
      <w:pPr>
        <w:widowControl/>
        <w:spacing w:line="360" w:lineRule="auto"/>
        <w:ind w:firstLine="420" w:firstLineChars="200"/>
        <w:jc w:val="left"/>
        <w:rPr>
          <w:rFonts w:cs="宋体"/>
          <w:color w:val="auto"/>
          <w:sz w:val="21"/>
          <w:szCs w:val="21"/>
        </w:rPr>
      </w:pPr>
      <w:r>
        <w:rPr>
          <w:rFonts w:hint="eastAsia" w:cs="宋体"/>
          <w:color w:val="auto"/>
          <w:sz w:val="21"/>
          <w:szCs w:val="21"/>
        </w:rPr>
        <w:t>（一）甲方及其工作人员违反本协议第一、二条规定。甲方按管理权限，对相关责任人依据有关规定给予党纪、政纪处分或组织处理；涉嫌犯罪的，移交司法机关追究刑事责任；给乙方单位造成经济损失的，应予以赔偿。</w:t>
      </w:r>
    </w:p>
    <w:p w14:paraId="378BD2FB">
      <w:pPr>
        <w:widowControl/>
        <w:spacing w:line="360" w:lineRule="auto"/>
        <w:ind w:firstLine="420" w:firstLineChars="200"/>
        <w:jc w:val="left"/>
        <w:rPr>
          <w:rFonts w:cs="宋体"/>
          <w:color w:val="auto"/>
          <w:sz w:val="21"/>
          <w:szCs w:val="21"/>
        </w:rPr>
      </w:pPr>
      <w:r>
        <w:rPr>
          <w:rFonts w:hint="eastAsia" w:cs="宋体"/>
          <w:color w:val="auto"/>
          <w:sz w:val="21"/>
          <w:szCs w:val="21"/>
        </w:rPr>
        <w:t>甲方投诉联系部门：</w:t>
      </w:r>
      <w:r>
        <w:rPr>
          <w:rFonts w:hint="eastAsia" w:cs="宋体"/>
          <w:color w:val="auto"/>
          <w:sz w:val="21"/>
          <w:szCs w:val="21"/>
          <w:u w:val="single"/>
        </w:rPr>
        <w:t xml:space="preserve">           </w:t>
      </w:r>
      <w:r>
        <w:rPr>
          <w:rFonts w:hint="eastAsia" w:cs="宋体"/>
          <w:color w:val="auto"/>
          <w:sz w:val="21"/>
          <w:szCs w:val="21"/>
        </w:rPr>
        <w:t>，联系电话：</w:t>
      </w:r>
      <w:r>
        <w:rPr>
          <w:rFonts w:hint="eastAsia" w:cs="宋体"/>
          <w:color w:val="auto"/>
          <w:sz w:val="21"/>
          <w:szCs w:val="21"/>
          <w:u w:val="single"/>
        </w:rPr>
        <w:t xml:space="preserve">           </w:t>
      </w:r>
      <w:r>
        <w:rPr>
          <w:rFonts w:hint="eastAsia" w:cs="宋体"/>
          <w:color w:val="auto"/>
          <w:sz w:val="21"/>
          <w:szCs w:val="21"/>
        </w:rPr>
        <w:t>。</w:t>
      </w:r>
    </w:p>
    <w:p w14:paraId="58536E40">
      <w:pPr>
        <w:widowControl/>
        <w:spacing w:line="360" w:lineRule="auto"/>
        <w:ind w:firstLine="420" w:firstLineChars="200"/>
        <w:jc w:val="left"/>
        <w:rPr>
          <w:rFonts w:cs="宋体"/>
          <w:color w:val="auto"/>
          <w:sz w:val="21"/>
          <w:szCs w:val="21"/>
        </w:rPr>
      </w:pPr>
      <w:r>
        <w:rPr>
          <w:rFonts w:hint="eastAsia" w:cs="宋体"/>
          <w:color w:val="auto"/>
          <w:sz w:val="21"/>
          <w:szCs w:val="21"/>
        </w:rPr>
        <w:t>（二）乙方及其工作人员违反本协议第一、三条规定。根据具体情节和造成的后果，甲方有权对乙方采取以下一种或多种处理办法：</w:t>
      </w:r>
    </w:p>
    <w:p w14:paraId="343EB1D3">
      <w:pPr>
        <w:widowControl/>
        <w:spacing w:line="360" w:lineRule="auto"/>
        <w:ind w:firstLine="420" w:firstLineChars="200"/>
        <w:jc w:val="left"/>
        <w:rPr>
          <w:rFonts w:cs="宋体"/>
          <w:color w:val="auto"/>
          <w:sz w:val="21"/>
          <w:szCs w:val="21"/>
        </w:rPr>
      </w:pPr>
      <w:r>
        <w:rPr>
          <w:rFonts w:hint="eastAsia" w:cs="宋体"/>
          <w:color w:val="auto"/>
          <w:sz w:val="21"/>
          <w:szCs w:val="21"/>
        </w:rPr>
        <w:t xml:space="preserve">1. 全额收取乙方合同履约保证金不予退还； </w:t>
      </w:r>
    </w:p>
    <w:p w14:paraId="4BE47C69">
      <w:pPr>
        <w:widowControl/>
        <w:spacing w:line="360" w:lineRule="auto"/>
        <w:ind w:firstLine="420" w:firstLineChars="200"/>
        <w:jc w:val="left"/>
        <w:rPr>
          <w:rFonts w:cs="宋体"/>
          <w:color w:val="auto"/>
          <w:sz w:val="21"/>
          <w:szCs w:val="21"/>
        </w:rPr>
      </w:pPr>
      <w:r>
        <w:rPr>
          <w:rFonts w:hint="eastAsia" w:cs="宋体"/>
          <w:color w:val="auto"/>
          <w:sz w:val="21"/>
          <w:szCs w:val="21"/>
        </w:rPr>
        <w:t>2. 追究乙方其他违约责任；</w:t>
      </w:r>
    </w:p>
    <w:p w14:paraId="76596D3C">
      <w:pPr>
        <w:widowControl/>
        <w:spacing w:line="360" w:lineRule="auto"/>
        <w:ind w:firstLine="420" w:firstLineChars="200"/>
        <w:jc w:val="left"/>
        <w:rPr>
          <w:rFonts w:cs="宋体"/>
          <w:color w:val="auto"/>
          <w:sz w:val="21"/>
          <w:szCs w:val="21"/>
        </w:rPr>
      </w:pPr>
      <w:r>
        <w:rPr>
          <w:rFonts w:hint="eastAsia" w:cs="宋体"/>
          <w:color w:val="auto"/>
          <w:sz w:val="21"/>
          <w:szCs w:val="21"/>
        </w:rPr>
        <w:t>3. 终止或解除双方已签订的包括本合同在内的所有合同；</w:t>
      </w:r>
    </w:p>
    <w:p w14:paraId="104E81AC">
      <w:pPr>
        <w:widowControl/>
        <w:spacing w:line="360" w:lineRule="auto"/>
        <w:ind w:firstLine="420" w:firstLineChars="200"/>
        <w:jc w:val="left"/>
        <w:rPr>
          <w:rFonts w:cs="宋体"/>
          <w:color w:val="auto"/>
          <w:sz w:val="21"/>
          <w:szCs w:val="21"/>
        </w:rPr>
      </w:pPr>
      <w:r>
        <w:rPr>
          <w:rFonts w:hint="eastAsia" w:cs="宋体"/>
          <w:color w:val="auto"/>
          <w:sz w:val="21"/>
          <w:szCs w:val="21"/>
        </w:rPr>
        <w:t>4. 乙方一定期限内（6个月至3年，具体由甲方根据情况而定）不得参与甲方作为发包人（业主）的工程项目投标。</w:t>
      </w:r>
    </w:p>
    <w:p w14:paraId="444A42FB">
      <w:pPr>
        <w:widowControl/>
        <w:spacing w:line="360" w:lineRule="auto"/>
        <w:ind w:firstLine="420" w:firstLineChars="200"/>
        <w:jc w:val="left"/>
        <w:rPr>
          <w:rFonts w:cs="宋体"/>
          <w:color w:val="auto"/>
          <w:sz w:val="21"/>
          <w:szCs w:val="21"/>
        </w:rPr>
      </w:pPr>
      <w:r>
        <w:rPr>
          <w:rFonts w:hint="eastAsia" w:cs="宋体"/>
          <w:color w:val="auto"/>
          <w:sz w:val="21"/>
          <w:szCs w:val="21"/>
        </w:rPr>
        <w:t>甲方作出的处理意见，乙方应无条件接受并承担给甲方造成的损失，全额返还通过不正当手段从甲方获取的非法所得，并承担相应的法律责任。</w:t>
      </w:r>
    </w:p>
    <w:p w14:paraId="1561001E">
      <w:pPr>
        <w:widowControl/>
        <w:spacing w:line="360" w:lineRule="auto"/>
        <w:ind w:firstLine="420" w:firstLineChars="200"/>
        <w:jc w:val="left"/>
        <w:rPr>
          <w:rFonts w:cs="宋体"/>
          <w:color w:val="auto"/>
          <w:sz w:val="21"/>
          <w:szCs w:val="21"/>
        </w:rPr>
      </w:pPr>
      <w:r>
        <w:rPr>
          <w:rFonts w:hint="eastAsia" w:cs="宋体"/>
          <w:color w:val="auto"/>
          <w:sz w:val="21"/>
          <w:szCs w:val="21"/>
        </w:rPr>
        <w:t>第五条 双方约定</w:t>
      </w:r>
    </w:p>
    <w:p w14:paraId="1436569D">
      <w:pPr>
        <w:widowControl/>
        <w:spacing w:line="360" w:lineRule="auto"/>
        <w:ind w:firstLine="420" w:firstLineChars="200"/>
        <w:jc w:val="left"/>
        <w:rPr>
          <w:rFonts w:cs="宋体"/>
          <w:color w:val="auto"/>
          <w:sz w:val="21"/>
          <w:szCs w:val="21"/>
        </w:rPr>
      </w:pPr>
      <w:r>
        <w:rPr>
          <w:rFonts w:hint="eastAsia" w:cs="宋体"/>
          <w:color w:val="auto"/>
          <w:sz w:val="21"/>
          <w:szCs w:val="21"/>
        </w:rPr>
        <w:t>本协议由双方或双方上级单位负责监督。可由甲方或甲方上级单位的纪检监察部门约请乙方或乙方上级单位的纪检监察部门对本协议履行情况进行检查，提出在本协议规定范围内的裁定意见。</w:t>
      </w:r>
    </w:p>
    <w:p w14:paraId="73EFBAAD">
      <w:pPr>
        <w:widowControl/>
        <w:spacing w:line="360" w:lineRule="auto"/>
        <w:ind w:firstLine="420" w:firstLineChars="200"/>
        <w:jc w:val="left"/>
        <w:rPr>
          <w:rFonts w:cs="宋体"/>
          <w:color w:val="auto"/>
          <w:sz w:val="21"/>
          <w:szCs w:val="21"/>
        </w:rPr>
      </w:pPr>
      <w:r>
        <w:rPr>
          <w:rFonts w:hint="eastAsia" w:cs="宋体"/>
          <w:color w:val="auto"/>
          <w:sz w:val="21"/>
          <w:szCs w:val="21"/>
        </w:rPr>
        <w:t xml:space="preserve">第六条  本协议有效期为甲乙双方签署之日起至合同终止。  </w:t>
      </w:r>
    </w:p>
    <w:p w14:paraId="745128FE">
      <w:pPr>
        <w:widowControl/>
        <w:spacing w:line="360" w:lineRule="auto"/>
        <w:ind w:firstLine="420" w:firstLineChars="200"/>
        <w:jc w:val="left"/>
        <w:rPr>
          <w:rFonts w:cs="宋体"/>
          <w:color w:val="auto"/>
          <w:sz w:val="21"/>
          <w:szCs w:val="21"/>
        </w:rPr>
      </w:pPr>
      <w:r>
        <w:rPr>
          <w:rFonts w:hint="eastAsia" w:cs="宋体"/>
          <w:color w:val="auto"/>
          <w:sz w:val="21"/>
          <w:szCs w:val="21"/>
        </w:rPr>
        <w:t>第七条  本协议作为合同的附件，与本合同具有同等法律效力。</w:t>
      </w:r>
    </w:p>
    <w:p w14:paraId="1693ABB6">
      <w:pPr>
        <w:widowControl/>
        <w:spacing w:line="360" w:lineRule="auto"/>
        <w:ind w:firstLine="420" w:firstLineChars="200"/>
        <w:jc w:val="left"/>
        <w:rPr>
          <w:rFonts w:cs="宋体"/>
          <w:color w:val="auto"/>
          <w:sz w:val="21"/>
          <w:szCs w:val="21"/>
        </w:rPr>
      </w:pPr>
      <w:r>
        <w:rPr>
          <w:rFonts w:hint="eastAsia" w:cs="宋体"/>
          <w:color w:val="auto"/>
          <w:sz w:val="21"/>
          <w:szCs w:val="21"/>
        </w:rPr>
        <w:t xml:space="preserve"> </w:t>
      </w:r>
    </w:p>
    <w:p w14:paraId="5F142904">
      <w:pPr>
        <w:widowControl/>
        <w:spacing w:line="360" w:lineRule="auto"/>
        <w:ind w:firstLine="420" w:firstLineChars="200"/>
        <w:jc w:val="left"/>
        <w:rPr>
          <w:rFonts w:cs="宋体"/>
          <w:color w:val="auto"/>
          <w:sz w:val="21"/>
          <w:szCs w:val="21"/>
        </w:rPr>
      </w:pPr>
      <w:r>
        <w:rPr>
          <w:rFonts w:hint="eastAsia" w:cs="宋体"/>
          <w:color w:val="auto"/>
          <w:sz w:val="21"/>
          <w:szCs w:val="21"/>
        </w:rPr>
        <w:t xml:space="preserve">甲方（盖章）： </w:t>
      </w:r>
      <w:r>
        <w:rPr>
          <w:rFonts w:hint="eastAsia" w:cs="宋体"/>
          <w:color w:val="auto"/>
          <w:sz w:val="21"/>
          <w:szCs w:val="21"/>
          <w:u w:val="single"/>
        </w:rPr>
        <w:t xml:space="preserve">                  </w:t>
      </w:r>
      <w:r>
        <w:rPr>
          <w:rFonts w:hint="eastAsia" w:cs="宋体"/>
          <w:color w:val="auto"/>
          <w:sz w:val="21"/>
          <w:szCs w:val="21"/>
        </w:rPr>
        <w:t xml:space="preserve">     乙方（盖章）：</w:t>
      </w:r>
      <w:r>
        <w:rPr>
          <w:rFonts w:hint="eastAsia" w:cs="宋体"/>
          <w:color w:val="auto"/>
          <w:sz w:val="21"/>
          <w:szCs w:val="21"/>
          <w:u w:val="single"/>
        </w:rPr>
        <w:t xml:space="preserve">             </w:t>
      </w:r>
    </w:p>
    <w:p w14:paraId="0879B9BF">
      <w:pPr>
        <w:widowControl/>
        <w:spacing w:line="360" w:lineRule="auto"/>
        <w:ind w:firstLine="420" w:firstLineChars="200"/>
        <w:jc w:val="left"/>
        <w:rPr>
          <w:rFonts w:cs="宋体"/>
          <w:color w:val="auto"/>
          <w:sz w:val="21"/>
          <w:szCs w:val="21"/>
        </w:rPr>
      </w:pPr>
      <w:r>
        <w:rPr>
          <w:rFonts w:hint="eastAsia" w:cs="宋体"/>
          <w:color w:val="auto"/>
          <w:sz w:val="21"/>
          <w:szCs w:val="21"/>
        </w:rPr>
        <w:t>法定代表人或                          法定代表人或</w:t>
      </w:r>
    </w:p>
    <w:p w14:paraId="594F2366">
      <w:pPr>
        <w:widowControl/>
        <w:spacing w:line="360" w:lineRule="auto"/>
        <w:ind w:firstLine="420" w:firstLineChars="200"/>
        <w:jc w:val="left"/>
        <w:rPr>
          <w:rFonts w:cs="宋体"/>
          <w:color w:val="auto"/>
          <w:sz w:val="21"/>
          <w:szCs w:val="21"/>
        </w:rPr>
      </w:pPr>
      <w:r>
        <w:rPr>
          <w:rFonts w:hint="eastAsia" w:cs="宋体"/>
          <w:color w:val="auto"/>
          <w:sz w:val="21"/>
          <w:szCs w:val="21"/>
        </w:rPr>
        <w:t>授权代表：</w:t>
      </w:r>
      <w:r>
        <w:rPr>
          <w:rFonts w:hint="eastAsia" w:cs="宋体"/>
          <w:color w:val="auto"/>
          <w:sz w:val="21"/>
          <w:szCs w:val="21"/>
          <w:u w:val="single"/>
        </w:rPr>
        <w:t xml:space="preserve">              </w:t>
      </w:r>
      <w:r>
        <w:rPr>
          <w:rFonts w:hint="eastAsia" w:cs="宋体"/>
          <w:color w:val="auto"/>
          <w:sz w:val="21"/>
          <w:szCs w:val="21"/>
        </w:rPr>
        <w:t>(职务)         授权代表：</w:t>
      </w:r>
      <w:r>
        <w:rPr>
          <w:rFonts w:hint="eastAsia" w:cs="宋体"/>
          <w:color w:val="auto"/>
          <w:sz w:val="21"/>
          <w:szCs w:val="21"/>
          <w:u w:val="single"/>
        </w:rPr>
        <w:t xml:space="preserve">             </w:t>
      </w:r>
      <w:r>
        <w:rPr>
          <w:rFonts w:hint="eastAsia" w:cs="宋体"/>
          <w:color w:val="auto"/>
          <w:sz w:val="21"/>
          <w:szCs w:val="21"/>
        </w:rPr>
        <w:t>(职务)</w:t>
      </w:r>
    </w:p>
    <w:p w14:paraId="7CE37340">
      <w:pPr>
        <w:widowControl/>
        <w:spacing w:line="360" w:lineRule="auto"/>
        <w:ind w:firstLine="420" w:firstLineChars="200"/>
        <w:jc w:val="left"/>
        <w:rPr>
          <w:rFonts w:cs="宋体"/>
          <w:color w:val="auto"/>
          <w:sz w:val="21"/>
          <w:szCs w:val="21"/>
        </w:rPr>
      </w:pPr>
      <w:r>
        <w:rPr>
          <w:rFonts w:hint="eastAsia" w:cs="宋体"/>
          <w:color w:val="auto"/>
          <w:sz w:val="21"/>
          <w:szCs w:val="21"/>
        </w:rPr>
        <w:t>姓名：</w:t>
      </w:r>
      <w:r>
        <w:rPr>
          <w:rFonts w:hint="eastAsia" w:cs="宋体"/>
          <w:color w:val="auto"/>
          <w:sz w:val="21"/>
          <w:szCs w:val="21"/>
          <w:u w:val="single"/>
        </w:rPr>
        <w:t xml:space="preserve">             </w:t>
      </w:r>
      <w:r>
        <w:rPr>
          <w:rFonts w:hint="eastAsia" w:cs="宋体"/>
          <w:color w:val="auto"/>
          <w:sz w:val="21"/>
          <w:szCs w:val="21"/>
        </w:rPr>
        <w:t xml:space="preserve">                   姓名：</w:t>
      </w:r>
      <w:r>
        <w:rPr>
          <w:rFonts w:hint="eastAsia" w:cs="宋体"/>
          <w:color w:val="auto"/>
          <w:sz w:val="21"/>
          <w:szCs w:val="21"/>
          <w:u w:val="single"/>
        </w:rPr>
        <w:t xml:space="preserve">             </w:t>
      </w:r>
    </w:p>
    <w:p w14:paraId="564086E4">
      <w:pPr>
        <w:widowControl/>
        <w:spacing w:line="360" w:lineRule="auto"/>
        <w:ind w:firstLine="420" w:firstLineChars="200"/>
        <w:jc w:val="left"/>
        <w:rPr>
          <w:rFonts w:cs="宋体"/>
          <w:color w:val="auto"/>
          <w:sz w:val="21"/>
          <w:szCs w:val="21"/>
        </w:rPr>
      </w:pPr>
      <w:r>
        <w:rPr>
          <w:rFonts w:hint="eastAsia" w:cs="宋体"/>
          <w:color w:val="auto"/>
          <w:sz w:val="21"/>
          <w:szCs w:val="21"/>
        </w:rPr>
        <w:t>签字：</w:t>
      </w:r>
      <w:r>
        <w:rPr>
          <w:rFonts w:hint="eastAsia" w:cs="宋体"/>
          <w:color w:val="auto"/>
          <w:sz w:val="21"/>
          <w:szCs w:val="21"/>
          <w:u w:val="single"/>
        </w:rPr>
        <w:t xml:space="preserve">             </w:t>
      </w:r>
      <w:r>
        <w:rPr>
          <w:rFonts w:hint="eastAsia" w:cs="宋体"/>
          <w:color w:val="auto"/>
          <w:sz w:val="21"/>
          <w:szCs w:val="21"/>
        </w:rPr>
        <w:t xml:space="preserve">                   签字：</w:t>
      </w:r>
      <w:r>
        <w:rPr>
          <w:rFonts w:hint="eastAsia" w:cs="宋体"/>
          <w:color w:val="auto"/>
          <w:sz w:val="21"/>
          <w:szCs w:val="21"/>
          <w:u w:val="single"/>
        </w:rPr>
        <w:t xml:space="preserve">             </w:t>
      </w:r>
    </w:p>
    <w:p w14:paraId="637FCF98">
      <w:pPr>
        <w:widowControl/>
        <w:spacing w:line="360" w:lineRule="auto"/>
        <w:ind w:firstLine="420" w:firstLineChars="200"/>
        <w:jc w:val="left"/>
        <w:rPr>
          <w:rFonts w:cs="宋体"/>
          <w:color w:val="auto"/>
          <w:sz w:val="21"/>
          <w:szCs w:val="21"/>
        </w:rPr>
      </w:pPr>
    </w:p>
    <w:p w14:paraId="4FDED72B">
      <w:pPr>
        <w:widowControl/>
        <w:spacing w:line="360" w:lineRule="auto"/>
        <w:ind w:firstLine="420" w:firstLineChars="200"/>
        <w:jc w:val="left"/>
        <w:rPr>
          <w:rFonts w:cs="宋体"/>
          <w:color w:val="auto"/>
          <w:sz w:val="21"/>
          <w:szCs w:val="21"/>
        </w:rPr>
      </w:pPr>
      <w:r>
        <w:rPr>
          <w:rFonts w:hint="eastAsia" w:cs="宋体"/>
          <w:color w:val="auto"/>
          <w:sz w:val="21"/>
          <w:szCs w:val="21"/>
        </w:rPr>
        <w:t>廉政监督联系人                        廉政监督联系人</w:t>
      </w:r>
    </w:p>
    <w:p w14:paraId="370B3905">
      <w:pPr>
        <w:widowControl/>
        <w:spacing w:line="360" w:lineRule="auto"/>
        <w:ind w:firstLine="420" w:firstLineChars="200"/>
        <w:jc w:val="left"/>
        <w:rPr>
          <w:rFonts w:cs="宋体"/>
          <w:color w:val="auto"/>
          <w:sz w:val="21"/>
          <w:szCs w:val="21"/>
        </w:rPr>
      </w:pPr>
      <w:r>
        <w:rPr>
          <w:rFonts w:hint="eastAsia" w:cs="宋体"/>
          <w:color w:val="auto"/>
          <w:sz w:val="21"/>
          <w:szCs w:val="21"/>
        </w:rPr>
        <w:t>姓名：</w:t>
      </w:r>
      <w:r>
        <w:rPr>
          <w:rFonts w:hint="eastAsia" w:cs="宋体"/>
          <w:color w:val="auto"/>
          <w:sz w:val="21"/>
          <w:szCs w:val="21"/>
          <w:u w:val="single"/>
        </w:rPr>
        <w:t xml:space="preserve">                       </w:t>
      </w:r>
      <w:r>
        <w:rPr>
          <w:rFonts w:hint="eastAsia" w:cs="宋体"/>
          <w:color w:val="auto"/>
          <w:sz w:val="21"/>
          <w:szCs w:val="21"/>
        </w:rPr>
        <w:t xml:space="preserve">         姓名：</w:t>
      </w:r>
      <w:r>
        <w:rPr>
          <w:rFonts w:hint="eastAsia" w:cs="宋体"/>
          <w:color w:val="auto"/>
          <w:sz w:val="21"/>
          <w:szCs w:val="21"/>
          <w:u w:val="single"/>
        </w:rPr>
        <w:t xml:space="preserve">                     </w:t>
      </w:r>
    </w:p>
    <w:p w14:paraId="7306FF27">
      <w:pPr>
        <w:widowControl/>
        <w:spacing w:line="360" w:lineRule="auto"/>
        <w:ind w:firstLine="420" w:firstLineChars="200"/>
        <w:jc w:val="left"/>
        <w:rPr>
          <w:rFonts w:cs="宋体"/>
          <w:color w:val="auto"/>
          <w:sz w:val="21"/>
          <w:szCs w:val="21"/>
        </w:rPr>
      </w:pPr>
      <w:r>
        <w:rPr>
          <w:rFonts w:hint="eastAsia" w:cs="宋体"/>
          <w:color w:val="auto"/>
          <w:sz w:val="21"/>
          <w:szCs w:val="21"/>
        </w:rPr>
        <w:t>签字：</w:t>
      </w:r>
      <w:r>
        <w:rPr>
          <w:rFonts w:hint="eastAsia" w:cs="宋体"/>
          <w:color w:val="auto"/>
          <w:sz w:val="21"/>
          <w:szCs w:val="21"/>
          <w:u w:val="single"/>
        </w:rPr>
        <w:t xml:space="preserve">                       </w:t>
      </w:r>
      <w:r>
        <w:rPr>
          <w:rFonts w:hint="eastAsia" w:cs="宋体"/>
          <w:color w:val="auto"/>
          <w:sz w:val="21"/>
          <w:szCs w:val="21"/>
        </w:rPr>
        <w:t xml:space="preserve">         签字：</w:t>
      </w:r>
      <w:r>
        <w:rPr>
          <w:rFonts w:hint="eastAsia" w:cs="宋体"/>
          <w:color w:val="auto"/>
          <w:sz w:val="21"/>
          <w:szCs w:val="21"/>
          <w:u w:val="single"/>
        </w:rPr>
        <w:t xml:space="preserve">                     </w:t>
      </w:r>
    </w:p>
    <w:p w14:paraId="412569B8">
      <w:pPr>
        <w:widowControl/>
        <w:spacing w:line="360" w:lineRule="auto"/>
        <w:ind w:firstLine="420" w:firstLineChars="200"/>
        <w:jc w:val="left"/>
        <w:rPr>
          <w:rFonts w:cs="宋体"/>
          <w:color w:val="auto"/>
          <w:sz w:val="21"/>
          <w:szCs w:val="21"/>
        </w:rPr>
      </w:pPr>
      <w:r>
        <w:rPr>
          <w:rFonts w:hint="eastAsia" w:cs="宋体"/>
          <w:color w:val="auto"/>
          <w:sz w:val="21"/>
          <w:szCs w:val="21"/>
        </w:rPr>
        <w:t>电话：</w:t>
      </w:r>
      <w:r>
        <w:rPr>
          <w:rFonts w:hint="eastAsia" w:cs="宋体"/>
          <w:color w:val="auto"/>
          <w:sz w:val="21"/>
          <w:szCs w:val="21"/>
          <w:u w:val="single"/>
        </w:rPr>
        <w:t xml:space="preserve">                       </w:t>
      </w:r>
      <w:r>
        <w:rPr>
          <w:rFonts w:hint="eastAsia" w:cs="宋体"/>
          <w:color w:val="auto"/>
          <w:sz w:val="21"/>
          <w:szCs w:val="21"/>
        </w:rPr>
        <w:t xml:space="preserve">         电话：</w:t>
      </w:r>
      <w:r>
        <w:rPr>
          <w:rFonts w:hint="eastAsia" w:cs="宋体"/>
          <w:color w:val="auto"/>
          <w:sz w:val="21"/>
          <w:szCs w:val="21"/>
          <w:u w:val="single"/>
        </w:rPr>
        <w:t xml:space="preserve">                     </w:t>
      </w:r>
    </w:p>
    <w:p w14:paraId="248282A7">
      <w:pPr>
        <w:widowControl/>
        <w:spacing w:line="360" w:lineRule="auto"/>
        <w:ind w:firstLine="420" w:firstLineChars="200"/>
        <w:jc w:val="left"/>
        <w:rPr>
          <w:rFonts w:cs="宋体"/>
          <w:color w:val="auto"/>
          <w:sz w:val="21"/>
          <w:szCs w:val="21"/>
        </w:rPr>
      </w:pPr>
      <w:r>
        <w:rPr>
          <w:rFonts w:hint="eastAsia" w:cs="宋体"/>
          <w:color w:val="auto"/>
          <w:sz w:val="21"/>
          <w:szCs w:val="21"/>
        </w:rPr>
        <w:t>地址：</w:t>
      </w:r>
      <w:r>
        <w:rPr>
          <w:rFonts w:hint="eastAsia" w:cs="宋体"/>
          <w:color w:val="auto"/>
          <w:sz w:val="21"/>
          <w:szCs w:val="21"/>
          <w:u w:val="single"/>
        </w:rPr>
        <w:t xml:space="preserve">                       </w:t>
      </w:r>
      <w:r>
        <w:rPr>
          <w:rFonts w:hint="eastAsia" w:cs="宋体"/>
          <w:color w:val="auto"/>
          <w:sz w:val="21"/>
          <w:szCs w:val="21"/>
        </w:rPr>
        <w:t xml:space="preserve">         地址：</w:t>
      </w:r>
      <w:r>
        <w:rPr>
          <w:rFonts w:hint="eastAsia" w:cs="宋体"/>
          <w:color w:val="auto"/>
          <w:sz w:val="21"/>
          <w:szCs w:val="21"/>
          <w:u w:val="single"/>
        </w:rPr>
        <w:t xml:space="preserve">                     </w:t>
      </w:r>
    </w:p>
    <w:p w14:paraId="1142D051">
      <w:pPr>
        <w:widowControl/>
        <w:spacing w:line="360" w:lineRule="auto"/>
        <w:ind w:firstLine="420" w:firstLineChars="200"/>
        <w:jc w:val="left"/>
        <w:rPr>
          <w:rFonts w:cs="宋体"/>
          <w:color w:val="auto"/>
          <w:sz w:val="21"/>
          <w:szCs w:val="21"/>
        </w:rPr>
      </w:pPr>
      <w:r>
        <w:rPr>
          <w:rFonts w:hint="eastAsia" w:cs="宋体"/>
          <w:color w:val="auto"/>
          <w:sz w:val="21"/>
          <w:szCs w:val="21"/>
        </w:rPr>
        <w:t>日期：</w:t>
      </w:r>
      <w:r>
        <w:rPr>
          <w:rFonts w:hint="eastAsia" w:cs="宋体"/>
          <w:color w:val="auto"/>
          <w:sz w:val="21"/>
          <w:szCs w:val="21"/>
          <w:u w:val="single"/>
        </w:rPr>
        <w:t xml:space="preserve">                       </w:t>
      </w:r>
      <w:r>
        <w:rPr>
          <w:rFonts w:hint="eastAsia" w:cs="宋体"/>
          <w:color w:val="auto"/>
          <w:sz w:val="21"/>
          <w:szCs w:val="21"/>
        </w:rPr>
        <w:t xml:space="preserve">         日期：</w:t>
      </w:r>
      <w:r>
        <w:rPr>
          <w:rFonts w:hint="eastAsia" w:cs="宋体"/>
          <w:color w:val="auto"/>
          <w:sz w:val="21"/>
          <w:szCs w:val="21"/>
          <w:u w:val="single"/>
        </w:rPr>
        <w:t xml:space="preserve">                     </w:t>
      </w:r>
    </w:p>
    <w:p w14:paraId="3D0D35C7">
      <w:pPr>
        <w:spacing w:before="312" w:beforeLines="100" w:after="312" w:afterLines="100"/>
        <w:outlineLvl w:val="2"/>
        <w:rPr>
          <w:rFonts w:ascii="Times New Roman" w:eastAsia="黑体"/>
          <w:color w:val="auto"/>
          <w:szCs w:val="24"/>
        </w:rPr>
      </w:pPr>
      <w:r>
        <w:rPr>
          <w:rFonts w:hint="eastAsia" w:ascii="Times New Roman" w:eastAsia="黑体"/>
          <w:bCs/>
          <w:color w:val="auto"/>
          <w:szCs w:val="21"/>
        </w:rPr>
        <w:br w:type="page"/>
      </w:r>
      <w:bookmarkStart w:id="652" w:name="_Toc128950244"/>
      <w:r>
        <w:rPr>
          <w:rFonts w:hint="eastAsia" w:ascii="Times New Roman" w:eastAsia="黑体"/>
          <w:color w:val="auto"/>
          <w:szCs w:val="24"/>
        </w:rPr>
        <w:t>附件9：履约保证金</w:t>
      </w:r>
      <w:bookmarkEnd w:id="652"/>
    </w:p>
    <w:p w14:paraId="7CBDD171">
      <w:pPr>
        <w:spacing w:line="360" w:lineRule="auto"/>
        <w:jc w:val="center"/>
        <w:rPr>
          <w:rFonts w:cs="宋体"/>
          <w:b/>
          <w:bCs/>
          <w:color w:val="auto"/>
          <w:sz w:val="32"/>
          <w:szCs w:val="32"/>
        </w:rPr>
      </w:pPr>
      <w:r>
        <w:rPr>
          <w:rFonts w:hint="eastAsia" w:cs="宋体"/>
          <w:b/>
          <w:bCs/>
          <w:color w:val="auto"/>
          <w:sz w:val="32"/>
          <w:szCs w:val="32"/>
        </w:rPr>
        <w:t>履约保函示范文本</w:t>
      </w:r>
    </w:p>
    <w:p w14:paraId="37249C58">
      <w:pPr>
        <w:wordWrap w:val="0"/>
        <w:spacing w:line="360" w:lineRule="auto"/>
        <w:jc w:val="right"/>
        <w:rPr>
          <w:rFonts w:ascii="Times New Roman"/>
          <w:color w:val="auto"/>
          <w:szCs w:val="21"/>
        </w:rPr>
      </w:pPr>
      <w:r>
        <w:rPr>
          <w:rFonts w:hint="eastAsia" w:ascii="Times New Roman"/>
          <w:color w:val="auto"/>
          <w:szCs w:val="21"/>
        </w:rPr>
        <w:t>编号：</w:t>
      </w:r>
      <w:r>
        <w:rPr>
          <w:rFonts w:hint="eastAsia" w:ascii="Times New Roman"/>
          <w:color w:val="auto"/>
          <w:szCs w:val="21"/>
          <w:u w:val="single"/>
        </w:rPr>
        <w:t xml:space="preserve"> </w:t>
      </w:r>
      <w:r>
        <w:rPr>
          <w:rFonts w:ascii="Times New Roman"/>
          <w:color w:val="auto"/>
          <w:szCs w:val="21"/>
          <w:u w:val="single"/>
        </w:rPr>
        <w:t xml:space="preserve">          </w:t>
      </w:r>
    </w:p>
    <w:p w14:paraId="3D1EB6E2">
      <w:pPr>
        <w:spacing w:line="360" w:lineRule="auto"/>
        <w:rPr>
          <w:rFonts w:ascii="Times New Roman"/>
          <w:color w:val="auto"/>
          <w:szCs w:val="21"/>
        </w:rPr>
      </w:pPr>
    </w:p>
    <w:p w14:paraId="11BB052E">
      <w:pPr>
        <w:spacing w:line="360" w:lineRule="auto"/>
        <w:rPr>
          <w:rFonts w:cs="宋体"/>
          <w:color w:val="auto"/>
          <w:sz w:val="21"/>
          <w:szCs w:val="21"/>
        </w:rPr>
      </w:pPr>
      <w:r>
        <w:rPr>
          <w:rFonts w:hint="eastAsia" w:cs="宋体"/>
          <w:color w:val="auto"/>
          <w:sz w:val="21"/>
          <w:szCs w:val="21"/>
          <w:u w:val="single"/>
        </w:rPr>
        <w:t xml:space="preserve">              </w:t>
      </w:r>
      <w:r>
        <w:rPr>
          <w:rFonts w:hint="eastAsia" w:cs="宋体"/>
          <w:color w:val="auto"/>
          <w:sz w:val="21"/>
          <w:szCs w:val="21"/>
        </w:rPr>
        <w:t xml:space="preserve">（受益人名称）： </w:t>
      </w:r>
    </w:p>
    <w:p w14:paraId="6F7E096A">
      <w:pPr>
        <w:spacing w:line="360" w:lineRule="auto"/>
        <w:ind w:firstLine="420" w:firstLineChars="200"/>
        <w:rPr>
          <w:rFonts w:cs="宋体"/>
          <w:color w:val="auto"/>
          <w:sz w:val="21"/>
          <w:szCs w:val="21"/>
        </w:rPr>
      </w:pPr>
      <w:r>
        <w:rPr>
          <w:rFonts w:hint="eastAsia" w:cs="宋体"/>
          <w:color w:val="auto"/>
          <w:sz w:val="21"/>
          <w:szCs w:val="21"/>
        </w:rPr>
        <w:t>鉴于</w:t>
      </w:r>
      <w:r>
        <w:rPr>
          <w:rFonts w:hint="eastAsia" w:cs="宋体"/>
          <w:color w:val="auto"/>
          <w:sz w:val="21"/>
          <w:szCs w:val="21"/>
          <w:u w:val="single"/>
        </w:rPr>
        <w:t xml:space="preserve">        </w:t>
      </w:r>
      <w:r>
        <w:rPr>
          <w:rFonts w:hint="eastAsia" w:cs="宋体"/>
          <w:color w:val="auto"/>
          <w:sz w:val="21"/>
          <w:szCs w:val="21"/>
        </w:rPr>
        <w:t>（以下简称“受益人”）与</w:t>
      </w:r>
      <w:r>
        <w:rPr>
          <w:rFonts w:hint="eastAsia" w:cs="宋体"/>
          <w:color w:val="auto"/>
          <w:sz w:val="21"/>
          <w:szCs w:val="21"/>
          <w:u w:val="single"/>
        </w:rPr>
        <w:t xml:space="preserve">         </w:t>
      </w:r>
      <w:r>
        <w:rPr>
          <w:rFonts w:hint="eastAsia" w:cs="宋体"/>
          <w:color w:val="auto"/>
          <w:sz w:val="21"/>
          <w:szCs w:val="21"/>
        </w:rPr>
        <w:t>（以下简称“申请人”）于</w:t>
      </w:r>
      <w:r>
        <w:rPr>
          <w:rFonts w:hint="eastAsia" w:cs="宋体"/>
          <w:color w:val="auto"/>
          <w:sz w:val="21"/>
          <w:szCs w:val="21"/>
          <w:u w:val="single"/>
        </w:rPr>
        <w:t xml:space="preserve">   </w:t>
      </w:r>
      <w:r>
        <w:rPr>
          <w:rFonts w:hint="eastAsia" w:cs="宋体"/>
          <w:color w:val="auto"/>
          <w:sz w:val="21"/>
          <w:szCs w:val="21"/>
        </w:rPr>
        <w:t>年</w:t>
      </w:r>
      <w:r>
        <w:rPr>
          <w:rFonts w:hint="eastAsia" w:cs="宋体"/>
          <w:color w:val="auto"/>
          <w:sz w:val="21"/>
          <w:szCs w:val="21"/>
          <w:u w:val="single"/>
        </w:rPr>
        <w:t xml:space="preserve">   </w:t>
      </w:r>
      <w:r>
        <w:rPr>
          <w:rFonts w:hint="eastAsia" w:cs="宋体"/>
          <w:color w:val="auto"/>
          <w:sz w:val="21"/>
          <w:szCs w:val="21"/>
        </w:rPr>
        <w:t>月</w:t>
      </w:r>
      <w:r>
        <w:rPr>
          <w:rFonts w:hint="eastAsia" w:cs="宋体"/>
          <w:color w:val="auto"/>
          <w:sz w:val="21"/>
          <w:szCs w:val="21"/>
          <w:u w:val="single"/>
        </w:rPr>
        <w:t xml:space="preserve">   </w:t>
      </w:r>
      <w:r>
        <w:rPr>
          <w:rFonts w:hint="eastAsia" w:cs="宋体"/>
          <w:color w:val="auto"/>
          <w:sz w:val="21"/>
          <w:szCs w:val="21"/>
        </w:rPr>
        <w:t>日就</w:t>
      </w:r>
      <w:r>
        <w:rPr>
          <w:rFonts w:hint="eastAsia" w:cs="宋体"/>
          <w:snapToGrid w:val="0"/>
          <w:color w:val="auto"/>
          <w:sz w:val="21"/>
          <w:szCs w:val="21"/>
          <w:u w:val="single"/>
        </w:rPr>
        <w:t xml:space="preserve">        </w:t>
      </w:r>
      <w:r>
        <w:rPr>
          <w:rFonts w:hint="eastAsia" w:cs="宋体"/>
          <w:snapToGrid w:val="0"/>
          <w:color w:val="auto"/>
          <w:sz w:val="21"/>
          <w:szCs w:val="21"/>
        </w:rPr>
        <w:t>（项目编号）的</w:t>
      </w:r>
      <w:r>
        <w:rPr>
          <w:rFonts w:hint="eastAsia" w:cs="宋体"/>
          <w:snapToGrid w:val="0"/>
          <w:color w:val="auto"/>
          <w:sz w:val="21"/>
          <w:szCs w:val="21"/>
          <w:u w:val="single"/>
        </w:rPr>
        <w:t xml:space="preserve">         </w:t>
      </w:r>
      <w:r>
        <w:rPr>
          <w:rFonts w:hint="eastAsia" w:cs="宋体"/>
          <w:snapToGrid w:val="0"/>
          <w:color w:val="auto"/>
          <w:sz w:val="21"/>
          <w:szCs w:val="21"/>
        </w:rPr>
        <w:t>（项目名称）</w:t>
      </w:r>
      <w:r>
        <w:rPr>
          <w:rFonts w:hint="eastAsia" w:cs="宋体"/>
          <w:color w:val="auto"/>
          <w:sz w:val="21"/>
          <w:szCs w:val="21"/>
        </w:rPr>
        <w:t>有关事项协商一致共同签订</w:t>
      </w:r>
      <w:r>
        <w:rPr>
          <w:rFonts w:hint="eastAsia" w:cs="宋体"/>
          <w:color w:val="auto"/>
          <w:sz w:val="21"/>
          <w:szCs w:val="21"/>
          <w:u w:val="single"/>
        </w:rPr>
        <w:t>《        》</w:t>
      </w:r>
      <w:r>
        <w:rPr>
          <w:rFonts w:hint="eastAsia" w:cs="宋体"/>
          <w:color w:val="auto"/>
          <w:sz w:val="21"/>
          <w:szCs w:val="21"/>
        </w:rPr>
        <w:t xml:space="preserve">（以下简称“基础合同”），开立人根据基础合同了解到申请人为基础合同项下之承包人，受益人为基础合同项下之发包人，基于申请人的请求，开立人同意就申请人履行与受益人签订的基础合同项下的义务，向受益人提供不可撤销、不可转让的见索即付独立保函（以下简称“本保函”）。 </w:t>
      </w:r>
    </w:p>
    <w:p w14:paraId="2AFD0F65">
      <w:pPr>
        <w:spacing w:line="360" w:lineRule="auto"/>
        <w:ind w:firstLine="420" w:firstLineChars="200"/>
        <w:rPr>
          <w:rFonts w:cs="宋体"/>
          <w:color w:val="auto"/>
          <w:sz w:val="21"/>
          <w:szCs w:val="21"/>
        </w:rPr>
      </w:pPr>
      <w:r>
        <w:rPr>
          <w:rFonts w:hint="eastAsia" w:cs="宋体"/>
          <w:color w:val="auto"/>
          <w:sz w:val="21"/>
          <w:szCs w:val="21"/>
        </w:rPr>
        <w:t>一、本保函担保范围：承包人未按照基础合同的约定履行义务，应当向受益人承担的违约责任和赔偿因此造成的损失、利息、律师费、诉讼费用等实现债权的费用。</w:t>
      </w:r>
    </w:p>
    <w:p w14:paraId="20818E43">
      <w:pPr>
        <w:spacing w:line="360" w:lineRule="auto"/>
        <w:ind w:firstLine="420" w:firstLineChars="200"/>
        <w:rPr>
          <w:rFonts w:cs="宋体"/>
          <w:color w:val="auto"/>
          <w:sz w:val="21"/>
          <w:szCs w:val="21"/>
        </w:rPr>
      </w:pPr>
      <w:r>
        <w:rPr>
          <w:rFonts w:hint="eastAsia" w:cs="宋体"/>
          <w:color w:val="auto"/>
          <w:sz w:val="21"/>
          <w:szCs w:val="21"/>
        </w:rPr>
        <w:t>二、本保函担保金额最高不超过人民币（大写）</w:t>
      </w:r>
      <w:r>
        <w:rPr>
          <w:rFonts w:hint="eastAsia" w:cs="宋体"/>
          <w:color w:val="auto"/>
          <w:sz w:val="21"/>
          <w:szCs w:val="21"/>
          <w:u w:val="single"/>
        </w:rPr>
        <w:t xml:space="preserve">          </w:t>
      </w:r>
      <w:r>
        <w:rPr>
          <w:rFonts w:hint="eastAsia" w:cs="宋体"/>
          <w:color w:val="auto"/>
          <w:sz w:val="21"/>
          <w:szCs w:val="21"/>
        </w:rPr>
        <w:t>元（¥</w:t>
      </w:r>
      <w:r>
        <w:rPr>
          <w:rFonts w:hint="eastAsia" w:cs="宋体"/>
          <w:color w:val="auto"/>
          <w:sz w:val="21"/>
          <w:szCs w:val="21"/>
          <w:u w:val="single"/>
        </w:rPr>
        <w:t xml:space="preserve">       </w:t>
      </w:r>
      <w:r>
        <w:rPr>
          <w:rFonts w:hint="eastAsia" w:cs="宋体"/>
          <w:color w:val="auto"/>
          <w:sz w:val="21"/>
          <w:szCs w:val="21"/>
        </w:rPr>
        <w:t xml:space="preserve">）。 </w:t>
      </w:r>
    </w:p>
    <w:p w14:paraId="5699DED7">
      <w:pPr>
        <w:spacing w:line="360" w:lineRule="auto"/>
        <w:ind w:firstLine="420" w:firstLineChars="200"/>
        <w:rPr>
          <w:rFonts w:cs="宋体"/>
          <w:color w:val="auto"/>
          <w:sz w:val="21"/>
          <w:szCs w:val="21"/>
        </w:rPr>
      </w:pPr>
      <w:r>
        <w:rPr>
          <w:rFonts w:hint="eastAsia" w:cs="宋体"/>
          <w:color w:val="auto"/>
          <w:sz w:val="21"/>
          <w:szCs w:val="21"/>
        </w:rPr>
        <w:t xml:space="preserve">三、本保函有效期自开立之日起至基础合同约定的缺陷责任期满之日止。 </w:t>
      </w:r>
    </w:p>
    <w:p w14:paraId="3485708B">
      <w:pPr>
        <w:spacing w:line="360" w:lineRule="auto"/>
        <w:ind w:firstLine="480"/>
        <w:rPr>
          <w:rFonts w:cs="宋体"/>
          <w:color w:val="auto"/>
          <w:sz w:val="21"/>
          <w:szCs w:val="21"/>
        </w:rPr>
      </w:pPr>
      <w:bookmarkStart w:id="653" w:name="_Hlk40302764"/>
      <w:r>
        <w:rPr>
          <w:rFonts w:hint="eastAsia" w:cs="宋体"/>
          <w:color w:val="auto"/>
          <w:sz w:val="21"/>
          <w:szCs w:val="21"/>
        </w:rPr>
        <w:t>四、开立人承诺，在收到受益人发来的书面付款通知后的七日内无条件支付，前述书面付款通知即为付款要求之单据，且应满足以下要求：</w:t>
      </w:r>
    </w:p>
    <w:bookmarkEnd w:id="653"/>
    <w:p w14:paraId="09A8D627">
      <w:pPr>
        <w:spacing w:line="360" w:lineRule="auto"/>
        <w:ind w:firstLine="420" w:firstLineChars="200"/>
        <w:rPr>
          <w:rFonts w:cs="宋体"/>
          <w:color w:val="auto"/>
          <w:sz w:val="21"/>
          <w:szCs w:val="21"/>
        </w:rPr>
      </w:pPr>
      <w:r>
        <w:rPr>
          <w:rFonts w:hint="eastAsia" w:cs="宋体"/>
          <w:color w:val="auto"/>
          <w:sz w:val="21"/>
          <w:szCs w:val="21"/>
        </w:rPr>
        <w:t>（1）付款通知到达的日期在本保函的有效期内；</w:t>
      </w:r>
    </w:p>
    <w:p w14:paraId="23B8D17D">
      <w:pPr>
        <w:spacing w:line="360" w:lineRule="auto"/>
        <w:ind w:firstLine="420" w:firstLineChars="200"/>
        <w:rPr>
          <w:rFonts w:cs="宋体"/>
          <w:color w:val="auto"/>
          <w:sz w:val="21"/>
          <w:szCs w:val="21"/>
        </w:rPr>
      </w:pPr>
      <w:r>
        <w:rPr>
          <w:rFonts w:hint="eastAsia" w:cs="宋体"/>
          <w:color w:val="auto"/>
          <w:sz w:val="21"/>
          <w:szCs w:val="21"/>
        </w:rPr>
        <w:t>（2）载明要求支付的金额；</w:t>
      </w:r>
    </w:p>
    <w:p w14:paraId="2B98CAFF">
      <w:pPr>
        <w:spacing w:line="360" w:lineRule="auto"/>
        <w:ind w:firstLine="420" w:firstLineChars="200"/>
        <w:rPr>
          <w:rFonts w:cs="宋体"/>
          <w:color w:val="auto"/>
          <w:sz w:val="21"/>
          <w:szCs w:val="21"/>
        </w:rPr>
      </w:pPr>
      <w:r>
        <w:rPr>
          <w:rFonts w:hint="eastAsia" w:cs="宋体"/>
          <w:color w:val="auto"/>
          <w:sz w:val="21"/>
          <w:szCs w:val="21"/>
        </w:rPr>
        <w:t>（3）载明申请人违反合同义务的条款和内容；</w:t>
      </w:r>
    </w:p>
    <w:p w14:paraId="57830D3F">
      <w:pPr>
        <w:spacing w:line="360" w:lineRule="auto"/>
        <w:ind w:firstLine="420" w:firstLineChars="200"/>
        <w:rPr>
          <w:rFonts w:cs="宋体"/>
          <w:color w:val="auto"/>
          <w:sz w:val="21"/>
          <w:szCs w:val="21"/>
        </w:rPr>
      </w:pPr>
      <w:r>
        <w:rPr>
          <w:rFonts w:hint="eastAsia" w:cs="宋体"/>
          <w:color w:val="auto"/>
          <w:sz w:val="21"/>
          <w:szCs w:val="21"/>
        </w:rPr>
        <w:t>（4）声明不存在合同文件约定或我国法律规定免除申请人或开立人支付责任的情形；</w:t>
      </w:r>
    </w:p>
    <w:p w14:paraId="25B35C9F">
      <w:pPr>
        <w:spacing w:line="360" w:lineRule="auto"/>
        <w:ind w:firstLine="420" w:firstLineChars="200"/>
        <w:rPr>
          <w:rFonts w:cs="宋体"/>
          <w:color w:val="auto"/>
          <w:sz w:val="21"/>
          <w:szCs w:val="21"/>
        </w:rPr>
      </w:pPr>
      <w:r>
        <w:rPr>
          <w:rFonts w:hint="eastAsia" w:cs="宋体"/>
          <w:color w:val="auto"/>
          <w:sz w:val="21"/>
          <w:szCs w:val="21"/>
        </w:rPr>
        <w:t>（5）付款通知应在本保函有效期内到达的地址是：</w:t>
      </w:r>
      <w:r>
        <w:rPr>
          <w:rFonts w:hint="eastAsia" w:cs="宋体"/>
          <w:color w:val="auto"/>
          <w:sz w:val="21"/>
          <w:szCs w:val="21"/>
          <w:u w:val="single"/>
        </w:rPr>
        <w:t xml:space="preserve">             </w:t>
      </w:r>
      <w:r>
        <w:rPr>
          <w:rFonts w:hint="eastAsia" w:cs="宋体"/>
          <w:color w:val="auto"/>
          <w:sz w:val="21"/>
          <w:szCs w:val="21"/>
        </w:rPr>
        <w:t>。</w:t>
      </w:r>
    </w:p>
    <w:p w14:paraId="50E095F4">
      <w:pPr>
        <w:spacing w:line="360" w:lineRule="auto"/>
        <w:ind w:firstLine="420" w:firstLineChars="200"/>
        <w:rPr>
          <w:rFonts w:cs="宋体"/>
          <w:color w:val="auto"/>
          <w:sz w:val="21"/>
          <w:szCs w:val="21"/>
        </w:rPr>
      </w:pPr>
      <w:bookmarkStart w:id="654" w:name="_Hlk40303486"/>
      <w:r>
        <w:rPr>
          <w:rFonts w:hint="eastAsia" w:cs="宋体"/>
          <w:color w:val="auto"/>
          <w:sz w:val="21"/>
          <w:szCs w:val="21"/>
        </w:rPr>
        <w:t>受益人发出的书面付款通知应由其法定代表人（负责人）或授权代理人签字并加盖公章。</w:t>
      </w:r>
      <w:bookmarkEnd w:id="654"/>
    </w:p>
    <w:p w14:paraId="51BBB97E">
      <w:pPr>
        <w:spacing w:line="360" w:lineRule="auto"/>
        <w:ind w:firstLine="420" w:firstLineChars="200"/>
        <w:rPr>
          <w:rFonts w:cs="宋体"/>
          <w:color w:val="auto"/>
          <w:sz w:val="21"/>
          <w:szCs w:val="21"/>
        </w:rPr>
      </w:pPr>
      <w:r>
        <w:rPr>
          <w:rFonts w:hint="eastAsia" w:cs="宋体"/>
          <w:color w:val="auto"/>
          <w:sz w:val="21"/>
          <w:szCs w:val="21"/>
        </w:rPr>
        <w:t xml:space="preserve">五、本保函项下的权利不得转让，不得设定担保。受益人未经我方书面同意转 让本保函或其项下任何权利，对我方不发生法律效力。 </w:t>
      </w:r>
    </w:p>
    <w:p w14:paraId="6089BCC1">
      <w:pPr>
        <w:spacing w:line="360" w:lineRule="auto"/>
        <w:ind w:firstLine="420" w:firstLineChars="200"/>
        <w:rPr>
          <w:rFonts w:cs="宋体"/>
          <w:color w:val="auto"/>
          <w:sz w:val="21"/>
          <w:szCs w:val="21"/>
        </w:rPr>
      </w:pPr>
      <w:r>
        <w:rPr>
          <w:rFonts w:hint="eastAsia" w:cs="宋体"/>
          <w:color w:val="auto"/>
          <w:sz w:val="21"/>
          <w:szCs w:val="21"/>
        </w:rPr>
        <w:t xml:space="preserve">六、与本保函有关的基础合同不成立、不生效、无效、被撤销、被解除，不影响本保函的独立有效。 </w:t>
      </w:r>
    </w:p>
    <w:p w14:paraId="1818D12F">
      <w:pPr>
        <w:spacing w:line="360" w:lineRule="auto"/>
        <w:ind w:firstLine="420" w:firstLineChars="200"/>
        <w:rPr>
          <w:rFonts w:cs="宋体"/>
          <w:color w:val="auto"/>
          <w:sz w:val="21"/>
          <w:szCs w:val="21"/>
        </w:rPr>
      </w:pPr>
      <w:bookmarkStart w:id="655" w:name="_Hlk40303383"/>
      <w:bookmarkStart w:id="656" w:name="_Hlk40354981"/>
      <w:r>
        <w:rPr>
          <w:rFonts w:hint="eastAsia" w:cs="宋体"/>
          <w:color w:val="auto"/>
          <w:sz w:val="21"/>
          <w:szCs w:val="21"/>
        </w:rPr>
        <w:t xml:space="preserve">七、本保函项下的义务和责任均在保函有效期到期后自动消灭。 </w:t>
      </w:r>
    </w:p>
    <w:p w14:paraId="564A663A">
      <w:pPr>
        <w:spacing w:line="360" w:lineRule="auto"/>
        <w:ind w:firstLine="420" w:firstLineChars="200"/>
        <w:rPr>
          <w:rFonts w:cs="宋体"/>
          <w:color w:val="auto"/>
          <w:sz w:val="21"/>
          <w:szCs w:val="21"/>
        </w:rPr>
      </w:pPr>
      <w:r>
        <w:rPr>
          <w:rFonts w:hint="eastAsia" w:cs="宋体"/>
          <w:color w:val="auto"/>
          <w:sz w:val="21"/>
          <w:szCs w:val="21"/>
        </w:rPr>
        <w:t>八、本保函适用的法律为中华人民共和国法律，因本保函产生的纠纷案件，</w:t>
      </w:r>
      <w:bookmarkEnd w:id="655"/>
      <w:r>
        <w:rPr>
          <w:rFonts w:hint="eastAsia" w:cs="宋体"/>
          <w:color w:val="auto"/>
          <w:sz w:val="21"/>
          <w:szCs w:val="21"/>
        </w:rPr>
        <w:t xml:space="preserve">由受益人所在地人民法院管辖。 </w:t>
      </w:r>
    </w:p>
    <w:bookmarkEnd w:id="656"/>
    <w:p w14:paraId="50646A67">
      <w:pPr>
        <w:spacing w:line="360" w:lineRule="auto"/>
        <w:ind w:firstLine="420" w:firstLineChars="200"/>
        <w:rPr>
          <w:rFonts w:cs="宋体"/>
          <w:color w:val="auto"/>
          <w:sz w:val="21"/>
          <w:szCs w:val="21"/>
        </w:rPr>
      </w:pPr>
      <w:r>
        <w:rPr>
          <w:rFonts w:hint="eastAsia" w:cs="宋体"/>
          <w:color w:val="auto"/>
          <w:sz w:val="21"/>
          <w:szCs w:val="21"/>
        </w:rPr>
        <w:t xml:space="preserve">九、本保函自我方法定代表人或授权代表签字并加盖公章之日起生效。 </w:t>
      </w:r>
    </w:p>
    <w:p w14:paraId="16AB8E0F">
      <w:pPr>
        <w:spacing w:line="360" w:lineRule="auto"/>
        <w:ind w:firstLine="420" w:firstLineChars="200"/>
        <w:rPr>
          <w:rFonts w:cs="宋体"/>
          <w:color w:val="auto"/>
          <w:sz w:val="21"/>
          <w:szCs w:val="21"/>
        </w:rPr>
      </w:pPr>
    </w:p>
    <w:p w14:paraId="6E73AEFF">
      <w:pPr>
        <w:spacing w:line="360" w:lineRule="auto"/>
        <w:ind w:firstLine="420" w:firstLineChars="200"/>
        <w:rPr>
          <w:rFonts w:cs="宋体"/>
          <w:color w:val="auto"/>
          <w:sz w:val="21"/>
          <w:szCs w:val="21"/>
        </w:rPr>
      </w:pPr>
    </w:p>
    <w:p w14:paraId="0BC192A7">
      <w:pPr>
        <w:spacing w:line="360" w:lineRule="auto"/>
        <w:ind w:firstLine="420" w:firstLineChars="200"/>
        <w:rPr>
          <w:rFonts w:cs="宋体"/>
          <w:color w:val="auto"/>
          <w:sz w:val="21"/>
          <w:szCs w:val="21"/>
        </w:rPr>
      </w:pPr>
    </w:p>
    <w:p w14:paraId="132B005F">
      <w:pPr>
        <w:spacing w:line="360" w:lineRule="auto"/>
        <w:ind w:firstLine="420" w:firstLineChars="200"/>
        <w:rPr>
          <w:rFonts w:cs="宋体"/>
          <w:color w:val="auto"/>
          <w:sz w:val="21"/>
          <w:szCs w:val="21"/>
        </w:rPr>
      </w:pPr>
      <w:r>
        <w:rPr>
          <w:rFonts w:hint="eastAsia" w:cs="宋体"/>
          <w:color w:val="auto"/>
          <w:sz w:val="21"/>
          <w:szCs w:val="21"/>
        </w:rPr>
        <w:t>开 立 人：</w:t>
      </w:r>
      <w:r>
        <w:rPr>
          <w:rFonts w:hint="eastAsia" w:cs="宋体"/>
          <w:color w:val="auto"/>
          <w:sz w:val="21"/>
          <w:szCs w:val="21"/>
          <w:u w:val="single"/>
        </w:rPr>
        <w:t xml:space="preserve">                              </w:t>
      </w:r>
      <w:r>
        <w:rPr>
          <w:rFonts w:hint="eastAsia" w:cs="宋体"/>
          <w:color w:val="auto"/>
          <w:sz w:val="21"/>
          <w:szCs w:val="21"/>
        </w:rPr>
        <w:t xml:space="preserve">（公章） </w:t>
      </w:r>
    </w:p>
    <w:p w14:paraId="13BB7515">
      <w:pPr>
        <w:spacing w:line="360" w:lineRule="auto"/>
        <w:ind w:firstLine="420" w:firstLineChars="200"/>
        <w:rPr>
          <w:rFonts w:cs="宋体"/>
          <w:color w:val="auto"/>
          <w:sz w:val="21"/>
          <w:szCs w:val="21"/>
        </w:rPr>
      </w:pPr>
      <w:r>
        <w:rPr>
          <w:rFonts w:hint="eastAsia" w:cs="宋体"/>
          <w:color w:val="auto"/>
          <w:sz w:val="21"/>
          <w:szCs w:val="21"/>
        </w:rPr>
        <w:t>法定代表人（或授权代表）：</w:t>
      </w:r>
      <w:r>
        <w:rPr>
          <w:rFonts w:hint="eastAsia" w:cs="宋体"/>
          <w:color w:val="auto"/>
          <w:sz w:val="21"/>
          <w:szCs w:val="21"/>
          <w:u w:val="single"/>
        </w:rPr>
        <w:t xml:space="preserve">               </w:t>
      </w:r>
      <w:r>
        <w:rPr>
          <w:rFonts w:hint="eastAsia" w:cs="宋体"/>
          <w:color w:val="auto"/>
          <w:sz w:val="21"/>
          <w:szCs w:val="21"/>
        </w:rPr>
        <w:t xml:space="preserve">（签字） </w:t>
      </w:r>
    </w:p>
    <w:p w14:paraId="0FB3462D">
      <w:pPr>
        <w:spacing w:line="360" w:lineRule="auto"/>
        <w:ind w:firstLine="420" w:firstLineChars="200"/>
        <w:rPr>
          <w:rFonts w:cs="宋体"/>
          <w:color w:val="auto"/>
          <w:sz w:val="21"/>
          <w:szCs w:val="21"/>
        </w:rPr>
      </w:pPr>
      <w:r>
        <w:rPr>
          <w:rFonts w:hint="eastAsia" w:cs="宋体"/>
          <w:color w:val="auto"/>
          <w:sz w:val="21"/>
          <w:szCs w:val="21"/>
        </w:rPr>
        <w:t>地    址：</w:t>
      </w:r>
      <w:r>
        <w:rPr>
          <w:rFonts w:hint="eastAsia" w:cs="宋体"/>
          <w:color w:val="auto"/>
          <w:sz w:val="21"/>
          <w:szCs w:val="21"/>
          <w:u w:val="single"/>
        </w:rPr>
        <w:t xml:space="preserve">                                       </w:t>
      </w:r>
    </w:p>
    <w:p w14:paraId="2E0E6933">
      <w:pPr>
        <w:spacing w:line="360" w:lineRule="auto"/>
        <w:ind w:firstLine="420" w:firstLineChars="200"/>
        <w:rPr>
          <w:rFonts w:cs="宋体"/>
          <w:color w:val="auto"/>
          <w:sz w:val="21"/>
          <w:szCs w:val="21"/>
        </w:rPr>
      </w:pPr>
      <w:r>
        <w:rPr>
          <w:rFonts w:hint="eastAsia" w:cs="宋体"/>
          <w:color w:val="auto"/>
          <w:sz w:val="21"/>
          <w:szCs w:val="21"/>
        </w:rPr>
        <w:t>邮政编码：</w:t>
      </w:r>
      <w:r>
        <w:rPr>
          <w:rFonts w:hint="eastAsia" w:cs="宋体"/>
          <w:color w:val="auto"/>
          <w:sz w:val="21"/>
          <w:szCs w:val="21"/>
          <w:u w:val="single"/>
        </w:rPr>
        <w:t xml:space="preserve">                 </w:t>
      </w:r>
    </w:p>
    <w:p w14:paraId="0EE1990D">
      <w:pPr>
        <w:spacing w:line="360" w:lineRule="auto"/>
        <w:ind w:firstLine="420" w:firstLineChars="200"/>
        <w:rPr>
          <w:rFonts w:cs="宋体"/>
          <w:color w:val="auto"/>
          <w:sz w:val="21"/>
          <w:szCs w:val="21"/>
        </w:rPr>
      </w:pPr>
      <w:r>
        <w:rPr>
          <w:rFonts w:hint="eastAsia" w:cs="宋体"/>
          <w:color w:val="auto"/>
          <w:sz w:val="21"/>
          <w:szCs w:val="21"/>
        </w:rPr>
        <w:t>电    话：</w:t>
      </w:r>
      <w:r>
        <w:rPr>
          <w:rFonts w:hint="eastAsia" w:cs="宋体"/>
          <w:color w:val="auto"/>
          <w:sz w:val="21"/>
          <w:szCs w:val="21"/>
          <w:u w:val="single"/>
        </w:rPr>
        <w:t xml:space="preserve">                 </w:t>
      </w:r>
    </w:p>
    <w:p w14:paraId="1E21B5A8">
      <w:pPr>
        <w:spacing w:line="360" w:lineRule="auto"/>
        <w:ind w:firstLine="420" w:firstLineChars="200"/>
        <w:rPr>
          <w:rFonts w:cs="宋体"/>
          <w:color w:val="auto"/>
          <w:sz w:val="21"/>
          <w:szCs w:val="21"/>
          <w:u w:val="single"/>
        </w:rPr>
      </w:pPr>
      <w:r>
        <w:rPr>
          <w:rFonts w:hint="eastAsia" w:cs="宋体"/>
          <w:color w:val="auto"/>
          <w:sz w:val="21"/>
          <w:szCs w:val="21"/>
        </w:rPr>
        <w:t>传    真：</w:t>
      </w:r>
      <w:r>
        <w:rPr>
          <w:rFonts w:hint="eastAsia" w:cs="宋体"/>
          <w:color w:val="auto"/>
          <w:sz w:val="21"/>
          <w:szCs w:val="21"/>
          <w:u w:val="single"/>
        </w:rPr>
        <w:t xml:space="preserve">                 </w:t>
      </w:r>
    </w:p>
    <w:p w14:paraId="38621CD0">
      <w:pPr>
        <w:spacing w:line="360" w:lineRule="auto"/>
        <w:ind w:left="1303" w:leftChars="200" w:hanging="903" w:hangingChars="430"/>
        <w:rPr>
          <w:rFonts w:cs="宋体"/>
          <w:color w:val="auto"/>
          <w:sz w:val="21"/>
          <w:szCs w:val="21"/>
        </w:rPr>
      </w:pPr>
      <w:r>
        <w:rPr>
          <w:rFonts w:hint="eastAsia" w:cs="宋体"/>
          <w:color w:val="auto"/>
          <w:sz w:val="21"/>
          <w:szCs w:val="21"/>
        </w:rPr>
        <w:t>开立时间：</w:t>
      </w:r>
      <w:r>
        <w:rPr>
          <w:rFonts w:hint="eastAsia" w:cs="宋体"/>
          <w:color w:val="auto"/>
          <w:sz w:val="21"/>
          <w:szCs w:val="21"/>
          <w:u w:val="single"/>
        </w:rPr>
        <w:t xml:space="preserve">      </w:t>
      </w:r>
      <w:r>
        <w:rPr>
          <w:rFonts w:hint="eastAsia" w:cs="宋体"/>
          <w:color w:val="auto"/>
          <w:sz w:val="21"/>
          <w:szCs w:val="21"/>
        </w:rPr>
        <w:t>年</w:t>
      </w:r>
      <w:r>
        <w:rPr>
          <w:rFonts w:hint="eastAsia" w:cs="宋体"/>
          <w:color w:val="auto"/>
          <w:sz w:val="21"/>
          <w:szCs w:val="21"/>
          <w:u w:val="single"/>
        </w:rPr>
        <w:t xml:space="preserve">      </w:t>
      </w:r>
      <w:r>
        <w:rPr>
          <w:rFonts w:hint="eastAsia" w:cs="宋体"/>
          <w:color w:val="auto"/>
          <w:sz w:val="21"/>
          <w:szCs w:val="21"/>
        </w:rPr>
        <w:t>月</w:t>
      </w:r>
      <w:r>
        <w:rPr>
          <w:rFonts w:hint="eastAsia" w:cs="宋体"/>
          <w:color w:val="auto"/>
          <w:sz w:val="21"/>
          <w:szCs w:val="21"/>
          <w:u w:val="single"/>
        </w:rPr>
        <w:t xml:space="preserve">    </w:t>
      </w:r>
      <w:r>
        <w:rPr>
          <w:rFonts w:hint="eastAsia" w:cs="宋体"/>
          <w:color w:val="auto"/>
          <w:sz w:val="21"/>
          <w:szCs w:val="21"/>
        </w:rPr>
        <w:t>日</w:t>
      </w:r>
    </w:p>
    <w:p w14:paraId="4CEA34B0">
      <w:pPr>
        <w:spacing w:before="312" w:beforeLines="100" w:after="312" w:afterLines="100"/>
        <w:outlineLvl w:val="2"/>
        <w:rPr>
          <w:rFonts w:ascii="Times New Roman" w:eastAsia="黑体"/>
          <w:color w:val="auto"/>
          <w:szCs w:val="24"/>
        </w:rPr>
      </w:pPr>
      <w:r>
        <w:rPr>
          <w:rFonts w:ascii="Times New Roman" w:eastAsia="黑体"/>
          <w:bCs/>
          <w:color w:val="auto"/>
        </w:rPr>
        <w:br w:type="page"/>
      </w:r>
      <w:bookmarkStart w:id="657" w:name="_Toc296503232"/>
      <w:bookmarkStart w:id="658" w:name="_Toc296347231"/>
      <w:bookmarkStart w:id="659" w:name="_Toc296891060"/>
      <w:bookmarkStart w:id="660" w:name="_Toc296891272"/>
      <w:bookmarkStart w:id="661" w:name="_Toc267261702"/>
      <w:bookmarkStart w:id="662" w:name="_Toc296346733"/>
      <w:bookmarkStart w:id="663" w:name="_Toc296944571"/>
    </w:p>
    <w:bookmarkEnd w:id="657"/>
    <w:bookmarkEnd w:id="658"/>
    <w:bookmarkEnd w:id="659"/>
    <w:bookmarkEnd w:id="660"/>
    <w:bookmarkEnd w:id="661"/>
    <w:bookmarkEnd w:id="662"/>
    <w:bookmarkEnd w:id="663"/>
    <w:p w14:paraId="60E522D0">
      <w:pPr>
        <w:spacing w:before="312" w:beforeLines="100" w:after="312" w:afterLines="100"/>
        <w:outlineLvl w:val="2"/>
        <w:rPr>
          <w:rFonts w:ascii="Times New Roman" w:eastAsia="黑体"/>
          <w:color w:val="auto"/>
          <w:szCs w:val="24"/>
        </w:rPr>
      </w:pPr>
      <w:bookmarkStart w:id="664" w:name="_Toc128950247"/>
      <w:r>
        <w:rPr>
          <w:rFonts w:hint="eastAsia" w:ascii="Times New Roman" w:eastAsia="黑体"/>
          <w:color w:val="auto"/>
          <w:szCs w:val="24"/>
        </w:rPr>
        <w:t>附件</w:t>
      </w:r>
      <w:r>
        <w:rPr>
          <w:rFonts w:ascii="Times New Roman" w:eastAsia="黑体"/>
          <w:color w:val="auto"/>
          <w:szCs w:val="24"/>
        </w:rPr>
        <w:t>1</w:t>
      </w:r>
      <w:r>
        <w:rPr>
          <w:rFonts w:hint="eastAsia" w:ascii="Times New Roman" w:eastAsia="黑体"/>
          <w:color w:val="auto"/>
          <w:szCs w:val="24"/>
          <w:lang w:val="en-US" w:eastAsia="zh-CN"/>
        </w:rPr>
        <w:t>0</w:t>
      </w:r>
      <w:r>
        <w:rPr>
          <w:rFonts w:hint="eastAsia" w:ascii="Times New Roman" w:eastAsia="黑体"/>
          <w:color w:val="auto"/>
          <w:szCs w:val="24"/>
        </w:rPr>
        <w:t>：暂估价一览表</w:t>
      </w:r>
      <w:bookmarkEnd w:id="664"/>
    </w:p>
    <w:p w14:paraId="56DBD243">
      <w:pPr>
        <w:spacing w:before="156" w:beforeLines="50" w:after="156" w:afterLines="50" w:line="440" w:lineRule="exact"/>
        <w:jc w:val="center"/>
        <w:rPr>
          <w:rFonts w:cs="宋体"/>
          <w:color w:val="auto"/>
          <w:szCs w:val="21"/>
        </w:rPr>
      </w:pPr>
      <w:r>
        <w:rPr>
          <w:rFonts w:hint="eastAsia" w:cs="宋体"/>
          <w:color w:val="auto"/>
          <w:szCs w:val="21"/>
        </w:rPr>
        <w:t>12-1：材料暂估价表</w:t>
      </w:r>
    </w:p>
    <w:tbl>
      <w:tblPr>
        <w:tblStyle w:val="5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990"/>
        <w:gridCol w:w="1977"/>
        <w:gridCol w:w="846"/>
        <w:gridCol w:w="770"/>
        <w:gridCol w:w="1346"/>
        <w:gridCol w:w="1411"/>
        <w:gridCol w:w="1696"/>
      </w:tblGrid>
      <w:tr w14:paraId="1A7010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single" w:color="auto" w:sz="12" w:space="0"/>
              <w:bottom w:val="double" w:color="auto" w:sz="6" w:space="0"/>
            </w:tcBorders>
            <w:vAlign w:val="center"/>
          </w:tcPr>
          <w:p w14:paraId="17B6FC3C">
            <w:pPr>
              <w:keepNext/>
              <w:spacing w:line="440" w:lineRule="exact"/>
              <w:jc w:val="center"/>
              <w:rPr>
                <w:rFonts w:cs="宋体"/>
                <w:color w:val="auto"/>
                <w:szCs w:val="21"/>
              </w:rPr>
            </w:pPr>
            <w:r>
              <w:rPr>
                <w:rFonts w:hint="eastAsia" w:cs="宋体"/>
                <w:color w:val="auto"/>
                <w:szCs w:val="21"/>
              </w:rPr>
              <w:t>序号</w:t>
            </w:r>
          </w:p>
        </w:tc>
        <w:tc>
          <w:tcPr>
            <w:tcW w:w="1094" w:type="pct"/>
            <w:tcBorders>
              <w:top w:val="single" w:color="auto" w:sz="12" w:space="0"/>
              <w:bottom w:val="double" w:color="auto" w:sz="6" w:space="0"/>
            </w:tcBorders>
            <w:vAlign w:val="center"/>
          </w:tcPr>
          <w:p w14:paraId="28580D6B">
            <w:pPr>
              <w:keepNext/>
              <w:spacing w:line="440" w:lineRule="exact"/>
              <w:jc w:val="center"/>
              <w:rPr>
                <w:rFonts w:cs="宋体"/>
                <w:color w:val="auto"/>
                <w:szCs w:val="21"/>
              </w:rPr>
            </w:pPr>
            <w:r>
              <w:rPr>
                <w:rFonts w:hint="eastAsia" w:cs="宋体"/>
                <w:color w:val="auto"/>
                <w:szCs w:val="21"/>
              </w:rPr>
              <w:t>名称</w:t>
            </w:r>
          </w:p>
        </w:tc>
        <w:tc>
          <w:tcPr>
            <w:tcW w:w="468" w:type="pct"/>
            <w:tcBorders>
              <w:top w:val="single" w:color="auto" w:sz="12" w:space="0"/>
              <w:bottom w:val="double" w:color="auto" w:sz="6" w:space="0"/>
            </w:tcBorders>
            <w:vAlign w:val="center"/>
          </w:tcPr>
          <w:p w14:paraId="1633DFBA">
            <w:pPr>
              <w:keepNext/>
              <w:spacing w:line="440" w:lineRule="exact"/>
              <w:jc w:val="center"/>
              <w:rPr>
                <w:rFonts w:cs="宋体"/>
                <w:color w:val="auto"/>
                <w:szCs w:val="21"/>
              </w:rPr>
            </w:pPr>
            <w:r>
              <w:rPr>
                <w:rFonts w:hint="eastAsia" w:cs="宋体"/>
                <w:color w:val="auto"/>
                <w:szCs w:val="21"/>
              </w:rPr>
              <w:t>单位</w:t>
            </w:r>
          </w:p>
        </w:tc>
        <w:tc>
          <w:tcPr>
            <w:tcW w:w="426" w:type="pct"/>
            <w:tcBorders>
              <w:top w:val="single" w:color="auto" w:sz="12" w:space="0"/>
              <w:bottom w:val="double" w:color="auto" w:sz="6" w:space="0"/>
            </w:tcBorders>
            <w:vAlign w:val="center"/>
          </w:tcPr>
          <w:p w14:paraId="21C57212">
            <w:pPr>
              <w:keepNext/>
              <w:spacing w:line="440" w:lineRule="exact"/>
              <w:jc w:val="center"/>
              <w:rPr>
                <w:rFonts w:cs="宋体"/>
                <w:color w:val="auto"/>
                <w:szCs w:val="21"/>
              </w:rPr>
            </w:pPr>
            <w:r>
              <w:rPr>
                <w:rFonts w:hint="eastAsia" w:cs="宋体"/>
                <w:color w:val="auto"/>
                <w:szCs w:val="21"/>
              </w:rPr>
              <w:t>数量</w:t>
            </w:r>
          </w:p>
        </w:tc>
        <w:tc>
          <w:tcPr>
            <w:tcW w:w="745" w:type="pct"/>
            <w:tcBorders>
              <w:top w:val="single" w:color="auto" w:sz="12" w:space="0"/>
              <w:bottom w:val="double" w:color="auto" w:sz="6" w:space="0"/>
            </w:tcBorders>
            <w:vAlign w:val="center"/>
          </w:tcPr>
          <w:p w14:paraId="53259F85">
            <w:pPr>
              <w:keepNext/>
              <w:spacing w:line="440" w:lineRule="exact"/>
              <w:jc w:val="center"/>
              <w:rPr>
                <w:rFonts w:cs="宋体"/>
                <w:color w:val="auto"/>
                <w:szCs w:val="21"/>
              </w:rPr>
            </w:pPr>
            <w:r>
              <w:rPr>
                <w:rFonts w:hint="eastAsia" w:cs="宋体"/>
                <w:color w:val="auto"/>
                <w:szCs w:val="21"/>
              </w:rPr>
              <w:t>单价（元）</w:t>
            </w:r>
          </w:p>
        </w:tc>
        <w:tc>
          <w:tcPr>
            <w:tcW w:w="781" w:type="pct"/>
            <w:tcBorders>
              <w:top w:val="single" w:color="auto" w:sz="12" w:space="0"/>
              <w:bottom w:val="double" w:color="auto" w:sz="6" w:space="0"/>
            </w:tcBorders>
            <w:vAlign w:val="center"/>
          </w:tcPr>
          <w:p w14:paraId="433C52BD">
            <w:pPr>
              <w:keepNext/>
              <w:spacing w:line="440" w:lineRule="exact"/>
              <w:jc w:val="center"/>
              <w:rPr>
                <w:rFonts w:cs="宋体"/>
                <w:color w:val="auto"/>
                <w:szCs w:val="21"/>
              </w:rPr>
            </w:pPr>
            <w:r>
              <w:rPr>
                <w:rFonts w:hint="eastAsia" w:cs="宋体"/>
                <w:color w:val="auto"/>
                <w:szCs w:val="21"/>
              </w:rPr>
              <w:t>合价（元）</w:t>
            </w:r>
          </w:p>
        </w:tc>
        <w:tc>
          <w:tcPr>
            <w:tcW w:w="938" w:type="pct"/>
            <w:tcBorders>
              <w:top w:val="single" w:color="auto" w:sz="12" w:space="0"/>
              <w:bottom w:val="double" w:color="auto" w:sz="6" w:space="0"/>
            </w:tcBorders>
            <w:vAlign w:val="center"/>
          </w:tcPr>
          <w:p w14:paraId="66561369">
            <w:pPr>
              <w:keepNext/>
              <w:spacing w:line="440" w:lineRule="exact"/>
              <w:jc w:val="center"/>
              <w:rPr>
                <w:rFonts w:cs="宋体"/>
                <w:color w:val="auto"/>
                <w:szCs w:val="21"/>
              </w:rPr>
            </w:pPr>
            <w:r>
              <w:rPr>
                <w:rFonts w:hint="eastAsia" w:cs="宋体"/>
                <w:color w:val="auto"/>
                <w:szCs w:val="21"/>
              </w:rPr>
              <w:t>备注</w:t>
            </w:r>
          </w:p>
        </w:tc>
      </w:tr>
      <w:tr w14:paraId="2A3082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double" w:color="auto" w:sz="6" w:space="0"/>
            </w:tcBorders>
            <w:vAlign w:val="center"/>
          </w:tcPr>
          <w:p w14:paraId="60980FD2">
            <w:pPr>
              <w:keepNext/>
              <w:spacing w:line="440" w:lineRule="exact"/>
              <w:jc w:val="center"/>
              <w:rPr>
                <w:rFonts w:cs="宋体"/>
                <w:color w:val="auto"/>
                <w:szCs w:val="21"/>
              </w:rPr>
            </w:pPr>
          </w:p>
        </w:tc>
        <w:tc>
          <w:tcPr>
            <w:tcW w:w="1094" w:type="pct"/>
            <w:tcBorders>
              <w:top w:val="double" w:color="auto" w:sz="6" w:space="0"/>
            </w:tcBorders>
            <w:vAlign w:val="center"/>
          </w:tcPr>
          <w:p w14:paraId="2AE10356">
            <w:pPr>
              <w:keepNext/>
              <w:spacing w:line="440" w:lineRule="exact"/>
              <w:jc w:val="center"/>
              <w:rPr>
                <w:rFonts w:cs="宋体"/>
                <w:color w:val="auto"/>
                <w:szCs w:val="21"/>
              </w:rPr>
            </w:pPr>
          </w:p>
        </w:tc>
        <w:tc>
          <w:tcPr>
            <w:tcW w:w="468" w:type="pct"/>
            <w:tcBorders>
              <w:top w:val="double" w:color="auto" w:sz="6" w:space="0"/>
            </w:tcBorders>
            <w:vAlign w:val="center"/>
          </w:tcPr>
          <w:p w14:paraId="064F6FAC">
            <w:pPr>
              <w:keepNext/>
              <w:spacing w:line="440" w:lineRule="exact"/>
              <w:jc w:val="center"/>
              <w:rPr>
                <w:rFonts w:cs="宋体"/>
                <w:color w:val="auto"/>
                <w:szCs w:val="21"/>
              </w:rPr>
            </w:pPr>
          </w:p>
        </w:tc>
        <w:tc>
          <w:tcPr>
            <w:tcW w:w="426" w:type="pct"/>
            <w:tcBorders>
              <w:top w:val="double" w:color="auto" w:sz="6" w:space="0"/>
            </w:tcBorders>
            <w:vAlign w:val="center"/>
          </w:tcPr>
          <w:p w14:paraId="0B7AD5C5">
            <w:pPr>
              <w:keepNext/>
              <w:spacing w:line="440" w:lineRule="exact"/>
              <w:jc w:val="center"/>
              <w:rPr>
                <w:rFonts w:cs="宋体"/>
                <w:color w:val="auto"/>
                <w:szCs w:val="21"/>
              </w:rPr>
            </w:pPr>
          </w:p>
        </w:tc>
        <w:tc>
          <w:tcPr>
            <w:tcW w:w="745" w:type="pct"/>
            <w:tcBorders>
              <w:top w:val="double" w:color="auto" w:sz="6" w:space="0"/>
            </w:tcBorders>
            <w:vAlign w:val="center"/>
          </w:tcPr>
          <w:p w14:paraId="1A13AE34">
            <w:pPr>
              <w:keepNext/>
              <w:spacing w:line="440" w:lineRule="exact"/>
              <w:jc w:val="center"/>
              <w:rPr>
                <w:rFonts w:cs="宋体"/>
                <w:color w:val="auto"/>
                <w:szCs w:val="21"/>
              </w:rPr>
            </w:pPr>
          </w:p>
        </w:tc>
        <w:tc>
          <w:tcPr>
            <w:tcW w:w="781" w:type="pct"/>
            <w:tcBorders>
              <w:top w:val="double" w:color="auto" w:sz="6" w:space="0"/>
            </w:tcBorders>
            <w:vAlign w:val="center"/>
          </w:tcPr>
          <w:p w14:paraId="1C64540A">
            <w:pPr>
              <w:keepNext/>
              <w:spacing w:line="440" w:lineRule="exact"/>
              <w:jc w:val="center"/>
              <w:rPr>
                <w:rFonts w:cs="宋体"/>
                <w:color w:val="auto"/>
                <w:szCs w:val="21"/>
              </w:rPr>
            </w:pPr>
          </w:p>
        </w:tc>
        <w:tc>
          <w:tcPr>
            <w:tcW w:w="938" w:type="pct"/>
            <w:tcBorders>
              <w:top w:val="double" w:color="auto" w:sz="6" w:space="0"/>
            </w:tcBorders>
            <w:vAlign w:val="center"/>
          </w:tcPr>
          <w:p w14:paraId="06643FF0">
            <w:pPr>
              <w:keepNext/>
              <w:spacing w:line="440" w:lineRule="exact"/>
              <w:jc w:val="center"/>
              <w:rPr>
                <w:rFonts w:cs="宋体"/>
                <w:color w:val="auto"/>
                <w:szCs w:val="21"/>
              </w:rPr>
            </w:pPr>
          </w:p>
        </w:tc>
      </w:tr>
      <w:tr w14:paraId="7A3D90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nil"/>
            </w:tcBorders>
            <w:vAlign w:val="center"/>
          </w:tcPr>
          <w:p w14:paraId="101EF92A">
            <w:pPr>
              <w:keepNext/>
              <w:spacing w:line="440" w:lineRule="exact"/>
              <w:jc w:val="center"/>
              <w:rPr>
                <w:rFonts w:cs="宋体"/>
                <w:color w:val="auto"/>
                <w:szCs w:val="21"/>
              </w:rPr>
            </w:pPr>
          </w:p>
        </w:tc>
        <w:tc>
          <w:tcPr>
            <w:tcW w:w="1094" w:type="pct"/>
            <w:tcBorders>
              <w:top w:val="nil"/>
            </w:tcBorders>
            <w:vAlign w:val="center"/>
          </w:tcPr>
          <w:p w14:paraId="7C5EA12C">
            <w:pPr>
              <w:keepNext/>
              <w:spacing w:line="440" w:lineRule="exact"/>
              <w:jc w:val="center"/>
              <w:rPr>
                <w:rFonts w:cs="宋体"/>
                <w:color w:val="auto"/>
                <w:szCs w:val="21"/>
              </w:rPr>
            </w:pPr>
          </w:p>
        </w:tc>
        <w:tc>
          <w:tcPr>
            <w:tcW w:w="468" w:type="pct"/>
            <w:tcBorders>
              <w:top w:val="nil"/>
            </w:tcBorders>
            <w:vAlign w:val="center"/>
          </w:tcPr>
          <w:p w14:paraId="766EFF52">
            <w:pPr>
              <w:keepNext/>
              <w:spacing w:line="440" w:lineRule="exact"/>
              <w:jc w:val="center"/>
              <w:rPr>
                <w:rFonts w:cs="宋体"/>
                <w:color w:val="auto"/>
                <w:szCs w:val="21"/>
              </w:rPr>
            </w:pPr>
          </w:p>
        </w:tc>
        <w:tc>
          <w:tcPr>
            <w:tcW w:w="426" w:type="pct"/>
            <w:tcBorders>
              <w:top w:val="nil"/>
            </w:tcBorders>
            <w:vAlign w:val="center"/>
          </w:tcPr>
          <w:p w14:paraId="10DC0B41">
            <w:pPr>
              <w:keepNext/>
              <w:spacing w:line="440" w:lineRule="exact"/>
              <w:jc w:val="center"/>
              <w:rPr>
                <w:rFonts w:cs="宋体"/>
                <w:color w:val="auto"/>
                <w:szCs w:val="21"/>
              </w:rPr>
            </w:pPr>
          </w:p>
        </w:tc>
        <w:tc>
          <w:tcPr>
            <w:tcW w:w="745" w:type="pct"/>
            <w:tcBorders>
              <w:top w:val="nil"/>
            </w:tcBorders>
            <w:vAlign w:val="center"/>
          </w:tcPr>
          <w:p w14:paraId="08E57217">
            <w:pPr>
              <w:keepNext/>
              <w:spacing w:line="440" w:lineRule="exact"/>
              <w:jc w:val="center"/>
              <w:rPr>
                <w:rFonts w:cs="宋体"/>
                <w:color w:val="auto"/>
                <w:szCs w:val="21"/>
              </w:rPr>
            </w:pPr>
          </w:p>
        </w:tc>
        <w:tc>
          <w:tcPr>
            <w:tcW w:w="781" w:type="pct"/>
            <w:tcBorders>
              <w:top w:val="nil"/>
            </w:tcBorders>
            <w:vAlign w:val="center"/>
          </w:tcPr>
          <w:p w14:paraId="5BEBAB45">
            <w:pPr>
              <w:keepNext/>
              <w:spacing w:line="440" w:lineRule="exact"/>
              <w:jc w:val="center"/>
              <w:rPr>
                <w:rFonts w:cs="宋体"/>
                <w:color w:val="auto"/>
                <w:szCs w:val="21"/>
              </w:rPr>
            </w:pPr>
          </w:p>
        </w:tc>
        <w:tc>
          <w:tcPr>
            <w:tcW w:w="938" w:type="pct"/>
            <w:tcBorders>
              <w:top w:val="nil"/>
            </w:tcBorders>
            <w:vAlign w:val="center"/>
          </w:tcPr>
          <w:p w14:paraId="30743348">
            <w:pPr>
              <w:keepNext/>
              <w:spacing w:line="440" w:lineRule="exact"/>
              <w:jc w:val="center"/>
              <w:rPr>
                <w:rFonts w:cs="宋体"/>
                <w:color w:val="auto"/>
                <w:szCs w:val="21"/>
              </w:rPr>
            </w:pPr>
          </w:p>
        </w:tc>
      </w:tr>
      <w:tr w14:paraId="39D605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vAlign w:val="center"/>
          </w:tcPr>
          <w:p w14:paraId="332CADE5">
            <w:pPr>
              <w:keepNext/>
              <w:spacing w:line="440" w:lineRule="exact"/>
              <w:jc w:val="center"/>
              <w:rPr>
                <w:rFonts w:cs="宋体"/>
                <w:color w:val="auto"/>
                <w:szCs w:val="21"/>
              </w:rPr>
            </w:pPr>
          </w:p>
        </w:tc>
        <w:tc>
          <w:tcPr>
            <w:tcW w:w="1094" w:type="pct"/>
            <w:vAlign w:val="center"/>
          </w:tcPr>
          <w:p w14:paraId="308252C1">
            <w:pPr>
              <w:keepNext/>
              <w:spacing w:line="440" w:lineRule="exact"/>
              <w:jc w:val="center"/>
              <w:rPr>
                <w:rFonts w:cs="宋体"/>
                <w:color w:val="auto"/>
                <w:szCs w:val="21"/>
              </w:rPr>
            </w:pPr>
          </w:p>
        </w:tc>
        <w:tc>
          <w:tcPr>
            <w:tcW w:w="468" w:type="pct"/>
            <w:vAlign w:val="center"/>
          </w:tcPr>
          <w:p w14:paraId="7067254E">
            <w:pPr>
              <w:keepNext/>
              <w:spacing w:line="440" w:lineRule="exact"/>
              <w:jc w:val="center"/>
              <w:rPr>
                <w:rFonts w:cs="宋体"/>
                <w:color w:val="auto"/>
                <w:szCs w:val="21"/>
              </w:rPr>
            </w:pPr>
          </w:p>
        </w:tc>
        <w:tc>
          <w:tcPr>
            <w:tcW w:w="426" w:type="pct"/>
            <w:vAlign w:val="center"/>
          </w:tcPr>
          <w:p w14:paraId="12B4C64E">
            <w:pPr>
              <w:keepNext/>
              <w:spacing w:line="440" w:lineRule="exact"/>
              <w:jc w:val="center"/>
              <w:rPr>
                <w:rFonts w:cs="宋体"/>
                <w:color w:val="auto"/>
                <w:szCs w:val="21"/>
              </w:rPr>
            </w:pPr>
          </w:p>
        </w:tc>
        <w:tc>
          <w:tcPr>
            <w:tcW w:w="745" w:type="pct"/>
            <w:vAlign w:val="center"/>
          </w:tcPr>
          <w:p w14:paraId="6C2B91C9">
            <w:pPr>
              <w:keepNext/>
              <w:spacing w:line="440" w:lineRule="exact"/>
              <w:jc w:val="center"/>
              <w:rPr>
                <w:rFonts w:cs="宋体"/>
                <w:color w:val="auto"/>
                <w:szCs w:val="21"/>
              </w:rPr>
            </w:pPr>
          </w:p>
        </w:tc>
        <w:tc>
          <w:tcPr>
            <w:tcW w:w="781" w:type="pct"/>
            <w:vAlign w:val="center"/>
          </w:tcPr>
          <w:p w14:paraId="032E4A93">
            <w:pPr>
              <w:keepNext/>
              <w:spacing w:line="440" w:lineRule="exact"/>
              <w:jc w:val="center"/>
              <w:rPr>
                <w:rFonts w:cs="宋体"/>
                <w:color w:val="auto"/>
                <w:szCs w:val="21"/>
              </w:rPr>
            </w:pPr>
          </w:p>
        </w:tc>
        <w:tc>
          <w:tcPr>
            <w:tcW w:w="938" w:type="pct"/>
            <w:vAlign w:val="center"/>
          </w:tcPr>
          <w:p w14:paraId="22D5BDA3">
            <w:pPr>
              <w:keepNext/>
              <w:spacing w:line="440" w:lineRule="exact"/>
              <w:jc w:val="center"/>
              <w:rPr>
                <w:rFonts w:cs="宋体"/>
                <w:color w:val="auto"/>
                <w:szCs w:val="21"/>
              </w:rPr>
            </w:pPr>
          </w:p>
        </w:tc>
      </w:tr>
      <w:tr w14:paraId="3C0E52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vAlign w:val="center"/>
          </w:tcPr>
          <w:p w14:paraId="569C3C0F">
            <w:pPr>
              <w:keepNext/>
              <w:spacing w:line="440" w:lineRule="exact"/>
              <w:jc w:val="center"/>
              <w:rPr>
                <w:rFonts w:cs="宋体"/>
                <w:color w:val="auto"/>
                <w:szCs w:val="21"/>
              </w:rPr>
            </w:pPr>
          </w:p>
        </w:tc>
        <w:tc>
          <w:tcPr>
            <w:tcW w:w="1094" w:type="pct"/>
            <w:vAlign w:val="center"/>
          </w:tcPr>
          <w:p w14:paraId="6981F975">
            <w:pPr>
              <w:keepNext/>
              <w:spacing w:line="440" w:lineRule="exact"/>
              <w:jc w:val="center"/>
              <w:rPr>
                <w:rFonts w:cs="宋体"/>
                <w:color w:val="auto"/>
                <w:szCs w:val="21"/>
              </w:rPr>
            </w:pPr>
          </w:p>
        </w:tc>
        <w:tc>
          <w:tcPr>
            <w:tcW w:w="468" w:type="pct"/>
            <w:vAlign w:val="center"/>
          </w:tcPr>
          <w:p w14:paraId="5EC65469">
            <w:pPr>
              <w:keepNext/>
              <w:spacing w:line="440" w:lineRule="exact"/>
              <w:jc w:val="center"/>
              <w:rPr>
                <w:rFonts w:cs="宋体"/>
                <w:color w:val="auto"/>
                <w:szCs w:val="21"/>
              </w:rPr>
            </w:pPr>
          </w:p>
        </w:tc>
        <w:tc>
          <w:tcPr>
            <w:tcW w:w="426" w:type="pct"/>
            <w:vAlign w:val="center"/>
          </w:tcPr>
          <w:p w14:paraId="3FB09278">
            <w:pPr>
              <w:keepNext/>
              <w:spacing w:line="440" w:lineRule="exact"/>
              <w:jc w:val="center"/>
              <w:rPr>
                <w:rFonts w:cs="宋体"/>
                <w:color w:val="auto"/>
                <w:szCs w:val="21"/>
              </w:rPr>
            </w:pPr>
          </w:p>
        </w:tc>
        <w:tc>
          <w:tcPr>
            <w:tcW w:w="745" w:type="pct"/>
            <w:vAlign w:val="center"/>
          </w:tcPr>
          <w:p w14:paraId="7EED4DEA">
            <w:pPr>
              <w:keepNext/>
              <w:spacing w:line="440" w:lineRule="exact"/>
              <w:jc w:val="center"/>
              <w:rPr>
                <w:rFonts w:cs="宋体"/>
                <w:color w:val="auto"/>
                <w:szCs w:val="21"/>
              </w:rPr>
            </w:pPr>
          </w:p>
        </w:tc>
        <w:tc>
          <w:tcPr>
            <w:tcW w:w="781" w:type="pct"/>
            <w:vAlign w:val="center"/>
          </w:tcPr>
          <w:p w14:paraId="42362828">
            <w:pPr>
              <w:keepNext/>
              <w:spacing w:line="440" w:lineRule="exact"/>
              <w:jc w:val="center"/>
              <w:rPr>
                <w:rFonts w:cs="宋体"/>
                <w:color w:val="auto"/>
                <w:szCs w:val="21"/>
              </w:rPr>
            </w:pPr>
          </w:p>
        </w:tc>
        <w:tc>
          <w:tcPr>
            <w:tcW w:w="938" w:type="pct"/>
            <w:vAlign w:val="center"/>
          </w:tcPr>
          <w:p w14:paraId="281898F4">
            <w:pPr>
              <w:keepNext/>
              <w:spacing w:line="440" w:lineRule="exact"/>
              <w:jc w:val="center"/>
              <w:rPr>
                <w:rFonts w:cs="宋体"/>
                <w:color w:val="auto"/>
                <w:szCs w:val="21"/>
              </w:rPr>
            </w:pPr>
          </w:p>
        </w:tc>
      </w:tr>
      <w:tr w14:paraId="30B678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bottom w:val="single" w:color="auto" w:sz="12" w:space="0"/>
            </w:tcBorders>
            <w:vAlign w:val="center"/>
          </w:tcPr>
          <w:p w14:paraId="727BBF49">
            <w:pPr>
              <w:keepNext/>
              <w:spacing w:line="440" w:lineRule="exact"/>
              <w:jc w:val="center"/>
              <w:rPr>
                <w:rFonts w:cs="宋体"/>
                <w:color w:val="auto"/>
                <w:szCs w:val="21"/>
              </w:rPr>
            </w:pPr>
          </w:p>
        </w:tc>
        <w:tc>
          <w:tcPr>
            <w:tcW w:w="1094" w:type="pct"/>
            <w:tcBorders>
              <w:bottom w:val="single" w:color="auto" w:sz="12" w:space="0"/>
            </w:tcBorders>
            <w:vAlign w:val="center"/>
          </w:tcPr>
          <w:p w14:paraId="19389835">
            <w:pPr>
              <w:keepNext/>
              <w:spacing w:line="440" w:lineRule="exact"/>
              <w:jc w:val="center"/>
              <w:rPr>
                <w:rFonts w:cs="宋体"/>
                <w:color w:val="auto"/>
                <w:szCs w:val="21"/>
              </w:rPr>
            </w:pPr>
          </w:p>
        </w:tc>
        <w:tc>
          <w:tcPr>
            <w:tcW w:w="468" w:type="pct"/>
            <w:tcBorders>
              <w:bottom w:val="single" w:color="auto" w:sz="12" w:space="0"/>
            </w:tcBorders>
            <w:vAlign w:val="center"/>
          </w:tcPr>
          <w:p w14:paraId="414D61CD">
            <w:pPr>
              <w:keepNext/>
              <w:spacing w:line="440" w:lineRule="exact"/>
              <w:jc w:val="center"/>
              <w:rPr>
                <w:rFonts w:cs="宋体"/>
                <w:color w:val="auto"/>
                <w:szCs w:val="21"/>
              </w:rPr>
            </w:pPr>
          </w:p>
        </w:tc>
        <w:tc>
          <w:tcPr>
            <w:tcW w:w="426" w:type="pct"/>
            <w:tcBorders>
              <w:bottom w:val="single" w:color="auto" w:sz="12" w:space="0"/>
            </w:tcBorders>
            <w:vAlign w:val="center"/>
          </w:tcPr>
          <w:p w14:paraId="39206E20">
            <w:pPr>
              <w:keepNext/>
              <w:spacing w:line="440" w:lineRule="exact"/>
              <w:jc w:val="center"/>
              <w:rPr>
                <w:rFonts w:cs="宋体"/>
                <w:color w:val="auto"/>
                <w:szCs w:val="21"/>
              </w:rPr>
            </w:pPr>
          </w:p>
        </w:tc>
        <w:tc>
          <w:tcPr>
            <w:tcW w:w="745" w:type="pct"/>
            <w:tcBorders>
              <w:bottom w:val="single" w:color="auto" w:sz="12" w:space="0"/>
            </w:tcBorders>
            <w:vAlign w:val="center"/>
          </w:tcPr>
          <w:p w14:paraId="2CF5F707">
            <w:pPr>
              <w:keepNext/>
              <w:spacing w:line="440" w:lineRule="exact"/>
              <w:jc w:val="center"/>
              <w:rPr>
                <w:rFonts w:cs="宋体"/>
                <w:color w:val="auto"/>
                <w:szCs w:val="21"/>
              </w:rPr>
            </w:pPr>
          </w:p>
        </w:tc>
        <w:tc>
          <w:tcPr>
            <w:tcW w:w="781" w:type="pct"/>
            <w:tcBorders>
              <w:bottom w:val="single" w:color="auto" w:sz="12" w:space="0"/>
            </w:tcBorders>
            <w:vAlign w:val="center"/>
          </w:tcPr>
          <w:p w14:paraId="60BE7F83">
            <w:pPr>
              <w:keepNext/>
              <w:spacing w:line="440" w:lineRule="exact"/>
              <w:jc w:val="center"/>
              <w:rPr>
                <w:rFonts w:cs="宋体"/>
                <w:color w:val="auto"/>
                <w:szCs w:val="21"/>
              </w:rPr>
            </w:pPr>
          </w:p>
        </w:tc>
        <w:tc>
          <w:tcPr>
            <w:tcW w:w="938" w:type="pct"/>
            <w:tcBorders>
              <w:bottom w:val="single" w:color="auto" w:sz="12" w:space="0"/>
            </w:tcBorders>
            <w:vAlign w:val="center"/>
          </w:tcPr>
          <w:p w14:paraId="66864F1F">
            <w:pPr>
              <w:keepNext/>
              <w:spacing w:line="440" w:lineRule="exact"/>
              <w:jc w:val="center"/>
              <w:rPr>
                <w:rFonts w:cs="宋体"/>
                <w:color w:val="auto"/>
                <w:szCs w:val="21"/>
              </w:rPr>
            </w:pPr>
          </w:p>
        </w:tc>
      </w:tr>
    </w:tbl>
    <w:p w14:paraId="75247A3B">
      <w:pPr>
        <w:spacing w:before="156" w:beforeLines="50" w:after="156" w:afterLines="50" w:line="440" w:lineRule="exact"/>
        <w:jc w:val="center"/>
        <w:rPr>
          <w:rFonts w:cs="宋体"/>
          <w:color w:val="auto"/>
          <w:szCs w:val="21"/>
        </w:rPr>
      </w:pPr>
      <w:r>
        <w:rPr>
          <w:rFonts w:hint="eastAsia" w:cs="宋体"/>
          <w:color w:val="auto"/>
          <w:szCs w:val="21"/>
        </w:rPr>
        <w:t>12-2：工程设备暂估价表</w:t>
      </w:r>
    </w:p>
    <w:tbl>
      <w:tblPr>
        <w:tblStyle w:val="5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990"/>
        <w:gridCol w:w="1977"/>
        <w:gridCol w:w="846"/>
        <w:gridCol w:w="770"/>
        <w:gridCol w:w="1346"/>
        <w:gridCol w:w="1411"/>
        <w:gridCol w:w="1696"/>
      </w:tblGrid>
      <w:tr w14:paraId="20CC8E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single" w:color="auto" w:sz="12" w:space="0"/>
              <w:bottom w:val="double" w:color="auto" w:sz="6" w:space="0"/>
            </w:tcBorders>
            <w:vAlign w:val="center"/>
          </w:tcPr>
          <w:p w14:paraId="6CF5BFF6">
            <w:pPr>
              <w:keepNext/>
              <w:spacing w:line="440" w:lineRule="exact"/>
              <w:jc w:val="center"/>
              <w:rPr>
                <w:rFonts w:cs="宋体"/>
                <w:color w:val="auto"/>
                <w:szCs w:val="21"/>
              </w:rPr>
            </w:pPr>
            <w:r>
              <w:rPr>
                <w:rFonts w:hint="eastAsia" w:cs="宋体"/>
                <w:color w:val="auto"/>
                <w:szCs w:val="21"/>
              </w:rPr>
              <w:t>序号</w:t>
            </w:r>
          </w:p>
        </w:tc>
        <w:tc>
          <w:tcPr>
            <w:tcW w:w="1094" w:type="pct"/>
            <w:tcBorders>
              <w:top w:val="single" w:color="auto" w:sz="12" w:space="0"/>
              <w:bottom w:val="double" w:color="auto" w:sz="6" w:space="0"/>
            </w:tcBorders>
            <w:vAlign w:val="center"/>
          </w:tcPr>
          <w:p w14:paraId="4952FCB5">
            <w:pPr>
              <w:keepNext/>
              <w:spacing w:line="440" w:lineRule="exact"/>
              <w:jc w:val="center"/>
              <w:rPr>
                <w:rFonts w:cs="宋体"/>
                <w:color w:val="auto"/>
                <w:szCs w:val="21"/>
              </w:rPr>
            </w:pPr>
            <w:r>
              <w:rPr>
                <w:rFonts w:hint="eastAsia" w:cs="宋体"/>
                <w:color w:val="auto"/>
                <w:szCs w:val="21"/>
              </w:rPr>
              <w:t>名称</w:t>
            </w:r>
          </w:p>
        </w:tc>
        <w:tc>
          <w:tcPr>
            <w:tcW w:w="468" w:type="pct"/>
            <w:tcBorders>
              <w:top w:val="single" w:color="auto" w:sz="12" w:space="0"/>
              <w:bottom w:val="double" w:color="auto" w:sz="6" w:space="0"/>
            </w:tcBorders>
            <w:vAlign w:val="center"/>
          </w:tcPr>
          <w:p w14:paraId="3DF8C4E4">
            <w:pPr>
              <w:keepNext/>
              <w:spacing w:line="440" w:lineRule="exact"/>
              <w:jc w:val="center"/>
              <w:rPr>
                <w:rFonts w:cs="宋体"/>
                <w:color w:val="auto"/>
                <w:szCs w:val="21"/>
              </w:rPr>
            </w:pPr>
            <w:r>
              <w:rPr>
                <w:rFonts w:hint="eastAsia" w:cs="宋体"/>
                <w:color w:val="auto"/>
                <w:szCs w:val="21"/>
              </w:rPr>
              <w:t>单位</w:t>
            </w:r>
          </w:p>
        </w:tc>
        <w:tc>
          <w:tcPr>
            <w:tcW w:w="426" w:type="pct"/>
            <w:tcBorders>
              <w:top w:val="single" w:color="auto" w:sz="12" w:space="0"/>
              <w:bottom w:val="double" w:color="auto" w:sz="6" w:space="0"/>
            </w:tcBorders>
            <w:vAlign w:val="center"/>
          </w:tcPr>
          <w:p w14:paraId="6568A2FD">
            <w:pPr>
              <w:keepNext/>
              <w:spacing w:line="440" w:lineRule="exact"/>
              <w:jc w:val="center"/>
              <w:rPr>
                <w:rFonts w:cs="宋体"/>
                <w:color w:val="auto"/>
                <w:szCs w:val="21"/>
              </w:rPr>
            </w:pPr>
            <w:r>
              <w:rPr>
                <w:rFonts w:hint="eastAsia" w:cs="宋体"/>
                <w:color w:val="auto"/>
                <w:szCs w:val="21"/>
              </w:rPr>
              <w:t>数量</w:t>
            </w:r>
          </w:p>
        </w:tc>
        <w:tc>
          <w:tcPr>
            <w:tcW w:w="745" w:type="pct"/>
            <w:tcBorders>
              <w:top w:val="single" w:color="auto" w:sz="12" w:space="0"/>
              <w:bottom w:val="double" w:color="auto" w:sz="6" w:space="0"/>
            </w:tcBorders>
            <w:vAlign w:val="center"/>
          </w:tcPr>
          <w:p w14:paraId="07A647B4">
            <w:pPr>
              <w:keepNext/>
              <w:spacing w:line="440" w:lineRule="exact"/>
              <w:jc w:val="center"/>
              <w:rPr>
                <w:rFonts w:cs="宋体"/>
                <w:color w:val="auto"/>
                <w:szCs w:val="21"/>
              </w:rPr>
            </w:pPr>
            <w:r>
              <w:rPr>
                <w:rFonts w:hint="eastAsia" w:cs="宋体"/>
                <w:color w:val="auto"/>
                <w:szCs w:val="21"/>
              </w:rPr>
              <w:t>单价（元）</w:t>
            </w:r>
          </w:p>
        </w:tc>
        <w:tc>
          <w:tcPr>
            <w:tcW w:w="781" w:type="pct"/>
            <w:tcBorders>
              <w:top w:val="single" w:color="auto" w:sz="12" w:space="0"/>
              <w:bottom w:val="double" w:color="auto" w:sz="6" w:space="0"/>
            </w:tcBorders>
            <w:vAlign w:val="center"/>
          </w:tcPr>
          <w:p w14:paraId="13E237B2">
            <w:pPr>
              <w:keepNext/>
              <w:spacing w:line="440" w:lineRule="exact"/>
              <w:jc w:val="center"/>
              <w:rPr>
                <w:rFonts w:cs="宋体"/>
                <w:color w:val="auto"/>
                <w:szCs w:val="21"/>
              </w:rPr>
            </w:pPr>
            <w:r>
              <w:rPr>
                <w:rFonts w:hint="eastAsia" w:cs="宋体"/>
                <w:color w:val="auto"/>
                <w:szCs w:val="21"/>
              </w:rPr>
              <w:t>合价（元）</w:t>
            </w:r>
          </w:p>
        </w:tc>
        <w:tc>
          <w:tcPr>
            <w:tcW w:w="938" w:type="pct"/>
            <w:tcBorders>
              <w:top w:val="single" w:color="auto" w:sz="12" w:space="0"/>
              <w:bottom w:val="double" w:color="auto" w:sz="6" w:space="0"/>
            </w:tcBorders>
            <w:vAlign w:val="center"/>
          </w:tcPr>
          <w:p w14:paraId="22EEB13E">
            <w:pPr>
              <w:keepNext/>
              <w:spacing w:line="440" w:lineRule="exact"/>
              <w:jc w:val="center"/>
              <w:rPr>
                <w:rFonts w:cs="宋体"/>
                <w:color w:val="auto"/>
                <w:szCs w:val="21"/>
              </w:rPr>
            </w:pPr>
            <w:r>
              <w:rPr>
                <w:rFonts w:hint="eastAsia" w:cs="宋体"/>
                <w:color w:val="auto"/>
                <w:szCs w:val="21"/>
              </w:rPr>
              <w:t>备注</w:t>
            </w:r>
          </w:p>
        </w:tc>
      </w:tr>
      <w:tr w14:paraId="2974C2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double" w:color="auto" w:sz="6" w:space="0"/>
            </w:tcBorders>
            <w:vAlign w:val="center"/>
          </w:tcPr>
          <w:p w14:paraId="5C036D7F">
            <w:pPr>
              <w:keepNext/>
              <w:spacing w:line="440" w:lineRule="exact"/>
              <w:jc w:val="center"/>
              <w:rPr>
                <w:rFonts w:cs="宋体"/>
                <w:color w:val="auto"/>
                <w:szCs w:val="21"/>
              </w:rPr>
            </w:pPr>
          </w:p>
        </w:tc>
        <w:tc>
          <w:tcPr>
            <w:tcW w:w="1094" w:type="pct"/>
            <w:tcBorders>
              <w:top w:val="double" w:color="auto" w:sz="6" w:space="0"/>
            </w:tcBorders>
            <w:vAlign w:val="center"/>
          </w:tcPr>
          <w:p w14:paraId="358E1010">
            <w:pPr>
              <w:keepNext/>
              <w:spacing w:line="440" w:lineRule="exact"/>
              <w:jc w:val="center"/>
              <w:rPr>
                <w:rFonts w:cs="宋体"/>
                <w:color w:val="auto"/>
                <w:szCs w:val="21"/>
              </w:rPr>
            </w:pPr>
          </w:p>
        </w:tc>
        <w:tc>
          <w:tcPr>
            <w:tcW w:w="468" w:type="pct"/>
            <w:tcBorders>
              <w:top w:val="double" w:color="auto" w:sz="6" w:space="0"/>
            </w:tcBorders>
            <w:vAlign w:val="center"/>
          </w:tcPr>
          <w:p w14:paraId="523931F5">
            <w:pPr>
              <w:keepNext/>
              <w:spacing w:line="440" w:lineRule="exact"/>
              <w:jc w:val="center"/>
              <w:rPr>
                <w:rFonts w:cs="宋体"/>
                <w:color w:val="auto"/>
                <w:szCs w:val="21"/>
              </w:rPr>
            </w:pPr>
          </w:p>
        </w:tc>
        <w:tc>
          <w:tcPr>
            <w:tcW w:w="426" w:type="pct"/>
            <w:tcBorders>
              <w:top w:val="double" w:color="auto" w:sz="6" w:space="0"/>
            </w:tcBorders>
            <w:vAlign w:val="center"/>
          </w:tcPr>
          <w:p w14:paraId="2AABE73F">
            <w:pPr>
              <w:keepNext/>
              <w:spacing w:line="440" w:lineRule="exact"/>
              <w:jc w:val="center"/>
              <w:rPr>
                <w:rFonts w:cs="宋体"/>
                <w:color w:val="auto"/>
                <w:szCs w:val="21"/>
              </w:rPr>
            </w:pPr>
          </w:p>
        </w:tc>
        <w:tc>
          <w:tcPr>
            <w:tcW w:w="745" w:type="pct"/>
            <w:tcBorders>
              <w:top w:val="double" w:color="auto" w:sz="6" w:space="0"/>
            </w:tcBorders>
            <w:vAlign w:val="center"/>
          </w:tcPr>
          <w:p w14:paraId="416843B7">
            <w:pPr>
              <w:keepNext/>
              <w:spacing w:line="440" w:lineRule="exact"/>
              <w:jc w:val="center"/>
              <w:rPr>
                <w:rFonts w:cs="宋体"/>
                <w:color w:val="auto"/>
                <w:szCs w:val="21"/>
              </w:rPr>
            </w:pPr>
          </w:p>
        </w:tc>
        <w:tc>
          <w:tcPr>
            <w:tcW w:w="781" w:type="pct"/>
            <w:tcBorders>
              <w:top w:val="double" w:color="auto" w:sz="6" w:space="0"/>
            </w:tcBorders>
            <w:vAlign w:val="center"/>
          </w:tcPr>
          <w:p w14:paraId="079F8DAD">
            <w:pPr>
              <w:keepNext/>
              <w:spacing w:line="440" w:lineRule="exact"/>
              <w:jc w:val="center"/>
              <w:rPr>
                <w:rFonts w:cs="宋体"/>
                <w:color w:val="auto"/>
                <w:szCs w:val="21"/>
              </w:rPr>
            </w:pPr>
          </w:p>
        </w:tc>
        <w:tc>
          <w:tcPr>
            <w:tcW w:w="938" w:type="pct"/>
            <w:tcBorders>
              <w:top w:val="double" w:color="auto" w:sz="6" w:space="0"/>
            </w:tcBorders>
            <w:vAlign w:val="center"/>
          </w:tcPr>
          <w:p w14:paraId="7B590E84">
            <w:pPr>
              <w:keepNext/>
              <w:spacing w:line="440" w:lineRule="exact"/>
              <w:jc w:val="center"/>
              <w:rPr>
                <w:rFonts w:cs="宋体"/>
                <w:color w:val="auto"/>
                <w:szCs w:val="21"/>
              </w:rPr>
            </w:pPr>
          </w:p>
        </w:tc>
      </w:tr>
      <w:tr w14:paraId="36FEEB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nil"/>
            </w:tcBorders>
            <w:vAlign w:val="center"/>
          </w:tcPr>
          <w:p w14:paraId="3D3B57B3">
            <w:pPr>
              <w:keepNext/>
              <w:spacing w:line="440" w:lineRule="exact"/>
              <w:jc w:val="center"/>
              <w:rPr>
                <w:rFonts w:cs="宋体"/>
                <w:color w:val="auto"/>
                <w:szCs w:val="21"/>
              </w:rPr>
            </w:pPr>
          </w:p>
        </w:tc>
        <w:tc>
          <w:tcPr>
            <w:tcW w:w="1094" w:type="pct"/>
            <w:tcBorders>
              <w:top w:val="nil"/>
            </w:tcBorders>
            <w:vAlign w:val="center"/>
          </w:tcPr>
          <w:p w14:paraId="6A35A316">
            <w:pPr>
              <w:keepNext/>
              <w:spacing w:line="440" w:lineRule="exact"/>
              <w:jc w:val="center"/>
              <w:rPr>
                <w:rFonts w:cs="宋体"/>
                <w:color w:val="auto"/>
                <w:szCs w:val="21"/>
              </w:rPr>
            </w:pPr>
          </w:p>
        </w:tc>
        <w:tc>
          <w:tcPr>
            <w:tcW w:w="468" w:type="pct"/>
            <w:tcBorders>
              <w:top w:val="nil"/>
            </w:tcBorders>
            <w:vAlign w:val="center"/>
          </w:tcPr>
          <w:p w14:paraId="5D4E45C7">
            <w:pPr>
              <w:keepNext/>
              <w:spacing w:line="440" w:lineRule="exact"/>
              <w:jc w:val="center"/>
              <w:rPr>
                <w:rFonts w:cs="宋体"/>
                <w:color w:val="auto"/>
                <w:szCs w:val="21"/>
              </w:rPr>
            </w:pPr>
          </w:p>
        </w:tc>
        <w:tc>
          <w:tcPr>
            <w:tcW w:w="426" w:type="pct"/>
            <w:tcBorders>
              <w:top w:val="nil"/>
            </w:tcBorders>
            <w:vAlign w:val="center"/>
          </w:tcPr>
          <w:p w14:paraId="4DF2FA9C">
            <w:pPr>
              <w:keepNext/>
              <w:spacing w:line="440" w:lineRule="exact"/>
              <w:jc w:val="center"/>
              <w:rPr>
                <w:rFonts w:cs="宋体"/>
                <w:color w:val="auto"/>
                <w:szCs w:val="21"/>
              </w:rPr>
            </w:pPr>
          </w:p>
        </w:tc>
        <w:tc>
          <w:tcPr>
            <w:tcW w:w="745" w:type="pct"/>
            <w:tcBorders>
              <w:top w:val="nil"/>
            </w:tcBorders>
            <w:vAlign w:val="center"/>
          </w:tcPr>
          <w:p w14:paraId="33919984">
            <w:pPr>
              <w:keepNext/>
              <w:spacing w:line="440" w:lineRule="exact"/>
              <w:jc w:val="center"/>
              <w:rPr>
                <w:rFonts w:cs="宋体"/>
                <w:color w:val="auto"/>
                <w:szCs w:val="21"/>
              </w:rPr>
            </w:pPr>
          </w:p>
        </w:tc>
        <w:tc>
          <w:tcPr>
            <w:tcW w:w="781" w:type="pct"/>
            <w:tcBorders>
              <w:top w:val="nil"/>
            </w:tcBorders>
            <w:vAlign w:val="center"/>
          </w:tcPr>
          <w:p w14:paraId="4DE1FC9F">
            <w:pPr>
              <w:keepNext/>
              <w:spacing w:line="440" w:lineRule="exact"/>
              <w:jc w:val="center"/>
              <w:rPr>
                <w:rFonts w:cs="宋体"/>
                <w:color w:val="auto"/>
                <w:szCs w:val="21"/>
              </w:rPr>
            </w:pPr>
          </w:p>
        </w:tc>
        <w:tc>
          <w:tcPr>
            <w:tcW w:w="938" w:type="pct"/>
            <w:tcBorders>
              <w:top w:val="nil"/>
            </w:tcBorders>
            <w:vAlign w:val="center"/>
          </w:tcPr>
          <w:p w14:paraId="559B6784">
            <w:pPr>
              <w:keepNext/>
              <w:spacing w:line="440" w:lineRule="exact"/>
              <w:jc w:val="center"/>
              <w:rPr>
                <w:rFonts w:cs="宋体"/>
                <w:color w:val="auto"/>
                <w:szCs w:val="21"/>
              </w:rPr>
            </w:pPr>
          </w:p>
        </w:tc>
      </w:tr>
      <w:tr w14:paraId="72206D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vAlign w:val="center"/>
          </w:tcPr>
          <w:p w14:paraId="463CB16E">
            <w:pPr>
              <w:keepNext/>
              <w:spacing w:line="440" w:lineRule="exact"/>
              <w:jc w:val="center"/>
              <w:rPr>
                <w:rFonts w:cs="宋体"/>
                <w:color w:val="auto"/>
                <w:szCs w:val="21"/>
              </w:rPr>
            </w:pPr>
          </w:p>
        </w:tc>
        <w:tc>
          <w:tcPr>
            <w:tcW w:w="1094" w:type="pct"/>
            <w:vAlign w:val="center"/>
          </w:tcPr>
          <w:p w14:paraId="4A794F3F">
            <w:pPr>
              <w:keepNext/>
              <w:spacing w:line="440" w:lineRule="exact"/>
              <w:jc w:val="center"/>
              <w:rPr>
                <w:rFonts w:cs="宋体"/>
                <w:color w:val="auto"/>
                <w:szCs w:val="21"/>
              </w:rPr>
            </w:pPr>
          </w:p>
        </w:tc>
        <w:tc>
          <w:tcPr>
            <w:tcW w:w="468" w:type="pct"/>
            <w:vAlign w:val="center"/>
          </w:tcPr>
          <w:p w14:paraId="1EE5F0AB">
            <w:pPr>
              <w:keepNext/>
              <w:spacing w:line="440" w:lineRule="exact"/>
              <w:jc w:val="center"/>
              <w:rPr>
                <w:rFonts w:cs="宋体"/>
                <w:color w:val="auto"/>
                <w:szCs w:val="21"/>
              </w:rPr>
            </w:pPr>
          </w:p>
        </w:tc>
        <w:tc>
          <w:tcPr>
            <w:tcW w:w="426" w:type="pct"/>
            <w:vAlign w:val="center"/>
          </w:tcPr>
          <w:p w14:paraId="6E5935FF">
            <w:pPr>
              <w:keepNext/>
              <w:spacing w:line="440" w:lineRule="exact"/>
              <w:jc w:val="center"/>
              <w:rPr>
                <w:rFonts w:cs="宋体"/>
                <w:color w:val="auto"/>
                <w:szCs w:val="21"/>
              </w:rPr>
            </w:pPr>
          </w:p>
        </w:tc>
        <w:tc>
          <w:tcPr>
            <w:tcW w:w="745" w:type="pct"/>
            <w:vAlign w:val="center"/>
          </w:tcPr>
          <w:p w14:paraId="556CA924">
            <w:pPr>
              <w:keepNext/>
              <w:spacing w:line="440" w:lineRule="exact"/>
              <w:jc w:val="center"/>
              <w:rPr>
                <w:rFonts w:cs="宋体"/>
                <w:color w:val="auto"/>
                <w:szCs w:val="21"/>
              </w:rPr>
            </w:pPr>
          </w:p>
        </w:tc>
        <w:tc>
          <w:tcPr>
            <w:tcW w:w="781" w:type="pct"/>
            <w:vAlign w:val="center"/>
          </w:tcPr>
          <w:p w14:paraId="4E23E51A">
            <w:pPr>
              <w:keepNext/>
              <w:spacing w:line="440" w:lineRule="exact"/>
              <w:jc w:val="center"/>
              <w:rPr>
                <w:rFonts w:cs="宋体"/>
                <w:color w:val="auto"/>
                <w:szCs w:val="21"/>
              </w:rPr>
            </w:pPr>
          </w:p>
        </w:tc>
        <w:tc>
          <w:tcPr>
            <w:tcW w:w="938" w:type="pct"/>
            <w:vAlign w:val="center"/>
          </w:tcPr>
          <w:p w14:paraId="256BD552">
            <w:pPr>
              <w:keepNext/>
              <w:spacing w:line="440" w:lineRule="exact"/>
              <w:jc w:val="center"/>
              <w:rPr>
                <w:rFonts w:cs="宋体"/>
                <w:color w:val="auto"/>
                <w:szCs w:val="21"/>
              </w:rPr>
            </w:pPr>
          </w:p>
        </w:tc>
      </w:tr>
      <w:tr w14:paraId="2377A7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bottom w:val="single" w:color="auto" w:sz="12" w:space="0"/>
            </w:tcBorders>
            <w:vAlign w:val="center"/>
          </w:tcPr>
          <w:p w14:paraId="11DFA6F0">
            <w:pPr>
              <w:keepNext/>
              <w:spacing w:line="440" w:lineRule="exact"/>
              <w:jc w:val="center"/>
              <w:rPr>
                <w:rFonts w:cs="宋体"/>
                <w:color w:val="auto"/>
                <w:szCs w:val="21"/>
              </w:rPr>
            </w:pPr>
          </w:p>
        </w:tc>
        <w:tc>
          <w:tcPr>
            <w:tcW w:w="1094" w:type="pct"/>
            <w:tcBorders>
              <w:bottom w:val="single" w:color="auto" w:sz="12" w:space="0"/>
            </w:tcBorders>
            <w:vAlign w:val="center"/>
          </w:tcPr>
          <w:p w14:paraId="7071FCDD">
            <w:pPr>
              <w:keepNext/>
              <w:spacing w:line="440" w:lineRule="exact"/>
              <w:jc w:val="center"/>
              <w:rPr>
                <w:rFonts w:cs="宋体"/>
                <w:color w:val="auto"/>
                <w:szCs w:val="21"/>
              </w:rPr>
            </w:pPr>
          </w:p>
        </w:tc>
        <w:tc>
          <w:tcPr>
            <w:tcW w:w="468" w:type="pct"/>
            <w:tcBorders>
              <w:bottom w:val="single" w:color="auto" w:sz="12" w:space="0"/>
            </w:tcBorders>
            <w:vAlign w:val="center"/>
          </w:tcPr>
          <w:p w14:paraId="1C54F1B7">
            <w:pPr>
              <w:keepNext/>
              <w:spacing w:line="440" w:lineRule="exact"/>
              <w:jc w:val="center"/>
              <w:rPr>
                <w:rFonts w:cs="宋体"/>
                <w:color w:val="auto"/>
                <w:szCs w:val="21"/>
              </w:rPr>
            </w:pPr>
          </w:p>
        </w:tc>
        <w:tc>
          <w:tcPr>
            <w:tcW w:w="426" w:type="pct"/>
            <w:tcBorders>
              <w:bottom w:val="single" w:color="auto" w:sz="12" w:space="0"/>
            </w:tcBorders>
            <w:vAlign w:val="center"/>
          </w:tcPr>
          <w:p w14:paraId="77405CA0">
            <w:pPr>
              <w:keepNext/>
              <w:spacing w:line="440" w:lineRule="exact"/>
              <w:jc w:val="center"/>
              <w:rPr>
                <w:rFonts w:cs="宋体"/>
                <w:color w:val="auto"/>
                <w:szCs w:val="21"/>
              </w:rPr>
            </w:pPr>
          </w:p>
        </w:tc>
        <w:tc>
          <w:tcPr>
            <w:tcW w:w="745" w:type="pct"/>
            <w:tcBorders>
              <w:bottom w:val="single" w:color="auto" w:sz="12" w:space="0"/>
            </w:tcBorders>
            <w:vAlign w:val="center"/>
          </w:tcPr>
          <w:p w14:paraId="469748F0">
            <w:pPr>
              <w:keepNext/>
              <w:spacing w:line="440" w:lineRule="exact"/>
              <w:jc w:val="center"/>
              <w:rPr>
                <w:rFonts w:cs="宋体"/>
                <w:color w:val="auto"/>
                <w:szCs w:val="21"/>
              </w:rPr>
            </w:pPr>
          </w:p>
        </w:tc>
        <w:tc>
          <w:tcPr>
            <w:tcW w:w="781" w:type="pct"/>
            <w:tcBorders>
              <w:bottom w:val="single" w:color="auto" w:sz="12" w:space="0"/>
            </w:tcBorders>
            <w:vAlign w:val="center"/>
          </w:tcPr>
          <w:p w14:paraId="7B0ABF09">
            <w:pPr>
              <w:keepNext/>
              <w:spacing w:line="440" w:lineRule="exact"/>
              <w:jc w:val="center"/>
              <w:rPr>
                <w:rFonts w:cs="宋体"/>
                <w:color w:val="auto"/>
                <w:szCs w:val="21"/>
              </w:rPr>
            </w:pPr>
          </w:p>
        </w:tc>
        <w:tc>
          <w:tcPr>
            <w:tcW w:w="938" w:type="pct"/>
            <w:tcBorders>
              <w:bottom w:val="single" w:color="auto" w:sz="12" w:space="0"/>
            </w:tcBorders>
            <w:vAlign w:val="center"/>
          </w:tcPr>
          <w:p w14:paraId="77B5AEB3">
            <w:pPr>
              <w:keepNext/>
              <w:spacing w:line="440" w:lineRule="exact"/>
              <w:jc w:val="center"/>
              <w:rPr>
                <w:rFonts w:cs="宋体"/>
                <w:color w:val="auto"/>
                <w:szCs w:val="21"/>
              </w:rPr>
            </w:pPr>
          </w:p>
        </w:tc>
      </w:tr>
    </w:tbl>
    <w:p w14:paraId="6A95C947">
      <w:pPr>
        <w:spacing w:before="156" w:beforeLines="50" w:after="156" w:afterLines="50" w:line="440" w:lineRule="exact"/>
        <w:jc w:val="center"/>
        <w:rPr>
          <w:rFonts w:cs="宋体"/>
          <w:color w:val="auto"/>
          <w:szCs w:val="21"/>
        </w:rPr>
      </w:pPr>
      <w:r>
        <w:rPr>
          <w:rFonts w:hint="eastAsia" w:cs="宋体"/>
          <w:color w:val="auto"/>
          <w:szCs w:val="21"/>
        </w:rPr>
        <w:t>12-3：专业工程暂估价表</w:t>
      </w:r>
    </w:p>
    <w:tbl>
      <w:tblPr>
        <w:tblStyle w:val="5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990"/>
        <w:gridCol w:w="1977"/>
        <w:gridCol w:w="846"/>
        <w:gridCol w:w="770"/>
        <w:gridCol w:w="1346"/>
        <w:gridCol w:w="1411"/>
        <w:gridCol w:w="1696"/>
      </w:tblGrid>
      <w:tr w14:paraId="435530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single" w:color="auto" w:sz="12" w:space="0"/>
              <w:bottom w:val="double" w:color="auto" w:sz="6" w:space="0"/>
            </w:tcBorders>
            <w:vAlign w:val="center"/>
          </w:tcPr>
          <w:p w14:paraId="638BB32C">
            <w:pPr>
              <w:keepNext/>
              <w:spacing w:line="440" w:lineRule="exact"/>
              <w:jc w:val="center"/>
              <w:rPr>
                <w:rFonts w:cs="宋体"/>
                <w:color w:val="auto"/>
                <w:szCs w:val="21"/>
              </w:rPr>
            </w:pPr>
            <w:r>
              <w:rPr>
                <w:rFonts w:hint="eastAsia" w:cs="宋体"/>
                <w:color w:val="auto"/>
                <w:szCs w:val="21"/>
              </w:rPr>
              <w:t>序号</w:t>
            </w:r>
          </w:p>
        </w:tc>
        <w:tc>
          <w:tcPr>
            <w:tcW w:w="1094" w:type="pct"/>
            <w:tcBorders>
              <w:top w:val="single" w:color="auto" w:sz="12" w:space="0"/>
              <w:bottom w:val="double" w:color="auto" w:sz="6" w:space="0"/>
            </w:tcBorders>
            <w:vAlign w:val="center"/>
          </w:tcPr>
          <w:p w14:paraId="661C4C10">
            <w:pPr>
              <w:keepNext/>
              <w:spacing w:line="440" w:lineRule="exact"/>
              <w:jc w:val="center"/>
              <w:rPr>
                <w:rFonts w:cs="宋体"/>
                <w:color w:val="auto"/>
                <w:szCs w:val="21"/>
              </w:rPr>
            </w:pPr>
            <w:r>
              <w:rPr>
                <w:rFonts w:hint="eastAsia" w:cs="宋体"/>
                <w:color w:val="auto"/>
                <w:szCs w:val="21"/>
              </w:rPr>
              <w:t>名称</w:t>
            </w:r>
          </w:p>
        </w:tc>
        <w:tc>
          <w:tcPr>
            <w:tcW w:w="468" w:type="pct"/>
            <w:tcBorders>
              <w:top w:val="single" w:color="auto" w:sz="12" w:space="0"/>
              <w:bottom w:val="double" w:color="auto" w:sz="6" w:space="0"/>
            </w:tcBorders>
            <w:vAlign w:val="center"/>
          </w:tcPr>
          <w:p w14:paraId="52996084">
            <w:pPr>
              <w:keepNext/>
              <w:spacing w:line="440" w:lineRule="exact"/>
              <w:jc w:val="center"/>
              <w:rPr>
                <w:rFonts w:cs="宋体"/>
                <w:color w:val="auto"/>
                <w:szCs w:val="21"/>
              </w:rPr>
            </w:pPr>
            <w:r>
              <w:rPr>
                <w:rFonts w:hint="eastAsia" w:cs="宋体"/>
                <w:color w:val="auto"/>
                <w:szCs w:val="21"/>
              </w:rPr>
              <w:t>单位</w:t>
            </w:r>
          </w:p>
        </w:tc>
        <w:tc>
          <w:tcPr>
            <w:tcW w:w="426" w:type="pct"/>
            <w:tcBorders>
              <w:top w:val="single" w:color="auto" w:sz="12" w:space="0"/>
              <w:bottom w:val="double" w:color="auto" w:sz="6" w:space="0"/>
            </w:tcBorders>
            <w:vAlign w:val="center"/>
          </w:tcPr>
          <w:p w14:paraId="3A876EF2">
            <w:pPr>
              <w:keepNext/>
              <w:spacing w:line="440" w:lineRule="exact"/>
              <w:jc w:val="center"/>
              <w:rPr>
                <w:rFonts w:cs="宋体"/>
                <w:color w:val="auto"/>
                <w:szCs w:val="21"/>
              </w:rPr>
            </w:pPr>
            <w:r>
              <w:rPr>
                <w:rFonts w:hint="eastAsia" w:cs="宋体"/>
                <w:color w:val="auto"/>
                <w:szCs w:val="21"/>
              </w:rPr>
              <w:t>数量</w:t>
            </w:r>
          </w:p>
        </w:tc>
        <w:tc>
          <w:tcPr>
            <w:tcW w:w="745" w:type="pct"/>
            <w:tcBorders>
              <w:top w:val="single" w:color="auto" w:sz="12" w:space="0"/>
              <w:bottom w:val="double" w:color="auto" w:sz="6" w:space="0"/>
            </w:tcBorders>
            <w:vAlign w:val="center"/>
          </w:tcPr>
          <w:p w14:paraId="5B60D154">
            <w:pPr>
              <w:keepNext/>
              <w:spacing w:line="440" w:lineRule="exact"/>
              <w:jc w:val="center"/>
              <w:rPr>
                <w:rFonts w:cs="宋体"/>
                <w:color w:val="auto"/>
                <w:szCs w:val="21"/>
              </w:rPr>
            </w:pPr>
            <w:r>
              <w:rPr>
                <w:rFonts w:hint="eastAsia" w:cs="宋体"/>
                <w:color w:val="auto"/>
                <w:szCs w:val="21"/>
              </w:rPr>
              <w:t>单价（元）</w:t>
            </w:r>
          </w:p>
        </w:tc>
        <w:tc>
          <w:tcPr>
            <w:tcW w:w="781" w:type="pct"/>
            <w:tcBorders>
              <w:top w:val="single" w:color="auto" w:sz="12" w:space="0"/>
              <w:bottom w:val="double" w:color="auto" w:sz="6" w:space="0"/>
            </w:tcBorders>
            <w:vAlign w:val="center"/>
          </w:tcPr>
          <w:p w14:paraId="1742B19D">
            <w:pPr>
              <w:keepNext/>
              <w:spacing w:line="440" w:lineRule="exact"/>
              <w:jc w:val="center"/>
              <w:rPr>
                <w:rFonts w:cs="宋体"/>
                <w:color w:val="auto"/>
                <w:szCs w:val="21"/>
              </w:rPr>
            </w:pPr>
            <w:r>
              <w:rPr>
                <w:rFonts w:hint="eastAsia" w:cs="宋体"/>
                <w:color w:val="auto"/>
                <w:szCs w:val="21"/>
              </w:rPr>
              <w:t>合价（元）</w:t>
            </w:r>
          </w:p>
        </w:tc>
        <w:tc>
          <w:tcPr>
            <w:tcW w:w="938" w:type="pct"/>
            <w:tcBorders>
              <w:top w:val="single" w:color="auto" w:sz="12" w:space="0"/>
              <w:bottom w:val="double" w:color="auto" w:sz="6" w:space="0"/>
            </w:tcBorders>
            <w:vAlign w:val="center"/>
          </w:tcPr>
          <w:p w14:paraId="403C69F3">
            <w:pPr>
              <w:keepNext/>
              <w:spacing w:line="440" w:lineRule="exact"/>
              <w:jc w:val="center"/>
              <w:rPr>
                <w:rFonts w:cs="宋体"/>
                <w:color w:val="auto"/>
                <w:szCs w:val="21"/>
              </w:rPr>
            </w:pPr>
            <w:r>
              <w:rPr>
                <w:rFonts w:hint="eastAsia" w:cs="宋体"/>
                <w:color w:val="auto"/>
                <w:szCs w:val="21"/>
              </w:rPr>
              <w:t>备注</w:t>
            </w:r>
          </w:p>
        </w:tc>
      </w:tr>
      <w:tr w14:paraId="3AD6CA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double" w:color="auto" w:sz="6" w:space="0"/>
            </w:tcBorders>
            <w:vAlign w:val="center"/>
          </w:tcPr>
          <w:p w14:paraId="3E6859CE">
            <w:pPr>
              <w:keepNext/>
              <w:spacing w:line="440" w:lineRule="exact"/>
              <w:jc w:val="center"/>
              <w:rPr>
                <w:rFonts w:cs="宋体"/>
                <w:color w:val="auto"/>
                <w:szCs w:val="21"/>
              </w:rPr>
            </w:pPr>
          </w:p>
        </w:tc>
        <w:tc>
          <w:tcPr>
            <w:tcW w:w="1094" w:type="pct"/>
            <w:tcBorders>
              <w:top w:val="double" w:color="auto" w:sz="6" w:space="0"/>
            </w:tcBorders>
            <w:vAlign w:val="center"/>
          </w:tcPr>
          <w:p w14:paraId="4EC4E480">
            <w:pPr>
              <w:keepNext/>
              <w:spacing w:line="440" w:lineRule="exact"/>
              <w:jc w:val="center"/>
              <w:rPr>
                <w:rFonts w:cs="宋体"/>
                <w:color w:val="auto"/>
                <w:szCs w:val="21"/>
              </w:rPr>
            </w:pPr>
          </w:p>
        </w:tc>
        <w:tc>
          <w:tcPr>
            <w:tcW w:w="468" w:type="pct"/>
            <w:tcBorders>
              <w:top w:val="double" w:color="auto" w:sz="6" w:space="0"/>
            </w:tcBorders>
            <w:vAlign w:val="center"/>
          </w:tcPr>
          <w:p w14:paraId="3F352EB5">
            <w:pPr>
              <w:keepNext/>
              <w:spacing w:line="440" w:lineRule="exact"/>
              <w:jc w:val="center"/>
              <w:rPr>
                <w:rFonts w:cs="宋体"/>
                <w:color w:val="auto"/>
                <w:szCs w:val="21"/>
              </w:rPr>
            </w:pPr>
          </w:p>
        </w:tc>
        <w:tc>
          <w:tcPr>
            <w:tcW w:w="426" w:type="pct"/>
            <w:tcBorders>
              <w:top w:val="double" w:color="auto" w:sz="6" w:space="0"/>
            </w:tcBorders>
            <w:vAlign w:val="center"/>
          </w:tcPr>
          <w:p w14:paraId="1C647E3D">
            <w:pPr>
              <w:keepNext/>
              <w:spacing w:line="440" w:lineRule="exact"/>
              <w:jc w:val="center"/>
              <w:rPr>
                <w:rFonts w:cs="宋体"/>
                <w:color w:val="auto"/>
                <w:szCs w:val="21"/>
              </w:rPr>
            </w:pPr>
          </w:p>
        </w:tc>
        <w:tc>
          <w:tcPr>
            <w:tcW w:w="745" w:type="pct"/>
            <w:tcBorders>
              <w:top w:val="double" w:color="auto" w:sz="6" w:space="0"/>
            </w:tcBorders>
            <w:vAlign w:val="center"/>
          </w:tcPr>
          <w:p w14:paraId="5E7B1956">
            <w:pPr>
              <w:keepNext/>
              <w:spacing w:line="440" w:lineRule="exact"/>
              <w:jc w:val="center"/>
              <w:rPr>
                <w:rFonts w:cs="宋体"/>
                <w:color w:val="auto"/>
                <w:szCs w:val="21"/>
              </w:rPr>
            </w:pPr>
          </w:p>
        </w:tc>
        <w:tc>
          <w:tcPr>
            <w:tcW w:w="781" w:type="pct"/>
            <w:tcBorders>
              <w:top w:val="double" w:color="auto" w:sz="6" w:space="0"/>
            </w:tcBorders>
            <w:vAlign w:val="center"/>
          </w:tcPr>
          <w:p w14:paraId="72A421CE">
            <w:pPr>
              <w:keepNext/>
              <w:spacing w:line="440" w:lineRule="exact"/>
              <w:jc w:val="center"/>
              <w:rPr>
                <w:rFonts w:cs="宋体"/>
                <w:color w:val="auto"/>
                <w:szCs w:val="21"/>
              </w:rPr>
            </w:pPr>
          </w:p>
        </w:tc>
        <w:tc>
          <w:tcPr>
            <w:tcW w:w="938" w:type="pct"/>
            <w:tcBorders>
              <w:top w:val="double" w:color="auto" w:sz="6" w:space="0"/>
            </w:tcBorders>
            <w:vAlign w:val="center"/>
          </w:tcPr>
          <w:p w14:paraId="72A230C3">
            <w:pPr>
              <w:keepNext/>
              <w:spacing w:line="440" w:lineRule="exact"/>
              <w:jc w:val="center"/>
              <w:rPr>
                <w:rFonts w:cs="宋体"/>
                <w:color w:val="auto"/>
                <w:szCs w:val="21"/>
              </w:rPr>
            </w:pPr>
          </w:p>
        </w:tc>
      </w:tr>
      <w:tr w14:paraId="4E9548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nil"/>
            </w:tcBorders>
            <w:vAlign w:val="center"/>
          </w:tcPr>
          <w:p w14:paraId="61BE8A77">
            <w:pPr>
              <w:keepNext/>
              <w:spacing w:line="440" w:lineRule="exact"/>
              <w:jc w:val="center"/>
              <w:rPr>
                <w:rFonts w:cs="宋体"/>
                <w:color w:val="auto"/>
                <w:szCs w:val="21"/>
              </w:rPr>
            </w:pPr>
          </w:p>
        </w:tc>
        <w:tc>
          <w:tcPr>
            <w:tcW w:w="1094" w:type="pct"/>
            <w:tcBorders>
              <w:top w:val="nil"/>
            </w:tcBorders>
            <w:vAlign w:val="center"/>
          </w:tcPr>
          <w:p w14:paraId="0AA870D1">
            <w:pPr>
              <w:keepNext/>
              <w:spacing w:line="440" w:lineRule="exact"/>
              <w:jc w:val="center"/>
              <w:rPr>
                <w:rFonts w:cs="宋体"/>
                <w:color w:val="auto"/>
                <w:szCs w:val="21"/>
              </w:rPr>
            </w:pPr>
          </w:p>
        </w:tc>
        <w:tc>
          <w:tcPr>
            <w:tcW w:w="468" w:type="pct"/>
            <w:tcBorders>
              <w:top w:val="nil"/>
            </w:tcBorders>
            <w:vAlign w:val="center"/>
          </w:tcPr>
          <w:p w14:paraId="74DFE68B">
            <w:pPr>
              <w:keepNext/>
              <w:spacing w:line="440" w:lineRule="exact"/>
              <w:jc w:val="center"/>
              <w:rPr>
                <w:rFonts w:cs="宋体"/>
                <w:color w:val="auto"/>
                <w:szCs w:val="21"/>
              </w:rPr>
            </w:pPr>
          </w:p>
        </w:tc>
        <w:tc>
          <w:tcPr>
            <w:tcW w:w="426" w:type="pct"/>
            <w:tcBorders>
              <w:top w:val="nil"/>
            </w:tcBorders>
            <w:vAlign w:val="center"/>
          </w:tcPr>
          <w:p w14:paraId="49FFEF35">
            <w:pPr>
              <w:keepNext/>
              <w:spacing w:line="440" w:lineRule="exact"/>
              <w:jc w:val="center"/>
              <w:rPr>
                <w:rFonts w:cs="宋体"/>
                <w:color w:val="auto"/>
                <w:szCs w:val="21"/>
              </w:rPr>
            </w:pPr>
          </w:p>
        </w:tc>
        <w:tc>
          <w:tcPr>
            <w:tcW w:w="745" w:type="pct"/>
            <w:tcBorders>
              <w:top w:val="nil"/>
            </w:tcBorders>
            <w:vAlign w:val="center"/>
          </w:tcPr>
          <w:p w14:paraId="62ED4126">
            <w:pPr>
              <w:keepNext/>
              <w:spacing w:line="440" w:lineRule="exact"/>
              <w:jc w:val="center"/>
              <w:rPr>
                <w:rFonts w:cs="宋体"/>
                <w:color w:val="auto"/>
                <w:szCs w:val="21"/>
              </w:rPr>
            </w:pPr>
          </w:p>
        </w:tc>
        <w:tc>
          <w:tcPr>
            <w:tcW w:w="781" w:type="pct"/>
            <w:tcBorders>
              <w:top w:val="nil"/>
            </w:tcBorders>
            <w:vAlign w:val="center"/>
          </w:tcPr>
          <w:p w14:paraId="3606FCF7">
            <w:pPr>
              <w:keepNext/>
              <w:spacing w:line="440" w:lineRule="exact"/>
              <w:jc w:val="center"/>
              <w:rPr>
                <w:rFonts w:cs="宋体"/>
                <w:color w:val="auto"/>
                <w:szCs w:val="21"/>
              </w:rPr>
            </w:pPr>
          </w:p>
        </w:tc>
        <w:tc>
          <w:tcPr>
            <w:tcW w:w="938" w:type="pct"/>
            <w:tcBorders>
              <w:top w:val="nil"/>
            </w:tcBorders>
            <w:vAlign w:val="center"/>
          </w:tcPr>
          <w:p w14:paraId="389A2007">
            <w:pPr>
              <w:keepNext/>
              <w:spacing w:line="440" w:lineRule="exact"/>
              <w:jc w:val="center"/>
              <w:rPr>
                <w:rFonts w:cs="宋体"/>
                <w:color w:val="auto"/>
                <w:szCs w:val="21"/>
              </w:rPr>
            </w:pPr>
          </w:p>
        </w:tc>
      </w:tr>
      <w:tr w14:paraId="164E58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vAlign w:val="center"/>
          </w:tcPr>
          <w:p w14:paraId="3A07FECD">
            <w:pPr>
              <w:keepNext/>
              <w:spacing w:line="440" w:lineRule="exact"/>
              <w:jc w:val="center"/>
              <w:rPr>
                <w:rFonts w:cs="宋体"/>
                <w:color w:val="auto"/>
                <w:szCs w:val="21"/>
              </w:rPr>
            </w:pPr>
          </w:p>
        </w:tc>
        <w:tc>
          <w:tcPr>
            <w:tcW w:w="1094" w:type="pct"/>
            <w:vAlign w:val="center"/>
          </w:tcPr>
          <w:p w14:paraId="3B4ECC46">
            <w:pPr>
              <w:keepNext/>
              <w:spacing w:line="440" w:lineRule="exact"/>
              <w:jc w:val="center"/>
              <w:rPr>
                <w:rFonts w:cs="宋体"/>
                <w:color w:val="auto"/>
                <w:szCs w:val="21"/>
              </w:rPr>
            </w:pPr>
          </w:p>
        </w:tc>
        <w:tc>
          <w:tcPr>
            <w:tcW w:w="468" w:type="pct"/>
            <w:vAlign w:val="center"/>
          </w:tcPr>
          <w:p w14:paraId="2120B007">
            <w:pPr>
              <w:keepNext/>
              <w:spacing w:line="440" w:lineRule="exact"/>
              <w:jc w:val="center"/>
              <w:rPr>
                <w:rFonts w:cs="宋体"/>
                <w:color w:val="auto"/>
                <w:szCs w:val="21"/>
              </w:rPr>
            </w:pPr>
          </w:p>
        </w:tc>
        <w:tc>
          <w:tcPr>
            <w:tcW w:w="426" w:type="pct"/>
            <w:vAlign w:val="center"/>
          </w:tcPr>
          <w:p w14:paraId="37C76743">
            <w:pPr>
              <w:keepNext/>
              <w:spacing w:line="440" w:lineRule="exact"/>
              <w:jc w:val="center"/>
              <w:rPr>
                <w:rFonts w:cs="宋体"/>
                <w:color w:val="auto"/>
                <w:szCs w:val="21"/>
              </w:rPr>
            </w:pPr>
          </w:p>
        </w:tc>
        <w:tc>
          <w:tcPr>
            <w:tcW w:w="745" w:type="pct"/>
            <w:vAlign w:val="center"/>
          </w:tcPr>
          <w:p w14:paraId="5B67E246">
            <w:pPr>
              <w:keepNext/>
              <w:spacing w:line="440" w:lineRule="exact"/>
              <w:jc w:val="center"/>
              <w:rPr>
                <w:rFonts w:cs="宋体"/>
                <w:color w:val="auto"/>
                <w:szCs w:val="21"/>
              </w:rPr>
            </w:pPr>
          </w:p>
        </w:tc>
        <w:tc>
          <w:tcPr>
            <w:tcW w:w="781" w:type="pct"/>
            <w:vAlign w:val="center"/>
          </w:tcPr>
          <w:p w14:paraId="260DABC7">
            <w:pPr>
              <w:keepNext/>
              <w:spacing w:line="440" w:lineRule="exact"/>
              <w:jc w:val="center"/>
              <w:rPr>
                <w:rFonts w:cs="宋体"/>
                <w:color w:val="auto"/>
                <w:szCs w:val="21"/>
              </w:rPr>
            </w:pPr>
          </w:p>
        </w:tc>
        <w:tc>
          <w:tcPr>
            <w:tcW w:w="938" w:type="pct"/>
            <w:vAlign w:val="center"/>
          </w:tcPr>
          <w:p w14:paraId="6F478C7B">
            <w:pPr>
              <w:keepNext/>
              <w:spacing w:line="440" w:lineRule="exact"/>
              <w:jc w:val="center"/>
              <w:rPr>
                <w:rFonts w:cs="宋体"/>
                <w:color w:val="auto"/>
                <w:szCs w:val="21"/>
              </w:rPr>
            </w:pPr>
          </w:p>
        </w:tc>
      </w:tr>
      <w:tr w14:paraId="3A3B57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bottom w:val="single" w:color="auto" w:sz="12" w:space="0"/>
            </w:tcBorders>
            <w:vAlign w:val="center"/>
          </w:tcPr>
          <w:p w14:paraId="4A6AE9BC">
            <w:pPr>
              <w:keepNext/>
              <w:spacing w:line="440" w:lineRule="exact"/>
              <w:jc w:val="center"/>
              <w:rPr>
                <w:rFonts w:cs="宋体"/>
                <w:color w:val="auto"/>
                <w:szCs w:val="21"/>
              </w:rPr>
            </w:pPr>
          </w:p>
        </w:tc>
        <w:tc>
          <w:tcPr>
            <w:tcW w:w="1094" w:type="pct"/>
            <w:tcBorders>
              <w:bottom w:val="single" w:color="auto" w:sz="12" w:space="0"/>
            </w:tcBorders>
            <w:vAlign w:val="center"/>
          </w:tcPr>
          <w:p w14:paraId="20C0E21B">
            <w:pPr>
              <w:keepNext/>
              <w:spacing w:line="440" w:lineRule="exact"/>
              <w:jc w:val="center"/>
              <w:rPr>
                <w:rFonts w:cs="宋体"/>
                <w:color w:val="auto"/>
                <w:szCs w:val="21"/>
              </w:rPr>
            </w:pPr>
          </w:p>
        </w:tc>
        <w:tc>
          <w:tcPr>
            <w:tcW w:w="468" w:type="pct"/>
            <w:tcBorders>
              <w:bottom w:val="single" w:color="auto" w:sz="12" w:space="0"/>
            </w:tcBorders>
            <w:vAlign w:val="center"/>
          </w:tcPr>
          <w:p w14:paraId="10410A5D">
            <w:pPr>
              <w:keepNext/>
              <w:spacing w:line="440" w:lineRule="exact"/>
              <w:jc w:val="center"/>
              <w:rPr>
                <w:rFonts w:cs="宋体"/>
                <w:color w:val="auto"/>
                <w:szCs w:val="21"/>
              </w:rPr>
            </w:pPr>
          </w:p>
        </w:tc>
        <w:tc>
          <w:tcPr>
            <w:tcW w:w="426" w:type="pct"/>
            <w:tcBorders>
              <w:bottom w:val="single" w:color="auto" w:sz="12" w:space="0"/>
            </w:tcBorders>
            <w:vAlign w:val="center"/>
          </w:tcPr>
          <w:p w14:paraId="0DF79D69">
            <w:pPr>
              <w:keepNext/>
              <w:spacing w:line="440" w:lineRule="exact"/>
              <w:jc w:val="center"/>
              <w:rPr>
                <w:rFonts w:cs="宋体"/>
                <w:color w:val="auto"/>
                <w:szCs w:val="21"/>
              </w:rPr>
            </w:pPr>
          </w:p>
        </w:tc>
        <w:tc>
          <w:tcPr>
            <w:tcW w:w="745" w:type="pct"/>
            <w:tcBorders>
              <w:bottom w:val="single" w:color="auto" w:sz="12" w:space="0"/>
            </w:tcBorders>
            <w:vAlign w:val="center"/>
          </w:tcPr>
          <w:p w14:paraId="664A2442">
            <w:pPr>
              <w:keepNext/>
              <w:spacing w:line="440" w:lineRule="exact"/>
              <w:jc w:val="center"/>
              <w:rPr>
                <w:rFonts w:cs="宋体"/>
                <w:color w:val="auto"/>
                <w:szCs w:val="21"/>
              </w:rPr>
            </w:pPr>
          </w:p>
        </w:tc>
        <w:tc>
          <w:tcPr>
            <w:tcW w:w="781" w:type="pct"/>
            <w:tcBorders>
              <w:bottom w:val="single" w:color="auto" w:sz="12" w:space="0"/>
            </w:tcBorders>
            <w:vAlign w:val="center"/>
          </w:tcPr>
          <w:p w14:paraId="58E49190">
            <w:pPr>
              <w:keepNext/>
              <w:spacing w:line="440" w:lineRule="exact"/>
              <w:jc w:val="center"/>
              <w:rPr>
                <w:rFonts w:cs="宋体"/>
                <w:color w:val="auto"/>
                <w:szCs w:val="21"/>
              </w:rPr>
            </w:pPr>
          </w:p>
        </w:tc>
        <w:tc>
          <w:tcPr>
            <w:tcW w:w="938" w:type="pct"/>
            <w:tcBorders>
              <w:bottom w:val="single" w:color="auto" w:sz="12" w:space="0"/>
            </w:tcBorders>
            <w:vAlign w:val="center"/>
          </w:tcPr>
          <w:p w14:paraId="53F0C3E9">
            <w:pPr>
              <w:keepNext/>
              <w:spacing w:line="440" w:lineRule="exact"/>
              <w:jc w:val="center"/>
              <w:rPr>
                <w:rFonts w:cs="宋体"/>
                <w:color w:val="auto"/>
                <w:szCs w:val="21"/>
              </w:rPr>
            </w:pPr>
          </w:p>
        </w:tc>
      </w:tr>
    </w:tbl>
    <w:p w14:paraId="4DD3F010">
      <w:pPr>
        <w:rPr>
          <w:rFonts w:cs="宋体"/>
          <w:color w:val="auto"/>
          <w:szCs w:val="21"/>
        </w:rPr>
      </w:pPr>
    </w:p>
    <w:p w14:paraId="3498E1C4">
      <w:pPr>
        <w:spacing w:before="312" w:beforeLines="100" w:after="312" w:afterLines="100"/>
        <w:outlineLvl w:val="2"/>
        <w:rPr>
          <w:rFonts w:hint="eastAsia" w:ascii="Times New Roman" w:eastAsia="黑体"/>
          <w:color w:val="auto"/>
          <w:szCs w:val="24"/>
        </w:rPr>
      </w:pPr>
      <w:bookmarkStart w:id="665" w:name="_Toc128950248"/>
    </w:p>
    <w:p w14:paraId="72BB3365">
      <w:pPr>
        <w:spacing w:before="312" w:beforeLines="100" w:after="312" w:afterLines="100"/>
        <w:outlineLvl w:val="2"/>
        <w:rPr>
          <w:rFonts w:hint="eastAsia" w:ascii="Times New Roman" w:eastAsia="黑体"/>
          <w:color w:val="auto"/>
          <w:szCs w:val="24"/>
        </w:rPr>
      </w:pPr>
    </w:p>
    <w:p w14:paraId="226644B3">
      <w:pPr>
        <w:spacing w:before="312" w:beforeLines="100" w:after="312" w:afterLines="100"/>
        <w:outlineLvl w:val="2"/>
        <w:rPr>
          <w:rFonts w:hint="eastAsia" w:ascii="Times New Roman" w:eastAsia="黑体"/>
          <w:color w:val="auto"/>
          <w:szCs w:val="24"/>
        </w:rPr>
      </w:pPr>
    </w:p>
    <w:p w14:paraId="081A02CF">
      <w:pPr>
        <w:spacing w:before="312" w:beforeLines="100" w:after="312" w:afterLines="100"/>
        <w:outlineLvl w:val="2"/>
        <w:rPr>
          <w:rFonts w:hint="eastAsia" w:ascii="Times New Roman" w:eastAsia="黑体"/>
          <w:color w:val="auto"/>
          <w:szCs w:val="24"/>
        </w:rPr>
      </w:pPr>
    </w:p>
    <w:p w14:paraId="4F592F74">
      <w:pPr>
        <w:spacing w:before="312" w:beforeLines="100" w:after="312" w:afterLines="100"/>
        <w:outlineLvl w:val="2"/>
        <w:rPr>
          <w:rFonts w:hint="eastAsia" w:ascii="Times New Roman" w:eastAsia="黑体"/>
          <w:color w:val="auto"/>
          <w:szCs w:val="24"/>
        </w:rPr>
      </w:pPr>
    </w:p>
    <w:p w14:paraId="765A1F51">
      <w:pPr>
        <w:spacing w:before="312" w:beforeLines="100" w:after="312" w:afterLines="100"/>
        <w:outlineLvl w:val="2"/>
        <w:rPr>
          <w:rFonts w:ascii="Times New Roman" w:eastAsia="黑体"/>
          <w:color w:val="auto"/>
          <w:szCs w:val="24"/>
        </w:rPr>
      </w:pPr>
      <w:r>
        <w:rPr>
          <w:rFonts w:hint="eastAsia" w:ascii="Times New Roman" w:eastAsia="黑体"/>
          <w:color w:val="auto"/>
          <w:szCs w:val="24"/>
        </w:rPr>
        <w:t>附件</w:t>
      </w:r>
      <w:r>
        <w:rPr>
          <w:rFonts w:hint="eastAsia" w:ascii="Times New Roman" w:eastAsia="黑体"/>
          <w:color w:val="auto"/>
          <w:szCs w:val="24"/>
          <w:lang w:val="en-US" w:eastAsia="zh-CN"/>
        </w:rPr>
        <w:t>11</w:t>
      </w:r>
      <w:r>
        <w:rPr>
          <w:rFonts w:hint="eastAsia" w:ascii="Times New Roman" w:eastAsia="黑体"/>
          <w:color w:val="auto"/>
          <w:szCs w:val="24"/>
        </w:rPr>
        <w:t>：安全生产合同</w:t>
      </w:r>
      <w:bookmarkEnd w:id="665"/>
    </w:p>
    <w:p w14:paraId="71B4B6F2">
      <w:pPr>
        <w:spacing w:before="156" w:beforeLines="50" w:after="156" w:afterLines="50" w:line="360" w:lineRule="auto"/>
        <w:jc w:val="center"/>
        <w:rPr>
          <w:rFonts w:cs="宋体"/>
          <w:b/>
          <w:color w:val="auto"/>
          <w:sz w:val="32"/>
          <w:szCs w:val="32"/>
        </w:rPr>
      </w:pPr>
      <w:bookmarkStart w:id="666" w:name="_Toc23792"/>
      <w:bookmarkStart w:id="667" w:name="_Toc11475"/>
      <w:r>
        <w:rPr>
          <w:rFonts w:hint="eastAsia" w:cs="宋体"/>
          <w:b/>
          <w:color w:val="auto"/>
          <w:sz w:val="32"/>
          <w:szCs w:val="32"/>
        </w:rPr>
        <w:t>安全生产合同</w:t>
      </w:r>
      <w:bookmarkEnd w:id="666"/>
      <w:bookmarkEnd w:id="667"/>
    </w:p>
    <w:p w14:paraId="63B2E1FE">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为在</w:t>
      </w:r>
      <w:r>
        <w:rPr>
          <w:rFonts w:hint="eastAsia" w:cs="宋体"/>
          <w:color w:val="auto"/>
          <w:sz w:val="21"/>
          <w:szCs w:val="21"/>
          <w:u w:val="single"/>
        </w:rPr>
        <w:t xml:space="preserve">            </w:t>
      </w:r>
      <w:r>
        <w:rPr>
          <w:rFonts w:hint="eastAsia" w:cs="宋体"/>
          <w:color w:val="auto"/>
          <w:sz w:val="21"/>
          <w:szCs w:val="21"/>
        </w:rPr>
        <w:t>（项目名称）施工合同的实施过程中创造安全、高效的施工环境，切实搞好本项目的安全管理工作，本项目发包人</w:t>
      </w:r>
      <w:r>
        <w:rPr>
          <w:rFonts w:hint="eastAsia" w:cs="宋体"/>
          <w:color w:val="auto"/>
          <w:sz w:val="21"/>
          <w:szCs w:val="21"/>
          <w:u w:val="single"/>
        </w:rPr>
        <w:t xml:space="preserve">       </w:t>
      </w:r>
      <w:r>
        <w:rPr>
          <w:rFonts w:hint="eastAsia" w:cs="宋体"/>
          <w:color w:val="auto"/>
          <w:sz w:val="21"/>
          <w:szCs w:val="21"/>
        </w:rPr>
        <w:t>（发包人名称，以下简称“发包人”）与承包人</w:t>
      </w:r>
      <w:r>
        <w:rPr>
          <w:rFonts w:hint="eastAsia" w:cs="宋体"/>
          <w:color w:val="auto"/>
          <w:sz w:val="21"/>
          <w:szCs w:val="21"/>
          <w:u w:val="single"/>
        </w:rPr>
        <w:t xml:space="preserve">         </w:t>
      </w:r>
      <w:r>
        <w:rPr>
          <w:rFonts w:hint="eastAsia" w:cs="宋体"/>
          <w:color w:val="auto"/>
          <w:sz w:val="21"/>
          <w:szCs w:val="21"/>
        </w:rPr>
        <w:t>（承包人名称，以下简称“承包人”）特此签订安全生产合同：</w:t>
      </w:r>
    </w:p>
    <w:p w14:paraId="3B18D8BF">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1.发包人职责</w:t>
      </w:r>
    </w:p>
    <w:p w14:paraId="7A719DA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（1）严格遵守国家有关安全生产的法律法规，认真执行工程承包合同中的有关安全要求。</w:t>
      </w:r>
    </w:p>
    <w:p w14:paraId="2475892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（2）按照“安全第一、预防为主”和坚持“管生产必须管安全”的原则进行安全生产管理，做到生产与安全工作同时计划、布置、检查、总结和评比。</w:t>
      </w:r>
    </w:p>
    <w:p w14:paraId="76ED746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（3）重要的安全设施必须坚持与主体工程“三同时”的原则，即：同时设计、审批，同时施工，同时验收，投入使用。</w:t>
      </w:r>
    </w:p>
    <w:p w14:paraId="45A39BD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（4）定期召开安全生产调度会，及时传达中央及地方有关安全生产的精神。</w:t>
      </w:r>
    </w:p>
    <w:p w14:paraId="4DA04F4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（5）组织对承包人施工现场安全生产检查，监督承包人及时处理发现的各种安全隐患。</w:t>
      </w:r>
    </w:p>
    <w:p w14:paraId="702BC87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2.承包人职责</w:t>
      </w:r>
    </w:p>
    <w:p w14:paraId="670F947B">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1）严格遵守《中华人民共和国安全生产法》《建设工程安全生产管理条例》等国家有关安全生产的法律法规、《建设项目安全设施“三同时”监督管理办法》等有关安全生产的规定。认真执行工程承包合同中的有关安全要求。</w:t>
      </w:r>
    </w:p>
    <w:p w14:paraId="27BDFC7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5602DE8C">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3）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建设工程安全生产管理条例》及有关规定的配备专职安全生产管理人员，专职负责所有员工的安全和治安保卫工作及预防事故的发生。安全机构人员有权按有关规定发布指令，并采取保护性措施防止事故发生。</w:t>
      </w:r>
    </w:p>
    <w:p w14:paraId="62488D6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（4）承包人在任何时候都应采取各种合理的预防措施，防止其员工发生任何违法、违禁、暴力或妨碍治安的行为。</w:t>
      </w:r>
    </w:p>
    <w:p w14:paraId="1F5545F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562BCEA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0996567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（7）操作人员上岗，必须按规定穿戴防护用品。施工负责人和安全检查员应随时检查劳动防护用品的穿戴情况，不按规定穿戴防护用品的人员不得上岗。</w:t>
      </w:r>
    </w:p>
    <w:p w14:paraId="19FDC03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（8）所有施工机具设备和高空作业的设备均应定期检查，并有安全员的签字记录，保证其经常处于完好状态；不合格的机具、设备和劳动保护用品严禁使用：</w:t>
      </w:r>
    </w:p>
    <w:p w14:paraId="619AF22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（9）施工中采用新技术、新工艺、新设备、新材料时，必须制定相应的安全技术措施，施工现场必须具有相关的安全标志牌。</w:t>
      </w:r>
    </w:p>
    <w:p w14:paraId="74A4D5E7">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44096B9B">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（11）安全生产费用按照《建设工程安全生产管理条例》的相关规定使用和管理。</w:t>
      </w:r>
    </w:p>
    <w:p w14:paraId="0243EC49">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3.违约责任</w:t>
      </w:r>
    </w:p>
    <w:p w14:paraId="694F35CA">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如因发包人或承包人违约造成安全事故，将依法追究责任。</w:t>
      </w:r>
    </w:p>
    <w:p w14:paraId="67F5E5D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4.本合同由双方法定代表人或其授权的代理人签署并加盖单位章后生效，全部工程竣工验收后失效。</w:t>
      </w:r>
    </w:p>
    <w:p w14:paraId="168B82E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5.本合同正本—式</w:t>
      </w:r>
      <w:r>
        <w:rPr>
          <w:rFonts w:hint="eastAsia" w:cs="宋体"/>
          <w:color w:val="auto"/>
          <w:sz w:val="21"/>
          <w:szCs w:val="21"/>
          <w:u w:val="single"/>
        </w:rPr>
        <w:t xml:space="preserve">   </w:t>
      </w:r>
      <w:r>
        <w:rPr>
          <w:rFonts w:hint="eastAsia" w:cs="宋体"/>
          <w:color w:val="auto"/>
          <w:sz w:val="21"/>
          <w:szCs w:val="21"/>
        </w:rPr>
        <w:t>份，副本</w:t>
      </w:r>
      <w:r>
        <w:rPr>
          <w:rFonts w:hint="eastAsia" w:cs="宋体"/>
          <w:color w:val="auto"/>
          <w:sz w:val="21"/>
          <w:szCs w:val="21"/>
          <w:u w:val="single"/>
        </w:rPr>
        <w:t xml:space="preserve">  </w:t>
      </w:r>
      <w:r>
        <w:rPr>
          <w:rFonts w:hint="eastAsia" w:cs="宋体"/>
          <w:color w:val="auto"/>
          <w:sz w:val="21"/>
          <w:szCs w:val="21"/>
        </w:rPr>
        <w:t>份，合同双方各执正本—份，副本</w:t>
      </w:r>
      <w:r>
        <w:rPr>
          <w:rFonts w:hint="eastAsia" w:cs="宋体"/>
          <w:color w:val="auto"/>
          <w:sz w:val="21"/>
          <w:szCs w:val="21"/>
          <w:u w:val="single"/>
        </w:rPr>
        <w:t xml:space="preserve">  </w:t>
      </w:r>
      <w:r>
        <w:rPr>
          <w:rFonts w:hint="eastAsia" w:cs="宋体"/>
          <w:color w:val="auto"/>
          <w:sz w:val="21"/>
          <w:szCs w:val="21"/>
        </w:rPr>
        <w:t>份，当正本与副本的内容不一致时，以正本为准。</w:t>
      </w:r>
    </w:p>
    <w:p w14:paraId="769B1ECC">
      <w:pPr>
        <w:spacing w:line="360" w:lineRule="auto"/>
        <w:rPr>
          <w:rFonts w:cs="宋体"/>
          <w:color w:val="auto"/>
          <w:sz w:val="21"/>
          <w:szCs w:val="21"/>
        </w:rPr>
      </w:pPr>
    </w:p>
    <w:p w14:paraId="4A0BDF40">
      <w:pPr>
        <w:spacing w:line="360" w:lineRule="auto"/>
        <w:rPr>
          <w:rFonts w:cs="宋体"/>
          <w:color w:val="auto"/>
          <w:sz w:val="21"/>
          <w:szCs w:val="21"/>
        </w:rPr>
      </w:pPr>
    </w:p>
    <w:p w14:paraId="6D8C78CA">
      <w:pPr>
        <w:spacing w:line="360" w:lineRule="auto"/>
        <w:rPr>
          <w:rFonts w:cs="宋体"/>
          <w:color w:val="auto"/>
          <w:sz w:val="21"/>
          <w:szCs w:val="21"/>
        </w:rPr>
      </w:pPr>
      <w:r>
        <w:rPr>
          <w:rFonts w:hint="eastAsia" w:cs="宋体"/>
          <w:color w:val="auto"/>
          <w:sz w:val="21"/>
          <w:szCs w:val="21"/>
        </w:rPr>
        <w:t>发包人：</w:t>
      </w:r>
      <w:r>
        <w:rPr>
          <w:rFonts w:hint="eastAsia" w:cs="宋体"/>
          <w:color w:val="auto"/>
          <w:sz w:val="21"/>
          <w:szCs w:val="21"/>
          <w:u w:val="single"/>
        </w:rPr>
        <w:t xml:space="preserve">            </w:t>
      </w:r>
      <w:r>
        <w:rPr>
          <w:rFonts w:hint="eastAsia" w:cs="宋体"/>
          <w:color w:val="auto"/>
          <w:sz w:val="21"/>
          <w:szCs w:val="21"/>
        </w:rPr>
        <w:t>（盖单位章）          承包人：</w:t>
      </w:r>
      <w:r>
        <w:rPr>
          <w:rFonts w:hint="eastAsia" w:cs="宋体"/>
          <w:color w:val="auto"/>
          <w:sz w:val="21"/>
          <w:szCs w:val="21"/>
          <w:u w:val="single"/>
        </w:rPr>
        <w:t xml:space="preserve">        </w:t>
      </w:r>
      <w:r>
        <w:rPr>
          <w:rFonts w:hint="eastAsia" w:cs="宋体"/>
          <w:color w:val="auto"/>
          <w:sz w:val="21"/>
          <w:szCs w:val="21"/>
        </w:rPr>
        <w:t>（盖单位章）</w:t>
      </w:r>
    </w:p>
    <w:p w14:paraId="59EEACE9">
      <w:pPr>
        <w:spacing w:line="360" w:lineRule="auto"/>
        <w:rPr>
          <w:rFonts w:cs="宋体"/>
          <w:color w:val="auto"/>
          <w:sz w:val="21"/>
          <w:szCs w:val="21"/>
        </w:rPr>
      </w:pPr>
    </w:p>
    <w:p w14:paraId="0E5C3360">
      <w:pPr>
        <w:spacing w:line="360" w:lineRule="auto"/>
        <w:rPr>
          <w:rFonts w:cs="宋体"/>
          <w:color w:val="auto"/>
          <w:sz w:val="21"/>
          <w:szCs w:val="21"/>
        </w:rPr>
      </w:pPr>
      <w:r>
        <w:rPr>
          <w:rFonts w:hint="eastAsia" w:cs="宋体"/>
          <w:color w:val="auto"/>
          <w:sz w:val="21"/>
          <w:szCs w:val="21"/>
        </w:rPr>
        <w:t>法定代表人或其委托代理人：</w:t>
      </w:r>
      <w:r>
        <w:rPr>
          <w:rFonts w:hint="eastAsia" w:cs="宋体"/>
          <w:color w:val="auto"/>
          <w:sz w:val="21"/>
          <w:szCs w:val="21"/>
          <w:u w:val="single"/>
        </w:rPr>
        <w:t xml:space="preserve">  </w:t>
      </w:r>
      <w:r>
        <w:rPr>
          <w:rFonts w:hint="eastAsia" w:cs="宋体"/>
          <w:color w:val="auto"/>
          <w:sz w:val="21"/>
          <w:szCs w:val="21"/>
        </w:rPr>
        <w:t>（签字）     法定代表人或其委托代理人：</w:t>
      </w:r>
      <w:r>
        <w:rPr>
          <w:rFonts w:hint="eastAsia" w:cs="宋体"/>
          <w:color w:val="auto"/>
          <w:sz w:val="21"/>
          <w:szCs w:val="21"/>
          <w:u w:val="single"/>
        </w:rPr>
        <w:t xml:space="preserve">   </w:t>
      </w:r>
      <w:r>
        <w:rPr>
          <w:rFonts w:hint="eastAsia" w:cs="宋体"/>
          <w:color w:val="auto"/>
          <w:sz w:val="21"/>
          <w:szCs w:val="21"/>
        </w:rPr>
        <w:t>（签字）</w:t>
      </w:r>
    </w:p>
    <w:p w14:paraId="63BA6E9A">
      <w:pPr>
        <w:spacing w:line="360" w:lineRule="auto"/>
        <w:rPr>
          <w:rFonts w:cs="宋体"/>
          <w:color w:val="auto"/>
          <w:sz w:val="21"/>
          <w:szCs w:val="21"/>
        </w:rPr>
      </w:pPr>
    </w:p>
    <w:p w14:paraId="078313B8">
      <w:pPr>
        <w:spacing w:line="360" w:lineRule="auto"/>
        <w:ind w:firstLine="840"/>
        <w:rPr>
          <w:rFonts w:cs="宋体"/>
          <w:color w:val="auto"/>
          <w:sz w:val="21"/>
          <w:szCs w:val="21"/>
        </w:rPr>
      </w:pPr>
      <w:r>
        <w:rPr>
          <w:rFonts w:hint="eastAsia" w:cs="宋体"/>
          <w:color w:val="auto"/>
          <w:sz w:val="21"/>
          <w:szCs w:val="21"/>
          <w:u w:val="single"/>
        </w:rPr>
        <w:t xml:space="preserve">      </w:t>
      </w:r>
      <w:r>
        <w:rPr>
          <w:rFonts w:hint="eastAsia" w:cs="宋体"/>
          <w:color w:val="auto"/>
          <w:sz w:val="21"/>
          <w:szCs w:val="21"/>
        </w:rPr>
        <w:t>年</w:t>
      </w:r>
      <w:r>
        <w:rPr>
          <w:rFonts w:hint="eastAsia" w:cs="宋体"/>
          <w:color w:val="auto"/>
          <w:sz w:val="21"/>
          <w:szCs w:val="21"/>
          <w:u w:val="single"/>
        </w:rPr>
        <w:t xml:space="preserve">    </w:t>
      </w:r>
      <w:r>
        <w:rPr>
          <w:rFonts w:hint="eastAsia" w:cs="宋体"/>
          <w:color w:val="auto"/>
          <w:sz w:val="21"/>
          <w:szCs w:val="21"/>
        </w:rPr>
        <w:t>月</w:t>
      </w:r>
      <w:r>
        <w:rPr>
          <w:rFonts w:hint="eastAsia" w:cs="宋体"/>
          <w:color w:val="auto"/>
          <w:sz w:val="21"/>
          <w:szCs w:val="21"/>
          <w:u w:val="single"/>
        </w:rPr>
        <w:t xml:space="preserve">    </w:t>
      </w:r>
      <w:r>
        <w:rPr>
          <w:rFonts w:hint="eastAsia" w:cs="宋体"/>
          <w:color w:val="auto"/>
          <w:sz w:val="21"/>
          <w:szCs w:val="21"/>
        </w:rPr>
        <w:t xml:space="preserve">日                </w:t>
      </w:r>
      <w:r>
        <w:rPr>
          <w:rFonts w:hint="eastAsia" w:cs="宋体"/>
          <w:color w:val="auto"/>
          <w:sz w:val="21"/>
          <w:szCs w:val="21"/>
          <w:u w:val="single"/>
        </w:rPr>
        <w:t xml:space="preserve">      </w:t>
      </w:r>
      <w:r>
        <w:rPr>
          <w:rFonts w:hint="eastAsia" w:cs="宋体"/>
          <w:color w:val="auto"/>
          <w:sz w:val="21"/>
          <w:szCs w:val="21"/>
        </w:rPr>
        <w:t>年</w:t>
      </w:r>
      <w:r>
        <w:rPr>
          <w:rFonts w:hint="eastAsia" w:cs="宋体"/>
          <w:color w:val="auto"/>
          <w:sz w:val="21"/>
          <w:szCs w:val="21"/>
          <w:u w:val="single"/>
        </w:rPr>
        <w:t xml:space="preserve">    </w:t>
      </w:r>
      <w:r>
        <w:rPr>
          <w:rFonts w:hint="eastAsia" w:cs="宋体"/>
          <w:color w:val="auto"/>
          <w:sz w:val="21"/>
          <w:szCs w:val="21"/>
        </w:rPr>
        <w:t>月</w:t>
      </w:r>
      <w:r>
        <w:rPr>
          <w:rFonts w:hint="eastAsia" w:cs="宋体"/>
          <w:color w:val="auto"/>
          <w:sz w:val="21"/>
          <w:szCs w:val="21"/>
          <w:u w:val="single"/>
        </w:rPr>
        <w:t xml:space="preserve">    </w:t>
      </w:r>
      <w:r>
        <w:rPr>
          <w:rFonts w:hint="eastAsia" w:cs="宋体"/>
          <w:color w:val="auto"/>
          <w:sz w:val="21"/>
          <w:szCs w:val="21"/>
        </w:rPr>
        <w:t>日</w:t>
      </w:r>
    </w:p>
    <w:p w14:paraId="523E33E6">
      <w:pPr>
        <w:spacing w:before="312" w:beforeLines="100" w:after="312" w:afterLines="100"/>
        <w:outlineLvl w:val="2"/>
        <w:rPr>
          <w:rFonts w:ascii="Times New Roman" w:eastAsia="黑体"/>
          <w:color w:val="auto"/>
          <w:szCs w:val="24"/>
        </w:rPr>
      </w:pPr>
      <w:r>
        <w:rPr>
          <w:rFonts w:hint="eastAsia" w:cs="宋体"/>
          <w:bCs/>
          <w:color w:val="auto"/>
          <w:kern w:val="44"/>
          <w:sz w:val="21"/>
          <w:szCs w:val="21"/>
        </w:rPr>
        <w:br w:type="page"/>
      </w:r>
      <w:bookmarkStart w:id="668" w:name="_Toc128950249"/>
      <w:r>
        <w:rPr>
          <w:rFonts w:hint="eastAsia" w:ascii="Times New Roman" w:eastAsia="黑体"/>
          <w:color w:val="auto"/>
          <w:szCs w:val="24"/>
        </w:rPr>
        <w:t>附件1</w:t>
      </w:r>
      <w:r>
        <w:rPr>
          <w:rFonts w:hint="eastAsia" w:ascii="Times New Roman" w:eastAsia="黑体"/>
          <w:color w:val="auto"/>
          <w:szCs w:val="24"/>
          <w:lang w:val="en-US" w:eastAsia="zh-CN"/>
        </w:rPr>
        <w:t>2</w:t>
      </w:r>
      <w:r>
        <w:rPr>
          <w:rFonts w:hint="eastAsia" w:ascii="Times New Roman" w:eastAsia="黑体"/>
          <w:color w:val="auto"/>
          <w:szCs w:val="24"/>
        </w:rPr>
        <w:t>：项目经理质量终身责任制承诺</w:t>
      </w:r>
      <w:bookmarkEnd w:id="668"/>
    </w:p>
    <w:p w14:paraId="1519D815">
      <w:pPr>
        <w:spacing w:before="156" w:beforeLines="50" w:after="156" w:afterLines="50" w:line="360" w:lineRule="auto"/>
        <w:jc w:val="center"/>
        <w:rPr>
          <w:rFonts w:cs="宋体"/>
          <w:b/>
          <w:color w:val="auto"/>
          <w:sz w:val="32"/>
          <w:szCs w:val="32"/>
        </w:rPr>
      </w:pPr>
      <w:bookmarkStart w:id="669" w:name="_Toc14540"/>
      <w:bookmarkStart w:id="670" w:name="_Toc128950250"/>
      <w:bookmarkStart w:id="671" w:name="_Toc19417"/>
      <w:r>
        <w:rPr>
          <w:rFonts w:hint="eastAsia" w:cs="宋体"/>
          <w:b/>
          <w:color w:val="auto"/>
          <w:sz w:val="32"/>
          <w:szCs w:val="32"/>
        </w:rPr>
        <w:t>项目经理质量终身责任制承诺</w:t>
      </w:r>
      <w:bookmarkEnd w:id="669"/>
      <w:bookmarkEnd w:id="670"/>
      <w:bookmarkEnd w:id="671"/>
    </w:p>
    <w:p w14:paraId="7505E4D5">
      <w:pPr>
        <w:spacing w:line="360" w:lineRule="auto"/>
        <w:rPr>
          <w:rFonts w:cs="宋体"/>
          <w:bCs/>
          <w:color w:val="auto"/>
          <w:sz w:val="21"/>
          <w:szCs w:val="21"/>
        </w:rPr>
      </w:pPr>
      <w:r>
        <w:rPr>
          <w:rFonts w:hint="eastAsia" w:cs="宋体"/>
          <w:bCs/>
          <w:color w:val="auto"/>
          <w:sz w:val="21"/>
          <w:szCs w:val="21"/>
        </w:rPr>
        <w:t>致：</w:t>
      </w:r>
      <w:r>
        <w:rPr>
          <w:rFonts w:hint="eastAsia" w:cs="宋体"/>
          <w:bCs/>
          <w:color w:val="auto"/>
          <w:sz w:val="21"/>
          <w:szCs w:val="21"/>
          <w:u w:val="single"/>
        </w:rPr>
        <w:t>（采购人）</w:t>
      </w:r>
    </w:p>
    <w:p w14:paraId="41B4A91B">
      <w:pPr>
        <w:spacing w:line="360" w:lineRule="auto"/>
        <w:ind w:firstLine="420" w:firstLineChars="200"/>
        <w:rPr>
          <w:rFonts w:cs="宋体"/>
          <w:bCs/>
          <w:color w:val="auto"/>
          <w:sz w:val="21"/>
          <w:szCs w:val="21"/>
        </w:rPr>
      </w:pPr>
      <w:r>
        <w:rPr>
          <w:rFonts w:hint="eastAsia" w:cs="宋体"/>
          <w:bCs/>
          <w:color w:val="auto"/>
          <w:sz w:val="21"/>
          <w:szCs w:val="21"/>
        </w:rPr>
        <w:t>本人作为施工项目经理，承担相关质量终身责任，现郑重承诺如下：</w:t>
      </w:r>
    </w:p>
    <w:p w14:paraId="377D208E">
      <w:pPr>
        <w:spacing w:line="360" w:lineRule="auto"/>
        <w:ind w:firstLine="420" w:firstLineChars="200"/>
        <w:rPr>
          <w:rFonts w:cs="宋体"/>
          <w:bCs/>
          <w:color w:val="auto"/>
          <w:sz w:val="21"/>
          <w:szCs w:val="21"/>
        </w:rPr>
      </w:pPr>
      <w:r>
        <w:rPr>
          <w:rFonts w:hint="eastAsia" w:cs="宋体"/>
          <w:bCs/>
          <w:color w:val="auto"/>
          <w:sz w:val="21"/>
          <w:szCs w:val="21"/>
        </w:rPr>
        <w:t>一、在取得施工许可证后进行施工。</w:t>
      </w:r>
    </w:p>
    <w:p w14:paraId="22B30AAA">
      <w:pPr>
        <w:spacing w:line="360" w:lineRule="auto"/>
        <w:ind w:firstLine="420" w:firstLineChars="200"/>
        <w:rPr>
          <w:rFonts w:cs="宋体"/>
          <w:bCs/>
          <w:color w:val="auto"/>
          <w:sz w:val="21"/>
          <w:szCs w:val="21"/>
        </w:rPr>
      </w:pPr>
      <w:r>
        <w:rPr>
          <w:rFonts w:hint="eastAsia" w:cs="宋体"/>
          <w:bCs/>
          <w:color w:val="auto"/>
          <w:sz w:val="21"/>
          <w:szCs w:val="21"/>
        </w:rPr>
        <w:t>二、严格执行施工规范及标准。</w:t>
      </w:r>
    </w:p>
    <w:p w14:paraId="3596975D">
      <w:pPr>
        <w:spacing w:line="360" w:lineRule="auto"/>
        <w:ind w:firstLine="420" w:firstLineChars="200"/>
        <w:rPr>
          <w:rFonts w:cs="宋体"/>
          <w:bCs/>
          <w:color w:val="auto"/>
          <w:sz w:val="21"/>
          <w:szCs w:val="21"/>
        </w:rPr>
      </w:pPr>
      <w:r>
        <w:rPr>
          <w:rFonts w:hint="eastAsia" w:cs="宋体"/>
          <w:bCs/>
          <w:color w:val="auto"/>
          <w:sz w:val="21"/>
          <w:szCs w:val="21"/>
        </w:rPr>
        <w:t>三、严格按规定配备施工项目部关键岗位人员，并确保所有人员到岗履职。</w:t>
      </w:r>
    </w:p>
    <w:p w14:paraId="4D22EC9F">
      <w:pPr>
        <w:spacing w:line="360" w:lineRule="auto"/>
        <w:ind w:firstLine="420" w:firstLineChars="200"/>
        <w:rPr>
          <w:rFonts w:cs="宋体"/>
          <w:bCs/>
          <w:color w:val="auto"/>
          <w:sz w:val="21"/>
          <w:szCs w:val="21"/>
        </w:rPr>
      </w:pPr>
      <w:r>
        <w:rPr>
          <w:rFonts w:hint="eastAsia" w:cs="宋体"/>
          <w:bCs/>
          <w:color w:val="auto"/>
          <w:sz w:val="21"/>
          <w:szCs w:val="21"/>
        </w:rPr>
        <w:t>四、严格按照经施工图审查机构审查合格的工程设计文件及合同约定的质量标准精心组织施工。</w:t>
      </w:r>
    </w:p>
    <w:p w14:paraId="783C8C6F">
      <w:pPr>
        <w:spacing w:line="360" w:lineRule="auto"/>
        <w:ind w:firstLine="420" w:firstLineChars="200"/>
        <w:rPr>
          <w:rFonts w:cs="宋体"/>
          <w:bCs/>
          <w:color w:val="auto"/>
          <w:sz w:val="21"/>
          <w:szCs w:val="21"/>
        </w:rPr>
      </w:pPr>
      <w:r>
        <w:rPr>
          <w:rFonts w:hint="eastAsia" w:cs="宋体"/>
          <w:bCs/>
          <w:color w:val="auto"/>
          <w:sz w:val="21"/>
          <w:szCs w:val="21"/>
        </w:rPr>
        <w:t>五、施工中采用合格的建筑材料、建筑构配件和设备等，并严格按规定执行见证取样制度。</w:t>
      </w:r>
    </w:p>
    <w:p w14:paraId="30B23AAB">
      <w:pPr>
        <w:spacing w:line="360" w:lineRule="auto"/>
        <w:ind w:firstLine="420" w:firstLineChars="200"/>
        <w:rPr>
          <w:rFonts w:cs="宋体"/>
          <w:bCs/>
          <w:color w:val="auto"/>
          <w:sz w:val="21"/>
          <w:szCs w:val="21"/>
        </w:rPr>
      </w:pPr>
      <w:r>
        <w:rPr>
          <w:rFonts w:hint="eastAsia" w:cs="宋体"/>
          <w:bCs/>
          <w:color w:val="auto"/>
          <w:sz w:val="21"/>
          <w:szCs w:val="21"/>
        </w:rPr>
        <w:t>六、建立、健全质量检查、验收制度，严格工序管理，做好隐蔽工程质量的检查和记录。</w:t>
      </w:r>
    </w:p>
    <w:p w14:paraId="06616F07">
      <w:pPr>
        <w:spacing w:line="360" w:lineRule="auto"/>
        <w:ind w:firstLine="420" w:firstLineChars="200"/>
        <w:rPr>
          <w:rFonts w:cs="宋体"/>
          <w:bCs/>
          <w:color w:val="auto"/>
          <w:sz w:val="21"/>
          <w:szCs w:val="21"/>
        </w:rPr>
      </w:pPr>
      <w:r>
        <w:rPr>
          <w:rFonts w:hint="eastAsia" w:cs="宋体"/>
          <w:bCs/>
          <w:color w:val="auto"/>
          <w:sz w:val="21"/>
          <w:szCs w:val="21"/>
        </w:rPr>
        <w:t>七、对施工中出现的质量问题，及时进行整改。严格依法依规履行义务。</w:t>
      </w:r>
    </w:p>
    <w:p w14:paraId="19B86502">
      <w:pPr>
        <w:spacing w:line="360" w:lineRule="auto"/>
        <w:ind w:firstLine="420" w:firstLineChars="200"/>
        <w:rPr>
          <w:rFonts w:cs="宋体"/>
          <w:bCs/>
          <w:color w:val="auto"/>
          <w:sz w:val="21"/>
          <w:szCs w:val="21"/>
        </w:rPr>
      </w:pPr>
      <w:r>
        <w:rPr>
          <w:rFonts w:hint="eastAsia" w:cs="宋体"/>
          <w:bCs/>
          <w:color w:val="auto"/>
          <w:sz w:val="21"/>
          <w:szCs w:val="21"/>
        </w:rPr>
        <w:t>八、履行相关工程质量检查、验收及事故处理等职责。</w:t>
      </w:r>
    </w:p>
    <w:p w14:paraId="7DE37D24">
      <w:pPr>
        <w:spacing w:line="360" w:lineRule="auto"/>
        <w:ind w:firstLine="420" w:firstLineChars="200"/>
        <w:rPr>
          <w:rFonts w:cs="宋体"/>
          <w:bCs/>
          <w:color w:val="auto"/>
          <w:sz w:val="21"/>
          <w:szCs w:val="21"/>
        </w:rPr>
      </w:pPr>
      <w:r>
        <w:rPr>
          <w:rFonts w:hint="eastAsia" w:cs="宋体"/>
          <w:bCs/>
          <w:color w:val="auto"/>
          <w:sz w:val="21"/>
          <w:szCs w:val="21"/>
        </w:rPr>
        <w:t>九、履行其他法律法规规定的职责。</w:t>
      </w:r>
    </w:p>
    <w:p w14:paraId="5D7F7A80">
      <w:pPr>
        <w:spacing w:line="360" w:lineRule="auto"/>
        <w:ind w:left="342" w:leftChars="171" w:firstLine="630" w:firstLineChars="300"/>
        <w:rPr>
          <w:rFonts w:cs="宋体"/>
          <w:bCs/>
          <w:color w:val="auto"/>
          <w:sz w:val="21"/>
          <w:szCs w:val="21"/>
        </w:rPr>
      </w:pPr>
    </w:p>
    <w:p w14:paraId="274E4C40">
      <w:pPr>
        <w:spacing w:line="360" w:lineRule="auto"/>
        <w:ind w:left="342" w:leftChars="171" w:firstLine="630" w:firstLineChars="300"/>
        <w:rPr>
          <w:rFonts w:cs="宋体"/>
          <w:bCs/>
          <w:color w:val="auto"/>
          <w:sz w:val="21"/>
          <w:szCs w:val="21"/>
        </w:rPr>
      </w:pPr>
    </w:p>
    <w:p w14:paraId="2193856D">
      <w:pPr>
        <w:spacing w:line="360" w:lineRule="auto"/>
        <w:ind w:left="342" w:leftChars="171" w:firstLine="630" w:firstLineChars="300"/>
        <w:rPr>
          <w:rFonts w:cs="宋体"/>
          <w:bCs/>
          <w:color w:val="auto"/>
          <w:sz w:val="21"/>
          <w:szCs w:val="21"/>
        </w:rPr>
      </w:pPr>
      <w:r>
        <w:rPr>
          <w:rFonts w:hint="eastAsia" w:cs="宋体"/>
          <w:bCs/>
          <w:color w:val="auto"/>
          <w:sz w:val="21"/>
          <w:szCs w:val="21"/>
        </w:rPr>
        <w:t>项目经理：</w:t>
      </w:r>
      <w:r>
        <w:rPr>
          <w:rFonts w:hint="eastAsia" w:cs="宋体"/>
          <w:bCs/>
          <w:color w:val="auto"/>
          <w:sz w:val="21"/>
          <w:szCs w:val="21"/>
          <w:u w:val="single"/>
        </w:rPr>
        <w:t xml:space="preserve">                   </w:t>
      </w:r>
      <w:r>
        <w:rPr>
          <w:rFonts w:hint="eastAsia" w:cs="宋体"/>
          <w:bCs/>
          <w:color w:val="auto"/>
          <w:sz w:val="21"/>
          <w:szCs w:val="21"/>
        </w:rPr>
        <w:t>（签字）</w:t>
      </w:r>
    </w:p>
    <w:p w14:paraId="72B43398">
      <w:pPr>
        <w:spacing w:line="360" w:lineRule="auto"/>
        <w:ind w:left="342" w:leftChars="171" w:firstLine="630" w:firstLineChars="300"/>
        <w:rPr>
          <w:rFonts w:cs="宋体"/>
          <w:bCs/>
          <w:color w:val="auto"/>
          <w:sz w:val="21"/>
          <w:szCs w:val="21"/>
        </w:rPr>
      </w:pPr>
      <w:r>
        <w:rPr>
          <w:rFonts w:hint="eastAsia" w:cs="宋体"/>
          <w:bCs/>
          <w:color w:val="auto"/>
          <w:sz w:val="21"/>
          <w:szCs w:val="21"/>
        </w:rPr>
        <w:t>日期：_____年____月____日</w:t>
      </w:r>
    </w:p>
    <w:p w14:paraId="05854483">
      <w:pPr>
        <w:spacing w:line="360" w:lineRule="auto"/>
        <w:ind w:left="342" w:leftChars="171" w:firstLine="630" w:firstLineChars="300"/>
        <w:rPr>
          <w:b/>
          <w:color w:val="auto"/>
          <w:sz w:val="24"/>
          <w:highlight w:val="none"/>
        </w:rPr>
      </w:pPr>
      <w:r>
        <w:rPr>
          <w:rFonts w:hint="eastAsia" w:cs="宋体"/>
          <w:bCs/>
          <w:color w:val="auto"/>
          <w:kern w:val="44"/>
          <w:sz w:val="21"/>
          <w:szCs w:val="21"/>
        </w:rPr>
        <w:br w:type="page"/>
      </w:r>
    </w:p>
    <w:p w14:paraId="6A588D8E">
      <w:pPr>
        <w:spacing w:line="360" w:lineRule="auto"/>
        <w:jc w:val="center"/>
        <w:outlineLvl w:val="0"/>
        <w:rPr>
          <w:rFonts w:asciiTheme="minorEastAsia" w:hAnsiTheme="minorEastAsia" w:eastAsiaTheme="minorEastAsia"/>
          <w:b/>
          <w:color w:val="auto"/>
          <w:sz w:val="28"/>
          <w:highlight w:val="none"/>
        </w:rPr>
      </w:pPr>
      <w:bookmarkStart w:id="672" w:name="_Toc31802"/>
      <w:bookmarkStart w:id="673" w:name="_Toc17379"/>
      <w:r>
        <w:rPr>
          <w:rFonts w:hint="eastAsia" w:asciiTheme="minorEastAsia" w:hAnsiTheme="minorEastAsia" w:eastAsiaTheme="minorEastAsia"/>
          <w:b/>
          <w:color w:val="auto"/>
          <w:sz w:val="28"/>
          <w:highlight w:val="none"/>
        </w:rPr>
        <w:t>第六章  响应文件格式</w:t>
      </w:r>
      <w:bookmarkEnd w:id="672"/>
      <w:bookmarkEnd w:id="673"/>
    </w:p>
    <w:p w14:paraId="6981FF7E">
      <w:pPr>
        <w:spacing w:line="900" w:lineRule="exact"/>
        <w:jc w:val="center"/>
        <w:rPr>
          <w:rFonts w:asciiTheme="minorEastAsia" w:hAnsiTheme="minorEastAsia" w:eastAsiaTheme="minorEastAsia"/>
          <w:b/>
          <w:color w:val="auto"/>
          <w:sz w:val="72"/>
          <w:highlight w:val="none"/>
        </w:rPr>
      </w:pPr>
    </w:p>
    <w:p w14:paraId="6F2CEE04">
      <w:pPr>
        <w:spacing w:line="900" w:lineRule="exact"/>
        <w:jc w:val="center"/>
        <w:outlineLvl w:val="2"/>
        <w:rPr>
          <w:rFonts w:asciiTheme="minorEastAsia" w:hAnsiTheme="minorEastAsia" w:eastAsiaTheme="minorEastAsia"/>
          <w:b/>
          <w:color w:val="auto"/>
          <w:sz w:val="72"/>
          <w:highlight w:val="none"/>
        </w:rPr>
      </w:pPr>
      <w:r>
        <w:rPr>
          <w:rFonts w:hint="eastAsia" w:asciiTheme="minorEastAsia" w:hAnsiTheme="minorEastAsia" w:eastAsiaTheme="minorEastAsia"/>
          <w:b/>
          <w:color w:val="auto"/>
          <w:sz w:val="72"/>
          <w:highlight w:val="none"/>
        </w:rPr>
        <w:t>响</w:t>
      </w:r>
    </w:p>
    <w:p w14:paraId="3E198AF1">
      <w:pPr>
        <w:spacing w:line="900" w:lineRule="exact"/>
        <w:jc w:val="center"/>
        <w:rPr>
          <w:rFonts w:asciiTheme="minorEastAsia" w:hAnsiTheme="minorEastAsia" w:eastAsiaTheme="minorEastAsia"/>
          <w:b/>
          <w:color w:val="auto"/>
          <w:sz w:val="72"/>
          <w:highlight w:val="none"/>
        </w:rPr>
      </w:pPr>
    </w:p>
    <w:p w14:paraId="4B51E4B0">
      <w:pPr>
        <w:spacing w:line="900" w:lineRule="exact"/>
        <w:jc w:val="center"/>
        <w:outlineLvl w:val="2"/>
        <w:rPr>
          <w:rFonts w:asciiTheme="minorEastAsia" w:hAnsiTheme="minorEastAsia" w:eastAsiaTheme="minorEastAsia"/>
          <w:b/>
          <w:color w:val="auto"/>
          <w:sz w:val="72"/>
          <w:highlight w:val="none"/>
        </w:rPr>
      </w:pPr>
      <w:r>
        <w:rPr>
          <w:rFonts w:hint="eastAsia" w:asciiTheme="minorEastAsia" w:hAnsiTheme="minorEastAsia" w:eastAsiaTheme="minorEastAsia"/>
          <w:b/>
          <w:color w:val="auto"/>
          <w:sz w:val="72"/>
          <w:highlight w:val="none"/>
        </w:rPr>
        <w:t>应</w:t>
      </w:r>
    </w:p>
    <w:p w14:paraId="11DAD9B1">
      <w:pPr>
        <w:spacing w:line="900" w:lineRule="exact"/>
        <w:jc w:val="center"/>
        <w:rPr>
          <w:rFonts w:asciiTheme="minorEastAsia" w:hAnsiTheme="minorEastAsia" w:eastAsiaTheme="minorEastAsia"/>
          <w:b/>
          <w:color w:val="auto"/>
          <w:sz w:val="72"/>
          <w:highlight w:val="none"/>
        </w:rPr>
      </w:pPr>
    </w:p>
    <w:p w14:paraId="2DA1D022">
      <w:pPr>
        <w:spacing w:line="900" w:lineRule="exact"/>
        <w:jc w:val="center"/>
        <w:outlineLvl w:val="2"/>
        <w:rPr>
          <w:rFonts w:asciiTheme="minorEastAsia" w:hAnsiTheme="minorEastAsia" w:eastAsiaTheme="minorEastAsia"/>
          <w:b/>
          <w:color w:val="auto"/>
          <w:sz w:val="72"/>
          <w:highlight w:val="none"/>
        </w:rPr>
      </w:pPr>
      <w:r>
        <w:rPr>
          <w:rFonts w:hint="eastAsia" w:asciiTheme="minorEastAsia" w:hAnsiTheme="minorEastAsia" w:eastAsiaTheme="minorEastAsia"/>
          <w:b/>
          <w:color w:val="auto"/>
          <w:sz w:val="72"/>
          <w:highlight w:val="none"/>
        </w:rPr>
        <w:t>文</w:t>
      </w:r>
    </w:p>
    <w:p w14:paraId="49A8B109">
      <w:pPr>
        <w:spacing w:line="900" w:lineRule="exact"/>
        <w:jc w:val="center"/>
        <w:rPr>
          <w:rFonts w:asciiTheme="minorEastAsia" w:hAnsiTheme="minorEastAsia" w:eastAsiaTheme="minorEastAsia"/>
          <w:b/>
          <w:color w:val="auto"/>
          <w:sz w:val="72"/>
          <w:highlight w:val="none"/>
        </w:rPr>
      </w:pPr>
    </w:p>
    <w:p w14:paraId="41DD08A4">
      <w:pPr>
        <w:jc w:val="center"/>
        <w:outlineLvl w:val="2"/>
        <w:rPr>
          <w:rFonts w:asciiTheme="minorEastAsia" w:hAnsiTheme="minorEastAsia" w:eastAsiaTheme="minorEastAsia"/>
          <w:b/>
          <w:color w:val="auto"/>
          <w:sz w:val="72"/>
          <w:highlight w:val="none"/>
        </w:rPr>
      </w:pPr>
      <w:r>
        <w:rPr>
          <w:rFonts w:hint="eastAsia" w:asciiTheme="minorEastAsia" w:hAnsiTheme="minorEastAsia" w:eastAsiaTheme="minorEastAsia"/>
          <w:b/>
          <w:color w:val="auto"/>
          <w:sz w:val="72"/>
          <w:highlight w:val="none"/>
        </w:rPr>
        <w:t>件</w:t>
      </w:r>
    </w:p>
    <w:p w14:paraId="696E5E49">
      <w:pPr>
        <w:spacing w:after="156" w:afterLines="50"/>
        <w:jc w:val="center"/>
        <w:rPr>
          <w:rFonts w:asciiTheme="minorEastAsia" w:hAnsiTheme="minorEastAsia" w:eastAsiaTheme="minorEastAsia"/>
          <w:b/>
          <w:color w:val="auto"/>
          <w:sz w:val="72"/>
          <w:highlight w:val="none"/>
        </w:rPr>
      </w:pPr>
    </w:p>
    <w:p w14:paraId="06F214DB">
      <w:pPr>
        <w:spacing w:after="156" w:afterLines="50" w:line="500" w:lineRule="exact"/>
        <w:jc w:val="center"/>
        <w:rPr>
          <w:rFonts w:asciiTheme="minorEastAsia" w:hAnsiTheme="minorEastAsia" w:eastAsiaTheme="minorEastAsia"/>
          <w:b/>
          <w:color w:val="auto"/>
          <w:sz w:val="28"/>
          <w:szCs w:val="28"/>
          <w:highlight w:val="none"/>
        </w:rPr>
      </w:pPr>
    </w:p>
    <w:p w14:paraId="189EC55C">
      <w:pPr>
        <w:pStyle w:val="2"/>
      </w:pPr>
    </w:p>
    <w:p w14:paraId="2E987C79">
      <w:pPr>
        <w:tabs>
          <w:tab w:val="left" w:pos="2410"/>
        </w:tabs>
        <w:autoSpaceDE w:val="0"/>
        <w:autoSpaceDN w:val="0"/>
        <w:adjustRightInd w:val="0"/>
        <w:snapToGrid w:val="0"/>
        <w:spacing w:line="360" w:lineRule="auto"/>
        <w:ind w:firstLine="1606" w:firstLineChars="500"/>
        <w:jc w:val="both"/>
        <w:outlineLvl w:val="9"/>
        <w:rPr>
          <w:rFonts w:hint="default" w:ascii="宋体" w:hAnsi="宋体" w:eastAsia="宋体"/>
          <w:b/>
          <w:color w:val="auto"/>
          <w:spacing w:val="20"/>
          <w:kern w:val="0"/>
          <w:sz w:val="32"/>
          <w:szCs w:val="32"/>
          <w:highlight w:val="none"/>
          <w:lang w:val="en-US" w:eastAsia="zh-CN"/>
        </w:rPr>
      </w:pPr>
      <w:r>
        <w:rPr>
          <w:rFonts w:hint="eastAsia" w:asciiTheme="minorEastAsia" w:hAnsiTheme="minorEastAsia" w:eastAsiaTheme="minorEastAsia"/>
          <w:b/>
          <w:color w:val="auto"/>
          <w:sz w:val="32"/>
          <w:highlight w:val="none"/>
        </w:rPr>
        <w:t>项目名称：</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u w:val="single"/>
          <w:lang w:val="en-US" w:eastAsia="zh-CN"/>
        </w:rPr>
        <w:t xml:space="preserve">   </w:t>
      </w:r>
      <w:r>
        <w:rPr>
          <w:rFonts w:hint="eastAsia" w:asciiTheme="minorEastAsia" w:hAnsiTheme="minorEastAsia" w:eastAsiaTheme="minorEastAsia"/>
          <w:b/>
          <w:color w:val="auto"/>
          <w:sz w:val="32"/>
          <w:highlight w:val="none"/>
          <w:u w:val="single"/>
        </w:rPr>
        <w:t xml:space="preserve">    </w:t>
      </w:r>
    </w:p>
    <w:p w14:paraId="7E79A4F3">
      <w:pPr>
        <w:tabs>
          <w:tab w:val="left" w:pos="2410"/>
        </w:tabs>
        <w:autoSpaceDE w:val="0"/>
        <w:autoSpaceDN w:val="0"/>
        <w:adjustRightInd w:val="0"/>
        <w:snapToGrid w:val="0"/>
        <w:spacing w:line="360" w:lineRule="auto"/>
        <w:ind w:firstLine="1606" w:firstLineChars="500"/>
        <w:jc w:val="both"/>
        <w:outlineLvl w:val="9"/>
        <w:rPr>
          <w:rFonts w:hint="eastAsia" w:asciiTheme="minorEastAsia" w:hAnsiTheme="minorEastAsia" w:eastAsiaTheme="minorEastAsia"/>
          <w:b/>
          <w:color w:val="auto"/>
          <w:sz w:val="32"/>
          <w:highlight w:val="none"/>
          <w:u w:val="single"/>
        </w:rPr>
      </w:pPr>
      <w:r>
        <w:rPr>
          <w:rFonts w:hint="eastAsia" w:asciiTheme="minorEastAsia" w:hAnsiTheme="minorEastAsia" w:eastAsiaTheme="minorEastAsia"/>
          <w:b/>
          <w:color w:val="auto"/>
          <w:sz w:val="32"/>
          <w:highlight w:val="none"/>
        </w:rPr>
        <w:t>项目编号：</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u w:val="single"/>
          <w:lang w:val="en-US" w:eastAsia="zh-CN"/>
        </w:rPr>
        <w:t xml:space="preserve">   </w:t>
      </w:r>
      <w:r>
        <w:rPr>
          <w:rFonts w:hint="eastAsia" w:asciiTheme="minorEastAsia" w:hAnsiTheme="minorEastAsia" w:eastAsiaTheme="minorEastAsia"/>
          <w:b/>
          <w:color w:val="auto"/>
          <w:sz w:val="32"/>
          <w:highlight w:val="none"/>
          <w:u w:val="single"/>
        </w:rPr>
        <w:t xml:space="preserve">  </w:t>
      </w:r>
    </w:p>
    <w:p w14:paraId="0AAA8ABF">
      <w:pPr>
        <w:tabs>
          <w:tab w:val="left" w:pos="2410"/>
        </w:tabs>
        <w:autoSpaceDE w:val="0"/>
        <w:autoSpaceDN w:val="0"/>
        <w:adjustRightInd w:val="0"/>
        <w:snapToGrid w:val="0"/>
        <w:spacing w:line="360" w:lineRule="auto"/>
        <w:ind w:firstLine="1606" w:firstLineChars="500"/>
        <w:jc w:val="both"/>
        <w:outlineLvl w:val="9"/>
        <w:rPr>
          <w:rFonts w:asciiTheme="minorEastAsia" w:hAnsiTheme="minorEastAsia" w:eastAsiaTheme="minorEastAsia"/>
          <w:b/>
          <w:color w:val="auto"/>
          <w:sz w:val="32"/>
          <w:highlight w:val="none"/>
          <w:u w:val="single"/>
        </w:rPr>
      </w:pPr>
      <w:r>
        <w:rPr>
          <w:rFonts w:hint="eastAsia" w:asciiTheme="minorEastAsia" w:hAnsiTheme="minorEastAsia" w:eastAsiaTheme="minorEastAsia"/>
          <w:b/>
          <w:color w:val="auto"/>
          <w:sz w:val="32"/>
          <w:highlight w:val="none"/>
          <w:lang w:val="en-US" w:eastAsia="zh-CN"/>
        </w:rPr>
        <w:t>供 应 商</w:t>
      </w:r>
      <w:r>
        <w:rPr>
          <w:rFonts w:hint="eastAsia" w:asciiTheme="minorEastAsia" w:hAnsiTheme="minorEastAsia" w:eastAsiaTheme="minorEastAsia"/>
          <w:b/>
          <w:color w:val="auto"/>
          <w:sz w:val="32"/>
          <w:highlight w:val="none"/>
        </w:rPr>
        <w:t>：</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u w:val="single"/>
          <w:lang w:val="en-US" w:eastAsia="zh-CN"/>
        </w:rPr>
        <w:t xml:space="preserve">   </w:t>
      </w:r>
      <w:r>
        <w:rPr>
          <w:rFonts w:hint="eastAsia" w:asciiTheme="minorEastAsia" w:hAnsiTheme="minorEastAsia" w:eastAsiaTheme="minorEastAsia"/>
          <w:b/>
          <w:color w:val="auto"/>
          <w:sz w:val="32"/>
          <w:highlight w:val="none"/>
          <w:u w:val="single"/>
        </w:rPr>
        <w:t xml:space="preserve">    </w:t>
      </w:r>
    </w:p>
    <w:p w14:paraId="6D23B0FD">
      <w:pPr>
        <w:spacing w:after="156" w:afterLines="50" w:line="500" w:lineRule="exact"/>
        <w:jc w:val="center"/>
        <w:outlineLvl w:val="1"/>
        <w:rPr>
          <w:rFonts w:asciiTheme="minorEastAsia" w:hAnsiTheme="minorEastAsia" w:eastAsiaTheme="minorEastAsia"/>
          <w:b/>
          <w:color w:val="auto"/>
          <w:sz w:val="32"/>
          <w:highlight w:val="none"/>
        </w:rPr>
      </w:pPr>
      <w:r>
        <w:rPr>
          <w:rFonts w:hint="eastAsia" w:asciiTheme="minorEastAsia" w:hAnsiTheme="minorEastAsia" w:eastAsiaTheme="minorEastAsia"/>
          <w:b/>
          <w:color w:val="auto"/>
          <w:sz w:val="32"/>
          <w:highlight w:val="none"/>
          <w:u w:val="single"/>
        </w:rPr>
        <w:t xml:space="preserve">    </w:t>
      </w:r>
      <w:bookmarkStart w:id="674" w:name="_Toc27597"/>
      <w:bookmarkStart w:id="675" w:name="_Toc22228"/>
      <w:bookmarkStart w:id="676" w:name="_Toc32582"/>
      <w:r>
        <w:rPr>
          <w:rFonts w:hint="eastAsia" w:asciiTheme="minorEastAsia" w:hAnsiTheme="minorEastAsia" w:eastAsiaTheme="minorEastAsia"/>
          <w:b/>
          <w:color w:val="auto"/>
          <w:sz w:val="32"/>
          <w:highlight w:val="none"/>
        </w:rPr>
        <w:t>年</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rPr>
        <w:t>月</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rPr>
        <w:t>日</w:t>
      </w:r>
      <w:bookmarkEnd w:id="674"/>
      <w:bookmarkEnd w:id="675"/>
      <w:bookmarkEnd w:id="676"/>
    </w:p>
    <w:p w14:paraId="278128B7">
      <w:pPr>
        <w:widowControl/>
        <w:jc w:val="left"/>
        <w:rPr>
          <w:rFonts w:asciiTheme="minorEastAsia" w:hAnsiTheme="minorEastAsia" w:eastAsiaTheme="minorEastAsia"/>
          <w:b/>
          <w:color w:val="auto"/>
          <w:sz w:val="28"/>
          <w:highlight w:val="none"/>
        </w:rPr>
      </w:pPr>
      <w:r>
        <w:rPr>
          <w:rFonts w:asciiTheme="minorEastAsia" w:hAnsiTheme="minorEastAsia" w:eastAsiaTheme="minorEastAsia"/>
          <w:b/>
          <w:color w:val="auto"/>
          <w:sz w:val="28"/>
          <w:highlight w:val="none"/>
        </w:rPr>
        <w:br w:type="page"/>
      </w:r>
    </w:p>
    <w:p w14:paraId="2F266701">
      <w:pPr>
        <w:spacing w:line="360" w:lineRule="auto"/>
        <w:jc w:val="center"/>
        <w:outlineLvl w:val="1"/>
        <w:rPr>
          <w:rFonts w:hint="eastAsia" w:asciiTheme="minorEastAsia" w:hAnsiTheme="minorEastAsia" w:eastAsiaTheme="minorEastAsia"/>
          <w:b/>
          <w:color w:val="auto"/>
          <w:sz w:val="24"/>
          <w:highlight w:val="none"/>
        </w:rPr>
      </w:pPr>
      <w:bookmarkStart w:id="677" w:name="_Toc10928"/>
      <w:bookmarkStart w:id="678" w:name="_Toc461053086"/>
      <w:bookmarkStart w:id="679" w:name="_Toc461056631"/>
      <w:bookmarkStart w:id="680" w:name="_Toc520983587"/>
      <w:bookmarkStart w:id="681" w:name="_Toc26877"/>
      <w:bookmarkStart w:id="682" w:name="_Toc17778"/>
      <w:r>
        <w:rPr>
          <w:rFonts w:hint="eastAsia" w:asciiTheme="minorEastAsia" w:hAnsiTheme="minorEastAsia" w:eastAsiaTheme="minorEastAsia"/>
          <w:b/>
          <w:color w:val="auto"/>
          <w:sz w:val="24"/>
          <w:highlight w:val="none"/>
          <w:lang w:val="en-US" w:eastAsia="zh-CN"/>
        </w:rPr>
        <w:t>一、</w:t>
      </w:r>
      <w:r>
        <w:rPr>
          <w:rFonts w:hint="eastAsia" w:asciiTheme="minorEastAsia" w:hAnsiTheme="minorEastAsia" w:eastAsiaTheme="minorEastAsia"/>
          <w:b/>
          <w:color w:val="auto"/>
          <w:sz w:val="24"/>
          <w:highlight w:val="none"/>
        </w:rPr>
        <w:t>营业执照等证明文件</w:t>
      </w:r>
      <w:bookmarkEnd w:id="677"/>
    </w:p>
    <w:p w14:paraId="69CCA61C">
      <w:pPr>
        <w:bidi w:val="0"/>
        <w:rPr>
          <w:rFonts w:hint="eastAsia"/>
        </w:rPr>
      </w:pPr>
    </w:p>
    <w:p w14:paraId="6881B7D9">
      <w:pPr>
        <w:bidi w:val="0"/>
        <w:rPr>
          <w:rFonts w:hint="eastAsia"/>
        </w:rPr>
      </w:pPr>
    </w:p>
    <w:p w14:paraId="219FDE6C">
      <w:pPr>
        <w:bidi w:val="0"/>
        <w:rPr>
          <w:rFonts w:hint="eastAsia"/>
        </w:rPr>
      </w:pPr>
    </w:p>
    <w:p w14:paraId="59ED0214">
      <w:pPr>
        <w:bidi w:val="0"/>
        <w:rPr>
          <w:rFonts w:hint="eastAsia"/>
        </w:rPr>
      </w:pPr>
    </w:p>
    <w:p w14:paraId="43EAA634">
      <w:pPr>
        <w:bidi w:val="0"/>
        <w:rPr>
          <w:rFonts w:hint="eastAsia"/>
        </w:rPr>
      </w:pPr>
    </w:p>
    <w:p w14:paraId="1738B053">
      <w:pPr>
        <w:bidi w:val="0"/>
        <w:rPr>
          <w:rFonts w:hint="eastAsia"/>
        </w:rPr>
      </w:pPr>
    </w:p>
    <w:p w14:paraId="6D375C15">
      <w:pPr>
        <w:bidi w:val="0"/>
        <w:rPr>
          <w:rFonts w:hint="eastAsia"/>
        </w:rPr>
      </w:pPr>
    </w:p>
    <w:p w14:paraId="5EE66C6E">
      <w:pPr>
        <w:bidi w:val="0"/>
        <w:rPr>
          <w:rFonts w:hint="eastAsia"/>
        </w:rPr>
      </w:pPr>
    </w:p>
    <w:p w14:paraId="3EBCCCFA">
      <w:pPr>
        <w:bidi w:val="0"/>
        <w:rPr>
          <w:rFonts w:hint="eastAsia"/>
        </w:rPr>
      </w:pPr>
    </w:p>
    <w:p w14:paraId="0A3B2DC5">
      <w:pPr>
        <w:bidi w:val="0"/>
        <w:rPr>
          <w:rFonts w:hint="eastAsia"/>
        </w:rPr>
      </w:pPr>
    </w:p>
    <w:p w14:paraId="3F951200">
      <w:pPr>
        <w:bidi w:val="0"/>
        <w:rPr>
          <w:rFonts w:hint="eastAsia"/>
        </w:rPr>
      </w:pPr>
    </w:p>
    <w:p w14:paraId="182D2E37">
      <w:pPr>
        <w:bidi w:val="0"/>
        <w:rPr>
          <w:rFonts w:hint="eastAsia"/>
        </w:rPr>
      </w:pPr>
    </w:p>
    <w:p w14:paraId="1C516DA8">
      <w:pPr>
        <w:bidi w:val="0"/>
        <w:rPr>
          <w:rFonts w:hint="eastAsia"/>
        </w:rPr>
      </w:pPr>
    </w:p>
    <w:p w14:paraId="41FCFE37">
      <w:pPr>
        <w:bidi w:val="0"/>
        <w:rPr>
          <w:rFonts w:hint="eastAsia"/>
        </w:rPr>
      </w:pPr>
    </w:p>
    <w:p w14:paraId="0621C993">
      <w:pPr>
        <w:bidi w:val="0"/>
        <w:rPr>
          <w:rFonts w:hint="eastAsia"/>
        </w:rPr>
      </w:pPr>
    </w:p>
    <w:p w14:paraId="17A06463">
      <w:pPr>
        <w:bidi w:val="0"/>
        <w:rPr>
          <w:rFonts w:hint="eastAsia"/>
        </w:rPr>
      </w:pPr>
    </w:p>
    <w:p w14:paraId="13ABFC92">
      <w:pPr>
        <w:bidi w:val="0"/>
        <w:rPr>
          <w:rFonts w:hint="eastAsia"/>
        </w:rPr>
      </w:pPr>
    </w:p>
    <w:p w14:paraId="01DF1F44">
      <w:pPr>
        <w:bidi w:val="0"/>
        <w:rPr>
          <w:rFonts w:hint="eastAsia"/>
        </w:rPr>
      </w:pPr>
    </w:p>
    <w:p w14:paraId="4A5FDC4A">
      <w:pPr>
        <w:bidi w:val="0"/>
        <w:rPr>
          <w:rFonts w:hint="eastAsia"/>
        </w:rPr>
      </w:pPr>
    </w:p>
    <w:p w14:paraId="5AB374EA">
      <w:pPr>
        <w:bidi w:val="0"/>
        <w:rPr>
          <w:rFonts w:hint="eastAsia"/>
        </w:rPr>
      </w:pPr>
    </w:p>
    <w:p w14:paraId="3AACB240">
      <w:pPr>
        <w:bidi w:val="0"/>
        <w:rPr>
          <w:rFonts w:hint="eastAsia"/>
        </w:rPr>
      </w:pPr>
    </w:p>
    <w:p w14:paraId="6B5E1A59">
      <w:pPr>
        <w:bidi w:val="0"/>
        <w:rPr>
          <w:rFonts w:hint="eastAsia"/>
        </w:rPr>
      </w:pPr>
    </w:p>
    <w:p w14:paraId="54F37792">
      <w:pPr>
        <w:bidi w:val="0"/>
        <w:rPr>
          <w:rFonts w:hint="eastAsia"/>
        </w:rPr>
      </w:pPr>
    </w:p>
    <w:p w14:paraId="3002434E">
      <w:pPr>
        <w:bidi w:val="0"/>
        <w:rPr>
          <w:rFonts w:hint="eastAsia"/>
        </w:rPr>
      </w:pPr>
    </w:p>
    <w:p w14:paraId="2F9E0EE7">
      <w:pPr>
        <w:rPr>
          <w:rFonts w:hint="eastAsia"/>
        </w:rPr>
      </w:pPr>
    </w:p>
    <w:p w14:paraId="683928E5">
      <w:pPr>
        <w:bidi w:val="0"/>
        <w:rPr>
          <w:rFonts w:hint="eastAsia"/>
        </w:rPr>
      </w:pPr>
    </w:p>
    <w:p w14:paraId="13141AF0">
      <w:pPr>
        <w:bidi w:val="0"/>
        <w:rPr>
          <w:rFonts w:hint="eastAsia"/>
        </w:rPr>
      </w:pPr>
    </w:p>
    <w:p w14:paraId="67F554AB">
      <w:pPr>
        <w:bidi w:val="0"/>
        <w:rPr>
          <w:rFonts w:hint="eastAsia"/>
        </w:rPr>
      </w:pPr>
    </w:p>
    <w:p w14:paraId="4BB72BC3">
      <w:pPr>
        <w:bidi w:val="0"/>
        <w:rPr>
          <w:rFonts w:hint="eastAsia"/>
        </w:rPr>
      </w:pPr>
    </w:p>
    <w:p w14:paraId="04AADE41">
      <w:pPr>
        <w:bidi w:val="0"/>
        <w:rPr>
          <w:rFonts w:hint="eastAsia"/>
        </w:rPr>
      </w:pPr>
    </w:p>
    <w:p w14:paraId="7A20A22F">
      <w:pPr>
        <w:bidi w:val="0"/>
        <w:rPr>
          <w:rFonts w:hint="eastAsia"/>
        </w:rPr>
      </w:pPr>
    </w:p>
    <w:p w14:paraId="66B10EFF">
      <w:pPr>
        <w:rPr>
          <w:rFonts w:hint="eastAsia"/>
        </w:rPr>
      </w:pPr>
    </w:p>
    <w:p w14:paraId="198D4A3E">
      <w:pPr>
        <w:bidi w:val="0"/>
        <w:rPr>
          <w:rFonts w:hint="eastAsia"/>
        </w:rPr>
      </w:pPr>
    </w:p>
    <w:p w14:paraId="4BDED58B">
      <w:pPr>
        <w:rPr>
          <w:rFonts w:hint="eastAsia"/>
        </w:rPr>
      </w:pPr>
    </w:p>
    <w:p w14:paraId="061B2972">
      <w:pPr>
        <w:bidi w:val="0"/>
        <w:rPr>
          <w:rFonts w:hint="eastAsia"/>
        </w:rPr>
      </w:pPr>
    </w:p>
    <w:p w14:paraId="3B3F0895">
      <w:pPr>
        <w:bidi w:val="0"/>
        <w:rPr>
          <w:rFonts w:hint="eastAsia"/>
        </w:rPr>
      </w:pPr>
    </w:p>
    <w:p w14:paraId="4DD41FEF">
      <w:pPr>
        <w:rPr>
          <w:rFonts w:hint="eastAsia"/>
        </w:rPr>
      </w:pPr>
    </w:p>
    <w:p w14:paraId="18F1B8C3">
      <w:pPr>
        <w:bidi w:val="0"/>
        <w:rPr>
          <w:rFonts w:hint="eastAsia"/>
        </w:rPr>
      </w:pPr>
    </w:p>
    <w:p w14:paraId="761FF017">
      <w:pPr>
        <w:bidi w:val="0"/>
        <w:rPr>
          <w:rFonts w:hint="eastAsia"/>
        </w:rPr>
      </w:pPr>
    </w:p>
    <w:p w14:paraId="43A68958">
      <w:pPr>
        <w:bidi w:val="0"/>
        <w:rPr>
          <w:rFonts w:hint="eastAsia"/>
        </w:rPr>
      </w:pPr>
    </w:p>
    <w:p w14:paraId="07914D03">
      <w:pPr>
        <w:bidi w:val="0"/>
        <w:rPr>
          <w:rFonts w:hint="eastAsia"/>
        </w:rPr>
      </w:pPr>
    </w:p>
    <w:p w14:paraId="686FDF33">
      <w:pPr>
        <w:bidi w:val="0"/>
        <w:rPr>
          <w:rFonts w:hint="eastAsia"/>
        </w:rPr>
      </w:pPr>
    </w:p>
    <w:p w14:paraId="7D3CCCB0">
      <w:pPr>
        <w:spacing w:line="360" w:lineRule="auto"/>
        <w:jc w:val="center"/>
        <w:outlineLvl w:val="1"/>
        <w:rPr>
          <w:b/>
          <w:i/>
          <w:color w:val="auto"/>
          <w:sz w:val="24"/>
          <w:highlight w:val="yellow"/>
        </w:rPr>
      </w:pPr>
      <w:bookmarkStart w:id="683" w:name="_Toc5312"/>
      <w:r>
        <w:rPr>
          <w:rFonts w:hint="eastAsia" w:asciiTheme="minorEastAsia" w:hAnsiTheme="minorEastAsia" w:eastAsiaTheme="minorEastAsia"/>
          <w:b/>
          <w:color w:val="auto"/>
          <w:sz w:val="24"/>
          <w:highlight w:val="none"/>
          <w:lang w:val="en-US" w:eastAsia="zh-CN"/>
        </w:rPr>
        <w:t>二</w:t>
      </w:r>
      <w:r>
        <w:rPr>
          <w:rFonts w:hint="eastAsia"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lang w:val="en-US" w:eastAsia="zh-CN"/>
        </w:rPr>
        <w:t>供应商资格声明书</w:t>
      </w:r>
      <w:bookmarkEnd w:id="683"/>
    </w:p>
    <w:p w14:paraId="577CBE9B">
      <w:pPr>
        <w:pStyle w:val="30"/>
        <w:spacing w:line="360" w:lineRule="auto"/>
        <w:outlineLvl w:val="9"/>
        <w:rPr>
          <w:rFonts w:hint="eastAsia" w:eastAsia="宋体" w:asciiTheme="minorEastAsia" w:hAnsiTheme="minorEastAsia" w:cstheme="minorEastAsia"/>
          <w:sz w:val="24"/>
          <w:szCs w:val="24"/>
          <w:highlight w:val="none"/>
          <w:lang w:eastAsia="zh-CN"/>
        </w:rPr>
      </w:pPr>
      <w:r>
        <w:rPr>
          <w:rFonts w:hint="eastAsia" w:ascii="宋体" w:hAnsi="宋体"/>
          <w:color w:val="auto"/>
          <w:sz w:val="24"/>
          <w:highlight w:val="none"/>
        </w:rPr>
        <w:t>致：</w:t>
      </w:r>
      <w:r>
        <w:rPr>
          <w:rFonts w:hint="eastAsia" w:ascii="宋体" w:hAnsi="宋体"/>
          <w:color w:val="auto"/>
          <w:sz w:val="24"/>
          <w:highlight w:val="none"/>
          <w:u w:val="single"/>
          <w:lang w:eastAsia="zh-CN"/>
        </w:rPr>
        <w:t>采购人</w:t>
      </w:r>
    </w:p>
    <w:p w14:paraId="71BB581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在参与本次项目谈判中，我单位承诺：</w:t>
      </w:r>
    </w:p>
    <w:p w14:paraId="64438BD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（一）具有良好的商业信誉和健全的财务会计制度；</w:t>
      </w:r>
    </w:p>
    <w:p w14:paraId="7BC12A1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（二）具有履行合同所必需的设备和专业技术能力；</w:t>
      </w:r>
    </w:p>
    <w:p w14:paraId="0BA2987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（三）有依法缴纳税收和社会保障资金的良好记录；</w:t>
      </w:r>
    </w:p>
    <w:p w14:paraId="2D8F901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000000"/>
          <w:kern w:val="0"/>
          <w:sz w:val="24"/>
          <w:szCs w:val="24"/>
          <w:highlight w:val="no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四）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48656C94">
      <w:pPr>
        <w:spacing w:line="360" w:lineRule="auto"/>
        <w:rPr>
          <w:rFonts w:hint="eastAsia" w:ascii="宋体" w:hAnsi="宋体" w:eastAsia="宋体" w:cs="宋体"/>
          <w:color w:val="auto"/>
          <w:kern w:val="2"/>
          <w:sz w:val="24"/>
          <w:szCs w:val="24"/>
          <w:highlight w:val="none"/>
        </w:rPr>
      </w:pPr>
      <w:r>
        <w:rPr>
          <w:rFonts w:hint="eastAsia" w:cs="宋体"/>
          <w:color w:val="auto"/>
          <w:kern w:val="2"/>
          <w:sz w:val="24"/>
          <w:szCs w:val="24"/>
          <w:highlight w:val="none"/>
          <w:lang w:eastAsia="zh-CN"/>
        </w:rPr>
        <w:t>（</w:t>
      </w:r>
      <w:r>
        <w:rPr>
          <w:rFonts w:hint="eastAsia" w:cs="宋体"/>
          <w:color w:val="auto"/>
          <w:kern w:val="2"/>
          <w:sz w:val="24"/>
          <w:szCs w:val="24"/>
          <w:highlight w:val="none"/>
          <w:lang w:val="en-US" w:eastAsia="zh-CN"/>
        </w:rPr>
        <w:t>五</w:t>
      </w:r>
      <w:r>
        <w:rPr>
          <w:rFonts w:hint="eastAsia" w:cs="宋体"/>
          <w:color w:val="auto"/>
          <w:kern w:val="2"/>
          <w:sz w:val="24"/>
          <w:szCs w:val="24"/>
          <w:highlight w:val="none"/>
          <w:lang w:eastAsia="zh-CN"/>
        </w:rPr>
        <w:t>）</w:t>
      </w:r>
      <w:r>
        <w:rPr>
          <w:rFonts w:hint="eastAsia" w:cs="宋体"/>
          <w:color w:val="auto"/>
          <w:kern w:val="2"/>
          <w:sz w:val="24"/>
          <w:szCs w:val="24"/>
          <w:highlight w:val="none"/>
          <w:lang w:val="en-US" w:eastAsia="zh-CN"/>
        </w:rPr>
        <w:t>我单位</w:t>
      </w:r>
      <w:r>
        <w:rPr>
          <w:rFonts w:hint="eastAsia" w:ascii="宋体" w:hAnsi="宋体" w:eastAsia="宋体" w:cs="宋体"/>
          <w:color w:val="auto"/>
          <w:kern w:val="2"/>
          <w:sz w:val="24"/>
          <w:szCs w:val="24"/>
          <w:highlight w:val="none"/>
        </w:rPr>
        <w:t>近三年内，未发生重大质量事故和重大安全事故（以有关行政管理部门的行政处罚决定或司法机关出具的有关法律文书为准），前述行政处罚已完成信用修复的，但自行政处罚作出机关或信用修复主管部门同意修复之日起满一年的，不受三年期限限制；</w:t>
      </w:r>
    </w:p>
    <w:p w14:paraId="72DD4BAB">
      <w:pPr>
        <w:spacing w:line="360" w:lineRule="auto"/>
        <w:rPr>
          <w:rFonts w:hint="eastAsia" w:ascii="宋体" w:hAnsi="宋体" w:eastAsia="宋体" w:cs="宋体"/>
          <w:color w:val="auto"/>
          <w:kern w:val="2"/>
          <w:sz w:val="24"/>
          <w:szCs w:val="24"/>
          <w:highlight w:val="none"/>
        </w:rPr>
      </w:pPr>
      <w:r>
        <w:rPr>
          <w:rFonts w:hint="eastAsia" w:cs="宋体"/>
          <w:color w:val="auto"/>
          <w:kern w:val="2"/>
          <w:sz w:val="24"/>
          <w:szCs w:val="24"/>
          <w:highlight w:val="none"/>
          <w:lang w:eastAsia="zh-CN"/>
        </w:rPr>
        <w:t>（</w:t>
      </w:r>
      <w:r>
        <w:rPr>
          <w:rFonts w:hint="eastAsia" w:cs="宋体"/>
          <w:color w:val="auto"/>
          <w:kern w:val="2"/>
          <w:sz w:val="24"/>
          <w:szCs w:val="24"/>
          <w:highlight w:val="none"/>
          <w:lang w:val="en-US" w:eastAsia="zh-CN"/>
        </w:rPr>
        <w:t>六</w:t>
      </w:r>
      <w:r>
        <w:rPr>
          <w:rFonts w:hint="eastAsia" w:cs="宋体"/>
          <w:color w:val="auto"/>
          <w:kern w:val="2"/>
          <w:sz w:val="24"/>
          <w:szCs w:val="24"/>
          <w:highlight w:val="none"/>
          <w:lang w:eastAsia="zh-CN"/>
        </w:rPr>
        <w:t>）</w:t>
      </w:r>
      <w:r>
        <w:rPr>
          <w:rFonts w:hint="eastAsia" w:cs="宋体"/>
          <w:color w:val="auto"/>
          <w:kern w:val="2"/>
          <w:sz w:val="24"/>
          <w:szCs w:val="24"/>
          <w:highlight w:val="none"/>
          <w:lang w:val="en-US" w:eastAsia="zh-CN"/>
        </w:rPr>
        <w:t>我单位</w:t>
      </w:r>
      <w:r>
        <w:rPr>
          <w:rFonts w:hint="eastAsia" w:ascii="宋体" w:hAnsi="宋体" w:eastAsia="宋体" w:cs="宋体"/>
          <w:color w:val="auto"/>
          <w:kern w:val="2"/>
          <w:sz w:val="24"/>
          <w:szCs w:val="24"/>
          <w:highlight w:val="none"/>
        </w:rPr>
        <w:t>在本项目</w:t>
      </w:r>
      <w:r>
        <w:rPr>
          <w:rFonts w:hint="eastAsia" w:cs="宋体"/>
          <w:color w:val="auto"/>
          <w:kern w:val="2"/>
          <w:sz w:val="24"/>
          <w:szCs w:val="24"/>
          <w:highlight w:val="none"/>
          <w:lang w:val="en-US" w:eastAsia="zh-CN"/>
        </w:rPr>
        <w:t>谈判</w:t>
      </w:r>
      <w:r>
        <w:rPr>
          <w:rFonts w:hint="eastAsia" w:ascii="宋体" w:hAnsi="宋体" w:eastAsia="宋体" w:cs="宋体"/>
          <w:color w:val="auto"/>
          <w:kern w:val="2"/>
          <w:sz w:val="24"/>
          <w:szCs w:val="24"/>
          <w:highlight w:val="none"/>
        </w:rPr>
        <w:t>有效期内，在本项目所在区域未存在因质量事故、安全事故等被限期承包工程或市场不良行为等被限制</w:t>
      </w:r>
      <w:r>
        <w:rPr>
          <w:rFonts w:hint="eastAsia" w:cs="宋体"/>
          <w:color w:val="auto"/>
          <w:kern w:val="2"/>
          <w:sz w:val="24"/>
          <w:szCs w:val="24"/>
          <w:highlight w:val="none"/>
          <w:lang w:val="en-US" w:eastAsia="zh-CN"/>
        </w:rPr>
        <w:t>谈判</w:t>
      </w:r>
      <w:r>
        <w:rPr>
          <w:rFonts w:hint="eastAsia" w:ascii="宋体" w:hAnsi="宋体" w:eastAsia="宋体" w:cs="宋体"/>
          <w:color w:val="auto"/>
          <w:kern w:val="2"/>
          <w:sz w:val="24"/>
          <w:szCs w:val="24"/>
          <w:highlight w:val="none"/>
        </w:rPr>
        <w:t>资格行为，且处于处罚期内的情况；</w:t>
      </w:r>
    </w:p>
    <w:p w14:paraId="507ED621">
      <w:pPr>
        <w:spacing w:line="360" w:lineRule="auto"/>
        <w:rPr>
          <w:rFonts w:hint="eastAsia"/>
          <w:highlight w:val="none"/>
        </w:rPr>
      </w:pPr>
      <w:r>
        <w:rPr>
          <w:rFonts w:hint="eastAsia" w:cs="宋体"/>
          <w:color w:val="auto"/>
          <w:kern w:val="2"/>
          <w:sz w:val="24"/>
          <w:szCs w:val="24"/>
          <w:highlight w:val="none"/>
          <w:lang w:eastAsia="zh-CN"/>
        </w:rPr>
        <w:t>（</w:t>
      </w:r>
      <w:r>
        <w:rPr>
          <w:rFonts w:hint="eastAsia" w:cs="宋体"/>
          <w:color w:val="auto"/>
          <w:kern w:val="2"/>
          <w:sz w:val="24"/>
          <w:szCs w:val="24"/>
          <w:highlight w:val="none"/>
          <w:lang w:val="en-US" w:eastAsia="zh-CN"/>
        </w:rPr>
        <w:t>七</w:t>
      </w:r>
      <w:r>
        <w:rPr>
          <w:rFonts w:hint="eastAsia" w:cs="宋体"/>
          <w:color w:val="auto"/>
          <w:kern w:val="2"/>
          <w:sz w:val="24"/>
          <w:szCs w:val="24"/>
          <w:highlight w:val="none"/>
          <w:lang w:eastAsia="zh-CN"/>
        </w:rPr>
        <w:t>）</w:t>
      </w:r>
      <w:r>
        <w:rPr>
          <w:rFonts w:hint="eastAsia" w:cs="宋体"/>
          <w:color w:val="auto"/>
          <w:kern w:val="2"/>
          <w:sz w:val="24"/>
          <w:szCs w:val="24"/>
          <w:highlight w:val="none"/>
          <w:lang w:val="en-US" w:eastAsia="zh-CN"/>
        </w:rPr>
        <w:t>我单位</w:t>
      </w:r>
      <w:r>
        <w:rPr>
          <w:rFonts w:hint="eastAsia" w:ascii="宋体" w:hAnsi="宋体" w:eastAsia="宋体" w:cs="宋体"/>
          <w:color w:val="auto"/>
          <w:sz w:val="24"/>
          <w:szCs w:val="24"/>
          <w:highlight w:val="none"/>
        </w:rPr>
        <w:t>未被“信用中国”网站列入拖欠农民工工资失信联合惩戒对象名单</w:t>
      </w:r>
      <w:r>
        <w:rPr>
          <w:rFonts w:hint="eastAsia" w:ascii="宋体" w:hAnsi="宋体" w:eastAsia="宋体" w:cs="宋体"/>
          <w:color w:val="auto"/>
          <w:kern w:val="2"/>
          <w:sz w:val="24"/>
          <w:szCs w:val="24"/>
          <w:highlight w:val="none"/>
        </w:rPr>
        <w:t>；</w:t>
      </w:r>
    </w:p>
    <w:p w14:paraId="666EE34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（八）我单位不存在为采购项目提供整体设计、规范编制或者项目管理、监理、检测等服务后，再参加该采购项目的其他采购活动的情形（单一来源采购项目除外）；</w:t>
      </w:r>
    </w:p>
    <w:p w14:paraId="6443282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000000"/>
          <w:kern w:val="0"/>
          <w:sz w:val="24"/>
          <w:szCs w:val="24"/>
          <w:highlight w:val="no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（九）与我单位存在单位负责人为同一人或者存在直接控股、管理关系的其他法人单位信息如下（如有，不论其是否参加同一合同项下的政府采购活动均须填写）：</w:t>
      </w:r>
    </w:p>
    <w:tbl>
      <w:tblPr>
        <w:tblStyle w:val="5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4267B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49695924">
            <w:pPr>
              <w:keepNext w:val="0"/>
              <w:keepLines w:val="0"/>
              <w:pageBreakBefore w:val="0"/>
              <w:widowControl/>
              <w:suppressLineNumbers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序号</w:t>
            </w:r>
          </w:p>
        </w:tc>
        <w:tc>
          <w:tcPr>
            <w:tcW w:w="2841" w:type="dxa"/>
          </w:tcPr>
          <w:p w14:paraId="40F1F662">
            <w:pPr>
              <w:pStyle w:val="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单位名称</w:t>
            </w:r>
          </w:p>
        </w:tc>
        <w:tc>
          <w:tcPr>
            <w:tcW w:w="2841" w:type="dxa"/>
          </w:tcPr>
          <w:p w14:paraId="6F71D433">
            <w:pPr>
              <w:pStyle w:val="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相互关系</w:t>
            </w:r>
          </w:p>
        </w:tc>
      </w:tr>
      <w:tr w14:paraId="46AC5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54024CEA">
            <w:pPr>
              <w:pStyle w:val="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default"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vertAlign w:val="baseline"/>
                <w:lang w:val="en-US" w:eastAsia="zh-CN" w:bidi="ar"/>
              </w:rPr>
              <w:t>1</w:t>
            </w:r>
          </w:p>
        </w:tc>
        <w:tc>
          <w:tcPr>
            <w:tcW w:w="2841" w:type="dxa"/>
          </w:tcPr>
          <w:p w14:paraId="6DEAEEDB">
            <w:pPr>
              <w:pStyle w:val="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p>
        </w:tc>
        <w:tc>
          <w:tcPr>
            <w:tcW w:w="2841" w:type="dxa"/>
          </w:tcPr>
          <w:p w14:paraId="0B7EDA93">
            <w:pPr>
              <w:pStyle w:val="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p>
        </w:tc>
      </w:tr>
      <w:tr w14:paraId="52434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007898E7">
            <w:pPr>
              <w:pStyle w:val="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default"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vertAlign w:val="baseline"/>
                <w:lang w:val="en-US" w:eastAsia="zh-CN" w:bidi="ar"/>
              </w:rPr>
              <w:t>2</w:t>
            </w:r>
          </w:p>
        </w:tc>
        <w:tc>
          <w:tcPr>
            <w:tcW w:w="2841" w:type="dxa"/>
          </w:tcPr>
          <w:p w14:paraId="2FA451E4">
            <w:pPr>
              <w:pStyle w:val="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p>
        </w:tc>
        <w:tc>
          <w:tcPr>
            <w:tcW w:w="2841" w:type="dxa"/>
          </w:tcPr>
          <w:p w14:paraId="48317E06">
            <w:pPr>
              <w:pStyle w:val="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p>
        </w:tc>
      </w:tr>
    </w:tbl>
    <w:p w14:paraId="182C923B">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rPr>
        <w:t>本单位对</w:t>
      </w:r>
      <w:r>
        <w:rPr>
          <w:rFonts w:hint="eastAsia" w:asciiTheme="minorEastAsia" w:hAnsiTheme="minorEastAsia" w:eastAsiaTheme="minorEastAsia"/>
          <w:color w:val="auto"/>
          <w:sz w:val="24"/>
          <w:highlight w:val="none"/>
        </w:rPr>
        <w:t>上述</w:t>
      </w:r>
      <w:r>
        <w:rPr>
          <w:rFonts w:hint="eastAsia" w:ascii="宋体" w:hAnsi="宋体" w:eastAsia="宋体"/>
          <w:color w:val="auto"/>
          <w:sz w:val="24"/>
          <w:highlight w:val="none"/>
        </w:rPr>
        <w:t>声明的真实性负责。如有虚假，将依法承担相应责任。</w:t>
      </w:r>
    </w:p>
    <w:p w14:paraId="034961AF">
      <w:pPr>
        <w:spacing w:line="360" w:lineRule="auto"/>
        <w:ind w:firstLine="4800" w:firstLineChars="2000"/>
        <w:rPr>
          <w:rFonts w:ascii="宋体" w:hAnsi="宋体" w:eastAsia="宋体"/>
          <w:color w:val="auto"/>
          <w:sz w:val="24"/>
          <w:highlight w:val="none"/>
          <w:u w:val="single"/>
        </w:rPr>
      </w:pPr>
      <w:r>
        <w:rPr>
          <w:rFonts w:hint="eastAsia"/>
          <w:color w:val="auto"/>
          <w:sz w:val="24"/>
          <w:highlight w:val="none"/>
          <w:lang w:val="en-US" w:eastAsia="zh-CN"/>
        </w:rPr>
        <w:t>供应商公章</w:t>
      </w:r>
      <w:r>
        <w:rPr>
          <w:rFonts w:hint="eastAsia" w:ascii="宋体" w:hAnsi="宋体" w:eastAsia="宋体"/>
          <w:color w:val="auto"/>
          <w:sz w:val="24"/>
          <w:highlight w:val="none"/>
        </w:rPr>
        <w:t>：</w:t>
      </w:r>
      <w:r>
        <w:rPr>
          <w:rFonts w:hint="eastAsia" w:ascii="宋体" w:hAnsi="宋体" w:eastAsia="宋体"/>
          <w:color w:val="auto"/>
          <w:sz w:val="24"/>
          <w:highlight w:val="none"/>
          <w:u w:val="single"/>
        </w:rPr>
        <w:t xml:space="preserve">     </w:t>
      </w:r>
      <w:r>
        <w:rPr>
          <w:rFonts w:ascii="宋体" w:hAnsi="宋体" w:eastAsia="宋体"/>
          <w:color w:val="auto"/>
          <w:sz w:val="24"/>
          <w:highlight w:val="none"/>
          <w:u w:val="single"/>
        </w:rPr>
        <w:t xml:space="preserve">    </w:t>
      </w:r>
      <w:r>
        <w:rPr>
          <w:rFonts w:hint="eastAsia" w:ascii="宋体" w:hAnsi="宋体" w:eastAsia="宋体"/>
          <w:color w:val="auto"/>
          <w:sz w:val="24"/>
          <w:highlight w:val="none"/>
          <w:u w:val="single"/>
        </w:rPr>
        <w:t xml:space="preserve">    </w:t>
      </w:r>
    </w:p>
    <w:p w14:paraId="1524E655">
      <w:pPr>
        <w:spacing w:line="360" w:lineRule="auto"/>
        <w:jc w:val="center"/>
        <w:outlineLvl w:val="9"/>
        <w:rPr>
          <w:b/>
          <w:i/>
          <w:color w:val="auto"/>
          <w:sz w:val="24"/>
          <w:highlight w:val="yellow"/>
        </w:rPr>
      </w:pPr>
      <w:r>
        <w:rPr>
          <w:rFonts w:hint="eastAsia"/>
          <w:color w:val="auto"/>
          <w:sz w:val="24"/>
          <w:highlight w:val="none"/>
          <w:lang w:val="en-US" w:eastAsia="zh-CN"/>
        </w:rPr>
        <w:t xml:space="preserve">                       </w:t>
      </w:r>
      <w:r>
        <w:rPr>
          <w:rFonts w:hint="eastAsia" w:ascii="宋体" w:hAnsi="宋体" w:eastAsia="宋体"/>
          <w:color w:val="auto"/>
          <w:sz w:val="24"/>
          <w:highlight w:val="none"/>
        </w:rPr>
        <w:t xml:space="preserve">日     </w:t>
      </w:r>
      <w:r>
        <w:rPr>
          <w:rFonts w:hint="eastAsia"/>
          <w:color w:val="auto"/>
          <w:sz w:val="24"/>
          <w:highlight w:val="none"/>
          <w:lang w:val="en-US" w:eastAsia="zh-CN"/>
        </w:rPr>
        <w:t xml:space="preserve"> </w:t>
      </w:r>
      <w:r>
        <w:rPr>
          <w:rFonts w:hint="eastAsia" w:ascii="宋体" w:hAnsi="宋体" w:eastAsia="宋体"/>
          <w:color w:val="auto"/>
          <w:sz w:val="24"/>
          <w:highlight w:val="none"/>
        </w:rPr>
        <w:t>期：</w:t>
      </w:r>
      <w:r>
        <w:rPr>
          <w:rFonts w:hint="eastAsia" w:ascii="宋体" w:hAnsi="宋体" w:eastAsia="宋体"/>
          <w:color w:val="auto"/>
          <w:sz w:val="24"/>
          <w:highlight w:val="none"/>
          <w:u w:val="single"/>
        </w:rPr>
        <w:t xml:space="preserve">     </w:t>
      </w:r>
      <w:r>
        <w:rPr>
          <w:rFonts w:ascii="宋体" w:hAnsi="宋体" w:eastAsia="宋体"/>
          <w:color w:val="auto"/>
          <w:sz w:val="24"/>
          <w:highlight w:val="none"/>
          <w:u w:val="single"/>
        </w:rPr>
        <w:t xml:space="preserve">    </w:t>
      </w:r>
      <w:r>
        <w:rPr>
          <w:rFonts w:hint="eastAsia" w:ascii="宋体" w:hAnsi="宋体" w:eastAsia="宋体"/>
          <w:color w:val="auto"/>
          <w:sz w:val="24"/>
          <w:highlight w:val="none"/>
          <w:u w:val="single"/>
        </w:rPr>
        <w:t xml:space="preserve">    </w:t>
      </w:r>
      <w:r>
        <w:rPr>
          <w:rFonts w:hint="eastAsia" w:ascii="宋体" w:hAnsi="宋体" w:eastAsia="宋体"/>
          <w:color w:val="auto"/>
          <w:sz w:val="24"/>
          <w:highlight w:val="none"/>
        </w:rPr>
        <w:t xml:space="preserve">            </w:t>
      </w:r>
    </w:p>
    <w:p w14:paraId="4B31D66E">
      <w:pPr>
        <w:spacing w:line="360" w:lineRule="auto"/>
        <w:jc w:val="center"/>
        <w:outlineLvl w:val="1"/>
        <w:rPr>
          <w:rFonts w:hint="eastAsia" w:asciiTheme="minorEastAsia" w:hAnsiTheme="minorEastAsia" w:eastAsiaTheme="minorEastAsia"/>
          <w:b/>
          <w:color w:val="auto"/>
          <w:sz w:val="24"/>
          <w:highlight w:val="none"/>
        </w:rPr>
        <w:sectPr>
          <w:headerReference r:id="rId5" w:type="default"/>
          <w:footerReference r:id="rId6" w:type="default"/>
          <w:pgSz w:w="11906" w:h="16838"/>
          <w:pgMar w:top="1440" w:right="1463" w:bottom="1440" w:left="1463" w:header="851" w:footer="992" w:gutter="0"/>
          <w:pgNumType w:fmt="decimal" w:start="3"/>
          <w:cols w:space="425" w:num="1"/>
          <w:docGrid w:type="lines" w:linePitch="312" w:charSpace="0"/>
        </w:sectPr>
      </w:pPr>
    </w:p>
    <w:p w14:paraId="2CC3D919">
      <w:pPr>
        <w:spacing w:line="360" w:lineRule="auto"/>
        <w:jc w:val="center"/>
        <w:outlineLvl w:val="1"/>
        <w:rPr>
          <w:rFonts w:asciiTheme="minorEastAsia" w:hAnsiTheme="minorEastAsia" w:eastAsiaTheme="minorEastAsia"/>
          <w:b/>
          <w:color w:val="auto"/>
          <w:sz w:val="24"/>
          <w:highlight w:val="none"/>
        </w:rPr>
      </w:pPr>
      <w:bookmarkStart w:id="684" w:name="_Toc17050"/>
      <w:r>
        <w:rPr>
          <w:rFonts w:hint="eastAsia" w:asciiTheme="minorEastAsia" w:hAnsiTheme="minorEastAsia" w:eastAsiaTheme="minorEastAsia"/>
          <w:b/>
          <w:color w:val="auto"/>
          <w:sz w:val="24"/>
          <w:highlight w:val="none"/>
          <w:lang w:val="en-US" w:eastAsia="zh-CN"/>
        </w:rPr>
        <w:t>三</w:t>
      </w:r>
      <w:r>
        <w:rPr>
          <w:rFonts w:hint="eastAsia" w:asciiTheme="minorEastAsia" w:hAnsiTheme="minorEastAsia" w:eastAsiaTheme="minorEastAsia"/>
          <w:b/>
          <w:color w:val="auto"/>
          <w:sz w:val="24"/>
          <w:highlight w:val="none"/>
        </w:rPr>
        <w:t>、中小企业声明函</w:t>
      </w:r>
      <w:bookmarkEnd w:id="684"/>
    </w:p>
    <w:p w14:paraId="7ADBE6FC">
      <w:pPr>
        <w:rPr>
          <w:rFonts w:asciiTheme="minorEastAsia" w:hAnsiTheme="minorEastAsia" w:eastAsiaTheme="minorEastAsia"/>
          <w:color w:val="auto"/>
          <w:sz w:val="24"/>
          <w:szCs w:val="24"/>
          <w:highlight w:val="none"/>
        </w:rPr>
      </w:pPr>
    </w:p>
    <w:p w14:paraId="3CD31B4C">
      <w:pPr>
        <w:spacing w:line="360" w:lineRule="auto"/>
        <w:ind w:firstLine="435"/>
        <w:rPr>
          <w:rFonts w:cs="@仿宋_GB2312"/>
          <w:color w:val="auto"/>
          <w:kern w:val="2"/>
          <w:sz w:val="24"/>
          <w:szCs w:val="24"/>
          <w:highlight w:val="none"/>
          <w:lang w:val="zh-CN"/>
        </w:rPr>
      </w:pPr>
      <w:r>
        <w:rPr>
          <w:rFonts w:hint="eastAsia" w:cs="@仿宋_GB2312"/>
          <w:color w:val="auto"/>
          <w:kern w:val="2"/>
          <w:sz w:val="24"/>
          <w:szCs w:val="24"/>
          <w:highlight w:val="none"/>
          <w:lang w:val="zh-CN"/>
        </w:rPr>
        <w:t>本公司（联合体）郑重声明，根据《政府采购促进中小企业发展管理办法》（财库﹝2020﹞46号）的规定，本公司（联合体）参加</w:t>
      </w:r>
      <w:r>
        <w:rPr>
          <w:rFonts w:hint="eastAsia" w:cs="@仿宋_GB2312"/>
          <w:color w:val="auto"/>
          <w:kern w:val="2"/>
          <w:sz w:val="24"/>
          <w:szCs w:val="24"/>
          <w:highlight w:val="none"/>
          <w:u w:val="single"/>
          <w:lang w:val="zh-CN"/>
        </w:rPr>
        <w:t>（单位</w:t>
      </w:r>
      <w:r>
        <w:rPr>
          <w:rFonts w:hint="eastAsia" w:cs="@仿宋_GB2312"/>
          <w:color w:val="auto"/>
          <w:kern w:val="2"/>
          <w:sz w:val="24"/>
          <w:szCs w:val="24"/>
          <w:highlight w:val="none"/>
          <w:u w:val="single"/>
          <w:lang w:val="en-US" w:eastAsia="zh-CN"/>
        </w:rPr>
        <w:t>名称</w:t>
      </w:r>
      <w:r>
        <w:rPr>
          <w:rFonts w:hint="eastAsia" w:cs="@仿宋_GB2312"/>
          <w:color w:val="auto"/>
          <w:kern w:val="2"/>
          <w:sz w:val="24"/>
          <w:szCs w:val="24"/>
          <w:highlight w:val="none"/>
          <w:u w:val="single"/>
          <w:lang w:val="zh-CN"/>
        </w:rPr>
        <w:t>）</w:t>
      </w:r>
      <w:r>
        <w:rPr>
          <w:rFonts w:hint="eastAsia" w:cs="@仿宋_GB2312"/>
          <w:color w:val="auto"/>
          <w:kern w:val="2"/>
          <w:sz w:val="24"/>
          <w:szCs w:val="24"/>
          <w:highlight w:val="none"/>
          <w:lang w:val="zh-CN"/>
        </w:rPr>
        <w:t>的</w:t>
      </w:r>
      <w:r>
        <w:rPr>
          <w:rFonts w:hint="eastAsia" w:cs="@仿宋_GB2312"/>
          <w:color w:val="auto"/>
          <w:kern w:val="2"/>
          <w:sz w:val="24"/>
          <w:szCs w:val="24"/>
          <w:highlight w:val="none"/>
          <w:u w:val="single"/>
          <w:lang w:val="zh-CN"/>
        </w:rPr>
        <w:t>（项目</w:t>
      </w:r>
      <w:r>
        <w:rPr>
          <w:rFonts w:hint="eastAsia" w:cs="@仿宋_GB2312"/>
          <w:color w:val="auto"/>
          <w:kern w:val="2"/>
          <w:sz w:val="24"/>
          <w:szCs w:val="24"/>
          <w:highlight w:val="none"/>
          <w:u w:val="single"/>
          <w:lang w:val="en-US" w:eastAsia="zh-CN"/>
        </w:rPr>
        <w:t>名称</w:t>
      </w:r>
      <w:r>
        <w:rPr>
          <w:rFonts w:hint="eastAsia" w:cs="@仿宋_GB2312"/>
          <w:color w:val="auto"/>
          <w:kern w:val="2"/>
          <w:sz w:val="24"/>
          <w:szCs w:val="24"/>
          <w:highlight w:val="none"/>
          <w:u w:val="single"/>
          <w:lang w:val="zh-CN"/>
        </w:rPr>
        <w:t>）</w:t>
      </w:r>
      <w:r>
        <w:rPr>
          <w:rFonts w:hint="eastAsia" w:cs="@仿宋_GB2312"/>
          <w:color w:val="auto"/>
          <w:kern w:val="2"/>
          <w:sz w:val="24"/>
          <w:szCs w:val="24"/>
          <w:highlight w:val="none"/>
          <w:lang w:val="zh-CN"/>
        </w:rPr>
        <w:t xml:space="preserve">采购活动，工程的施工单位全部为符合政策要求的中小企业。相关企业（含联合体中的中小企业、签订分包意向协议的中小企业）的具体情况如下： </w:t>
      </w:r>
    </w:p>
    <w:p w14:paraId="5DC6F43F">
      <w:pPr>
        <w:spacing w:line="360" w:lineRule="auto"/>
        <w:ind w:firstLine="435"/>
        <w:rPr>
          <w:rFonts w:cs="@仿宋_GB2312"/>
          <w:color w:val="auto"/>
          <w:kern w:val="2"/>
          <w:sz w:val="24"/>
          <w:szCs w:val="24"/>
          <w:highlight w:val="none"/>
          <w:lang w:val="zh-CN"/>
        </w:rPr>
      </w:pPr>
      <w:r>
        <w:rPr>
          <w:rFonts w:hint="eastAsia" w:cs="@仿宋_GB2312"/>
          <w:color w:val="auto"/>
          <w:kern w:val="2"/>
          <w:sz w:val="24"/>
          <w:szCs w:val="24"/>
          <w:highlight w:val="none"/>
          <w:lang w:val="zh-CN"/>
        </w:rPr>
        <w:t>1.</w:t>
      </w:r>
      <w:r>
        <w:rPr>
          <w:rFonts w:hint="eastAsia" w:cs="@仿宋_GB2312"/>
          <w:color w:val="auto"/>
          <w:kern w:val="2"/>
          <w:sz w:val="24"/>
          <w:szCs w:val="24"/>
          <w:highlight w:val="none"/>
          <w:u w:val="single"/>
          <w:lang w:val="zh-CN"/>
        </w:rPr>
        <w:t xml:space="preserve"> （标的名称） </w:t>
      </w:r>
      <w:r>
        <w:rPr>
          <w:rFonts w:hint="eastAsia" w:cs="@仿宋_GB2312"/>
          <w:color w:val="auto"/>
          <w:kern w:val="2"/>
          <w:sz w:val="24"/>
          <w:szCs w:val="24"/>
          <w:highlight w:val="none"/>
          <w:lang w:val="zh-CN"/>
        </w:rPr>
        <w:t>，属于</w:t>
      </w:r>
      <w:r>
        <w:rPr>
          <w:rFonts w:hint="eastAsia" w:cs="@仿宋_GB2312"/>
          <w:color w:val="auto"/>
          <w:kern w:val="2"/>
          <w:sz w:val="24"/>
          <w:szCs w:val="24"/>
          <w:highlight w:val="none"/>
          <w:u w:val="single"/>
          <w:lang w:val="zh-CN"/>
        </w:rPr>
        <w:t>（采购文件中明确的所属行业）</w:t>
      </w:r>
      <w:r>
        <w:rPr>
          <w:rFonts w:hint="eastAsia" w:cs="@仿宋_GB2312"/>
          <w:color w:val="auto"/>
          <w:kern w:val="2"/>
          <w:sz w:val="24"/>
          <w:szCs w:val="24"/>
          <w:highlight w:val="none"/>
          <w:lang w:val="zh-CN"/>
        </w:rPr>
        <w:t>行业；承建企业为</w:t>
      </w:r>
      <w:r>
        <w:rPr>
          <w:rFonts w:hint="eastAsia" w:cs="@仿宋_GB2312"/>
          <w:color w:val="auto"/>
          <w:kern w:val="2"/>
          <w:sz w:val="24"/>
          <w:szCs w:val="24"/>
          <w:highlight w:val="none"/>
          <w:u w:val="single"/>
          <w:lang w:val="zh-CN"/>
        </w:rPr>
        <w:t>（企业名称）</w:t>
      </w:r>
      <w:r>
        <w:rPr>
          <w:rFonts w:hint="eastAsia" w:cs="@仿宋_GB2312"/>
          <w:color w:val="auto"/>
          <w:kern w:val="2"/>
          <w:sz w:val="24"/>
          <w:szCs w:val="24"/>
          <w:highlight w:val="none"/>
          <w:lang w:val="zh-CN"/>
        </w:rPr>
        <w:t>，从业人员</w:t>
      </w:r>
      <w:r>
        <w:rPr>
          <w:rFonts w:hint="eastAsia" w:cs="@仿宋_GB2312"/>
          <w:color w:val="auto"/>
          <w:kern w:val="2"/>
          <w:sz w:val="24"/>
          <w:szCs w:val="24"/>
          <w:highlight w:val="none"/>
          <w:u w:val="single"/>
          <w:lang w:val="zh-CN"/>
        </w:rPr>
        <w:t xml:space="preserve">     </w:t>
      </w:r>
      <w:r>
        <w:rPr>
          <w:rFonts w:hint="eastAsia" w:cs="@仿宋_GB2312"/>
          <w:color w:val="auto"/>
          <w:kern w:val="2"/>
          <w:sz w:val="24"/>
          <w:szCs w:val="24"/>
          <w:highlight w:val="none"/>
          <w:lang w:val="zh-CN"/>
        </w:rPr>
        <w:t>人，营业收入为</w:t>
      </w:r>
      <w:r>
        <w:rPr>
          <w:rFonts w:hint="eastAsia" w:cs="@仿宋_GB2312"/>
          <w:color w:val="auto"/>
          <w:kern w:val="2"/>
          <w:sz w:val="24"/>
          <w:szCs w:val="24"/>
          <w:highlight w:val="none"/>
          <w:u w:val="single"/>
          <w:lang w:val="zh-CN"/>
        </w:rPr>
        <w:t xml:space="preserve">     </w:t>
      </w:r>
      <w:r>
        <w:rPr>
          <w:rFonts w:hint="eastAsia" w:cs="@仿宋_GB2312"/>
          <w:color w:val="auto"/>
          <w:kern w:val="2"/>
          <w:sz w:val="24"/>
          <w:szCs w:val="24"/>
          <w:highlight w:val="none"/>
          <w:lang w:val="zh-CN"/>
        </w:rPr>
        <w:t>万元，资产总额为</w:t>
      </w:r>
      <w:r>
        <w:rPr>
          <w:rFonts w:hint="eastAsia" w:cs="@仿宋_GB2312"/>
          <w:color w:val="auto"/>
          <w:kern w:val="2"/>
          <w:sz w:val="24"/>
          <w:szCs w:val="24"/>
          <w:highlight w:val="none"/>
          <w:u w:val="single"/>
          <w:lang w:val="zh-CN"/>
        </w:rPr>
        <w:t xml:space="preserve">     </w:t>
      </w:r>
      <w:r>
        <w:rPr>
          <w:rFonts w:hint="eastAsia" w:cs="@仿宋_GB2312"/>
          <w:color w:val="auto"/>
          <w:kern w:val="2"/>
          <w:sz w:val="24"/>
          <w:szCs w:val="24"/>
          <w:highlight w:val="none"/>
          <w:lang w:val="zh-CN"/>
        </w:rPr>
        <w:t>万元，属于</w:t>
      </w:r>
      <w:r>
        <w:rPr>
          <w:rFonts w:hint="eastAsia" w:cs="@仿宋_GB2312"/>
          <w:color w:val="auto"/>
          <w:kern w:val="2"/>
          <w:sz w:val="24"/>
          <w:szCs w:val="24"/>
          <w:highlight w:val="none"/>
          <w:u w:val="single"/>
          <w:lang w:val="zh-CN"/>
        </w:rPr>
        <w:t>（中型企业、小型企业、微型企业）</w:t>
      </w:r>
      <w:r>
        <w:rPr>
          <w:rFonts w:hint="eastAsia" w:cs="@仿宋_GB2312"/>
          <w:color w:val="auto"/>
          <w:kern w:val="2"/>
          <w:sz w:val="24"/>
          <w:szCs w:val="24"/>
          <w:highlight w:val="none"/>
          <w:lang w:val="zh-CN"/>
        </w:rPr>
        <w:t xml:space="preserve">； </w:t>
      </w:r>
    </w:p>
    <w:p w14:paraId="2316A5DE">
      <w:pPr>
        <w:spacing w:line="360" w:lineRule="auto"/>
        <w:ind w:firstLine="435"/>
        <w:rPr>
          <w:rFonts w:cs="@仿宋_GB2312"/>
          <w:color w:val="auto"/>
          <w:kern w:val="2"/>
          <w:sz w:val="24"/>
          <w:szCs w:val="24"/>
          <w:highlight w:val="none"/>
          <w:lang w:val="zh-CN"/>
        </w:rPr>
      </w:pPr>
      <w:r>
        <w:rPr>
          <w:rFonts w:hint="eastAsia" w:cs="@仿宋_GB2312"/>
          <w:color w:val="auto"/>
          <w:kern w:val="2"/>
          <w:sz w:val="24"/>
          <w:szCs w:val="24"/>
          <w:highlight w:val="none"/>
          <w:lang w:val="zh-CN"/>
        </w:rPr>
        <w:t>2.</w:t>
      </w:r>
      <w:r>
        <w:rPr>
          <w:rFonts w:hint="eastAsia" w:cs="@仿宋_GB2312"/>
          <w:color w:val="auto"/>
          <w:kern w:val="2"/>
          <w:sz w:val="24"/>
          <w:szCs w:val="24"/>
          <w:highlight w:val="none"/>
          <w:u w:val="single"/>
          <w:lang w:val="zh-CN"/>
        </w:rPr>
        <w:t xml:space="preserve"> （标的名称） </w:t>
      </w:r>
      <w:r>
        <w:rPr>
          <w:rFonts w:hint="eastAsia" w:cs="@仿宋_GB2312"/>
          <w:color w:val="auto"/>
          <w:kern w:val="2"/>
          <w:sz w:val="24"/>
          <w:szCs w:val="24"/>
          <w:highlight w:val="none"/>
          <w:lang w:val="zh-CN"/>
        </w:rPr>
        <w:t>，属于</w:t>
      </w:r>
      <w:r>
        <w:rPr>
          <w:rFonts w:hint="eastAsia" w:cs="@仿宋_GB2312"/>
          <w:color w:val="auto"/>
          <w:kern w:val="2"/>
          <w:sz w:val="24"/>
          <w:szCs w:val="24"/>
          <w:highlight w:val="none"/>
          <w:u w:val="single"/>
          <w:lang w:val="zh-CN"/>
        </w:rPr>
        <w:t>（采购文件中明确的所属行业）</w:t>
      </w:r>
      <w:r>
        <w:rPr>
          <w:rFonts w:hint="eastAsia" w:cs="@仿宋_GB2312"/>
          <w:color w:val="auto"/>
          <w:kern w:val="2"/>
          <w:sz w:val="24"/>
          <w:szCs w:val="24"/>
          <w:highlight w:val="none"/>
          <w:lang w:val="zh-CN"/>
        </w:rPr>
        <w:t>行业；承建企业为</w:t>
      </w:r>
      <w:r>
        <w:rPr>
          <w:rFonts w:hint="eastAsia" w:cs="@仿宋_GB2312"/>
          <w:color w:val="auto"/>
          <w:kern w:val="2"/>
          <w:sz w:val="24"/>
          <w:szCs w:val="24"/>
          <w:highlight w:val="none"/>
          <w:u w:val="single"/>
          <w:lang w:val="zh-CN"/>
        </w:rPr>
        <w:t>（企业名称）</w:t>
      </w:r>
      <w:r>
        <w:rPr>
          <w:rFonts w:hint="eastAsia" w:cs="@仿宋_GB2312"/>
          <w:color w:val="auto"/>
          <w:kern w:val="2"/>
          <w:sz w:val="24"/>
          <w:szCs w:val="24"/>
          <w:highlight w:val="none"/>
          <w:lang w:val="zh-CN"/>
        </w:rPr>
        <w:t>，从业人员</w:t>
      </w:r>
      <w:r>
        <w:rPr>
          <w:rFonts w:hint="eastAsia" w:cs="@仿宋_GB2312"/>
          <w:color w:val="auto"/>
          <w:kern w:val="2"/>
          <w:sz w:val="24"/>
          <w:szCs w:val="24"/>
          <w:highlight w:val="none"/>
          <w:u w:val="single"/>
          <w:lang w:val="zh-CN"/>
        </w:rPr>
        <w:t xml:space="preserve">     </w:t>
      </w:r>
      <w:r>
        <w:rPr>
          <w:rFonts w:hint="eastAsia" w:cs="@仿宋_GB2312"/>
          <w:color w:val="auto"/>
          <w:kern w:val="2"/>
          <w:sz w:val="24"/>
          <w:szCs w:val="24"/>
          <w:highlight w:val="none"/>
          <w:lang w:val="zh-CN"/>
        </w:rPr>
        <w:t>人，营业收入为</w:t>
      </w:r>
      <w:r>
        <w:rPr>
          <w:rFonts w:hint="eastAsia" w:cs="@仿宋_GB2312"/>
          <w:color w:val="auto"/>
          <w:kern w:val="2"/>
          <w:sz w:val="24"/>
          <w:szCs w:val="24"/>
          <w:highlight w:val="none"/>
          <w:u w:val="single"/>
          <w:lang w:val="zh-CN"/>
        </w:rPr>
        <w:t xml:space="preserve">     </w:t>
      </w:r>
      <w:r>
        <w:rPr>
          <w:rFonts w:hint="eastAsia" w:cs="@仿宋_GB2312"/>
          <w:color w:val="auto"/>
          <w:kern w:val="2"/>
          <w:sz w:val="24"/>
          <w:szCs w:val="24"/>
          <w:highlight w:val="none"/>
          <w:lang w:val="zh-CN"/>
        </w:rPr>
        <w:t>万元，资产总额为</w:t>
      </w:r>
      <w:r>
        <w:rPr>
          <w:rFonts w:hint="eastAsia" w:cs="@仿宋_GB2312"/>
          <w:color w:val="auto"/>
          <w:kern w:val="2"/>
          <w:sz w:val="24"/>
          <w:szCs w:val="24"/>
          <w:highlight w:val="none"/>
          <w:u w:val="single"/>
          <w:lang w:val="zh-CN"/>
        </w:rPr>
        <w:t xml:space="preserve">     </w:t>
      </w:r>
      <w:r>
        <w:rPr>
          <w:rFonts w:hint="eastAsia" w:cs="@仿宋_GB2312"/>
          <w:color w:val="auto"/>
          <w:kern w:val="2"/>
          <w:sz w:val="24"/>
          <w:szCs w:val="24"/>
          <w:highlight w:val="none"/>
          <w:lang w:val="zh-CN"/>
        </w:rPr>
        <w:t>万元，属于</w:t>
      </w:r>
      <w:r>
        <w:rPr>
          <w:rFonts w:hint="eastAsia" w:cs="@仿宋_GB2312"/>
          <w:color w:val="auto"/>
          <w:kern w:val="2"/>
          <w:sz w:val="24"/>
          <w:szCs w:val="24"/>
          <w:highlight w:val="none"/>
          <w:u w:val="single"/>
          <w:lang w:val="zh-CN"/>
        </w:rPr>
        <w:t>（中型企业、小型企业、微型企业）</w:t>
      </w:r>
      <w:r>
        <w:rPr>
          <w:rFonts w:hint="eastAsia" w:cs="@仿宋_GB2312"/>
          <w:color w:val="auto"/>
          <w:kern w:val="2"/>
          <w:sz w:val="24"/>
          <w:szCs w:val="24"/>
          <w:highlight w:val="none"/>
          <w:lang w:val="zh-CN"/>
        </w:rPr>
        <w:t xml:space="preserve">； </w:t>
      </w:r>
    </w:p>
    <w:p w14:paraId="648E0425">
      <w:pPr>
        <w:spacing w:line="360" w:lineRule="auto"/>
        <w:ind w:firstLine="435"/>
        <w:rPr>
          <w:rFonts w:cs="@仿宋_GB2312"/>
          <w:color w:val="auto"/>
          <w:kern w:val="2"/>
          <w:sz w:val="24"/>
          <w:szCs w:val="24"/>
          <w:highlight w:val="none"/>
          <w:lang w:val="zh-CN"/>
        </w:rPr>
      </w:pPr>
      <w:r>
        <w:rPr>
          <w:rFonts w:hint="eastAsia" w:cs="@仿宋_GB2312"/>
          <w:color w:val="auto"/>
          <w:kern w:val="2"/>
          <w:sz w:val="24"/>
          <w:szCs w:val="24"/>
          <w:highlight w:val="none"/>
          <w:lang w:val="zh-CN"/>
        </w:rPr>
        <w:t>……</w:t>
      </w:r>
    </w:p>
    <w:p w14:paraId="5D74D3A1">
      <w:pPr>
        <w:spacing w:line="360" w:lineRule="auto"/>
        <w:ind w:firstLine="435"/>
        <w:rPr>
          <w:rFonts w:cs="@仿宋_GB2312"/>
          <w:color w:val="auto"/>
          <w:kern w:val="2"/>
          <w:sz w:val="24"/>
          <w:szCs w:val="24"/>
          <w:highlight w:val="none"/>
          <w:lang w:val="zh-CN"/>
        </w:rPr>
      </w:pPr>
      <w:r>
        <w:rPr>
          <w:rFonts w:hint="eastAsia" w:cs="@仿宋_GB2312"/>
          <w:color w:val="auto"/>
          <w:kern w:val="2"/>
          <w:sz w:val="24"/>
          <w:szCs w:val="24"/>
          <w:highlight w:val="none"/>
          <w:lang w:val="zh-CN"/>
        </w:rPr>
        <w:t>以上企业，不属于大企业的分支机构，不存在控股股东为大企业的情形，也不存在与大企业的负责人为同一人的情形。</w:t>
      </w:r>
    </w:p>
    <w:p w14:paraId="550F47DC">
      <w:pPr>
        <w:spacing w:line="360" w:lineRule="auto"/>
        <w:ind w:firstLine="435"/>
        <w:rPr>
          <w:rFonts w:cs="@仿宋_GB2312"/>
          <w:color w:val="auto"/>
          <w:kern w:val="2"/>
          <w:sz w:val="24"/>
          <w:szCs w:val="24"/>
          <w:highlight w:val="none"/>
          <w:lang w:val="zh-CN"/>
        </w:rPr>
      </w:pPr>
      <w:r>
        <w:rPr>
          <w:rFonts w:hint="eastAsia" w:cs="@仿宋_GB2312"/>
          <w:color w:val="auto"/>
          <w:kern w:val="2"/>
          <w:sz w:val="24"/>
          <w:szCs w:val="24"/>
          <w:highlight w:val="none"/>
          <w:lang w:val="zh-CN"/>
        </w:rPr>
        <w:t xml:space="preserve">本企业对上述声明内容的真实性负责。如有虚假，将依法承担相应责任。 </w:t>
      </w:r>
    </w:p>
    <w:p w14:paraId="0EFEC608">
      <w:pPr>
        <w:spacing w:line="360" w:lineRule="auto"/>
        <w:ind w:firstLine="435"/>
        <w:rPr>
          <w:rFonts w:cs="@仿宋_GB2312" w:asciiTheme="minorEastAsia" w:hAnsiTheme="minorEastAsia" w:eastAsiaTheme="minorEastAsia"/>
          <w:color w:val="auto"/>
          <w:kern w:val="2"/>
          <w:sz w:val="24"/>
          <w:szCs w:val="24"/>
          <w:highlight w:val="none"/>
        </w:rPr>
      </w:pPr>
    </w:p>
    <w:p w14:paraId="31CA56A1">
      <w:pPr>
        <w:spacing w:line="360" w:lineRule="auto"/>
        <w:ind w:firstLine="435"/>
        <w:rPr>
          <w:rFonts w:cs="@仿宋_GB2312" w:asciiTheme="minorEastAsia" w:hAnsiTheme="minorEastAsia" w:eastAsiaTheme="minorEastAsia"/>
          <w:color w:val="auto"/>
          <w:kern w:val="2"/>
          <w:sz w:val="24"/>
          <w:szCs w:val="24"/>
          <w:highlight w:val="none"/>
        </w:rPr>
      </w:pPr>
    </w:p>
    <w:p w14:paraId="53F13445">
      <w:pPr>
        <w:spacing w:line="360" w:lineRule="auto"/>
        <w:ind w:firstLine="4228" w:firstLineChars="1762"/>
        <w:rPr>
          <w:rFonts w:cs="@仿宋_GB2312" w:asciiTheme="minorEastAsia" w:hAnsiTheme="minorEastAsia" w:eastAsiaTheme="minorEastAsia"/>
          <w:color w:val="auto"/>
          <w:kern w:val="2"/>
          <w:sz w:val="24"/>
          <w:szCs w:val="24"/>
          <w:highlight w:val="none"/>
          <w:u w:val="single"/>
        </w:rPr>
      </w:pPr>
      <w:r>
        <w:rPr>
          <w:rFonts w:hint="eastAsia" w:cs="@仿宋_GB2312" w:asciiTheme="minorEastAsia" w:hAnsiTheme="minorEastAsia" w:eastAsiaTheme="minorEastAsia"/>
          <w:color w:val="auto"/>
          <w:kern w:val="2"/>
          <w:sz w:val="24"/>
          <w:szCs w:val="24"/>
          <w:highlight w:val="none"/>
          <w:lang w:eastAsia="zh-CN"/>
        </w:rPr>
        <w:t>供应商公章</w:t>
      </w:r>
      <w:r>
        <w:rPr>
          <w:rFonts w:hint="eastAsia" w:cs="@仿宋_GB2312" w:asciiTheme="minorEastAsia" w:hAnsiTheme="minorEastAsia" w:eastAsiaTheme="minorEastAsia"/>
          <w:color w:val="auto"/>
          <w:kern w:val="2"/>
          <w:sz w:val="24"/>
          <w:szCs w:val="24"/>
          <w:highlight w:val="none"/>
        </w:rPr>
        <w:t>：</w:t>
      </w:r>
      <w:r>
        <w:rPr>
          <w:rFonts w:cs="@仿宋_GB2312" w:asciiTheme="minorEastAsia" w:hAnsiTheme="minorEastAsia" w:eastAsiaTheme="minorEastAsia"/>
          <w:color w:val="auto"/>
          <w:kern w:val="2"/>
          <w:sz w:val="24"/>
          <w:szCs w:val="24"/>
          <w:highlight w:val="none"/>
          <w:u w:val="single"/>
        </w:rPr>
        <w:t xml:space="preserve">             </w:t>
      </w:r>
    </w:p>
    <w:p w14:paraId="75B848A6">
      <w:pPr>
        <w:tabs>
          <w:tab w:val="left" w:pos="4620"/>
        </w:tabs>
        <w:spacing w:line="360" w:lineRule="auto"/>
        <w:ind w:firstLine="4252" w:firstLineChars="1772"/>
        <w:rPr>
          <w:rFonts w:cs="@仿宋_GB2312" w:asciiTheme="minorEastAsia" w:hAnsiTheme="minorEastAsia" w:eastAsiaTheme="minorEastAsia"/>
          <w:color w:val="auto"/>
          <w:kern w:val="2"/>
          <w:sz w:val="24"/>
          <w:szCs w:val="24"/>
          <w:highlight w:val="none"/>
          <w:u w:val="single"/>
        </w:rPr>
      </w:pPr>
      <w:r>
        <w:rPr>
          <w:rFonts w:hint="eastAsia" w:cs="@仿宋_GB2312" w:asciiTheme="minorEastAsia" w:hAnsiTheme="minorEastAsia" w:eastAsiaTheme="minorEastAsia"/>
          <w:color w:val="auto"/>
          <w:kern w:val="2"/>
          <w:sz w:val="24"/>
          <w:szCs w:val="24"/>
          <w:highlight w:val="none"/>
        </w:rPr>
        <w:t>日</w:t>
      </w:r>
      <w:r>
        <w:rPr>
          <w:rFonts w:cs="@仿宋_GB2312" w:asciiTheme="minorEastAsia" w:hAnsiTheme="minorEastAsia" w:eastAsiaTheme="minorEastAsia"/>
          <w:color w:val="auto"/>
          <w:kern w:val="2"/>
          <w:sz w:val="24"/>
          <w:szCs w:val="24"/>
          <w:highlight w:val="none"/>
        </w:rPr>
        <w:t xml:space="preserve">    </w:t>
      </w:r>
      <w:r>
        <w:rPr>
          <w:rFonts w:hint="eastAsia" w:cs="@仿宋_GB2312" w:asciiTheme="minorEastAsia" w:hAnsiTheme="minorEastAsia" w:eastAsiaTheme="minorEastAsia"/>
          <w:color w:val="auto"/>
          <w:kern w:val="2"/>
          <w:sz w:val="24"/>
          <w:szCs w:val="24"/>
          <w:highlight w:val="none"/>
        </w:rPr>
        <w:t xml:space="preserve">  期：</w:t>
      </w:r>
      <w:r>
        <w:rPr>
          <w:rFonts w:cs="@仿宋_GB2312" w:asciiTheme="minorEastAsia" w:hAnsiTheme="minorEastAsia" w:eastAsiaTheme="minorEastAsia"/>
          <w:color w:val="auto"/>
          <w:kern w:val="2"/>
          <w:sz w:val="24"/>
          <w:szCs w:val="24"/>
          <w:highlight w:val="none"/>
          <w:u w:val="single"/>
        </w:rPr>
        <w:t xml:space="preserve">             </w:t>
      </w:r>
    </w:p>
    <w:p w14:paraId="0B285A60">
      <w:pPr>
        <w:tabs>
          <w:tab w:val="left" w:pos="4620"/>
        </w:tabs>
        <w:spacing w:line="360" w:lineRule="auto"/>
        <w:jc w:val="left"/>
        <w:rPr>
          <w:rFonts w:cs="@仿宋_GB2312" w:asciiTheme="minorEastAsia" w:hAnsiTheme="minorEastAsia" w:eastAsiaTheme="minorEastAsia"/>
          <w:color w:val="auto"/>
          <w:kern w:val="2"/>
          <w:sz w:val="24"/>
          <w:szCs w:val="24"/>
          <w:highlight w:val="none"/>
        </w:rPr>
      </w:pPr>
    </w:p>
    <w:p w14:paraId="3CAF2CCC">
      <w:pPr>
        <w:tabs>
          <w:tab w:val="left" w:pos="4620"/>
        </w:tabs>
        <w:spacing w:line="360" w:lineRule="auto"/>
        <w:jc w:val="left"/>
        <w:rPr>
          <w:rFonts w:cs="@仿宋_GB2312" w:asciiTheme="minorEastAsia" w:hAnsiTheme="minorEastAsia" w:eastAsiaTheme="minorEastAsia"/>
          <w:color w:val="auto"/>
          <w:kern w:val="2"/>
          <w:sz w:val="24"/>
          <w:szCs w:val="24"/>
          <w:highlight w:val="none"/>
        </w:rPr>
      </w:pPr>
    </w:p>
    <w:p w14:paraId="1963CC23">
      <w:pPr>
        <w:pStyle w:val="2"/>
      </w:pPr>
    </w:p>
    <w:p w14:paraId="7650C1EF">
      <w:pPr>
        <w:tabs>
          <w:tab w:val="left" w:pos="4620"/>
        </w:tabs>
        <w:spacing w:line="360" w:lineRule="auto"/>
        <w:jc w:val="left"/>
        <w:rPr>
          <w:rFonts w:hint="eastAsia" w:cs="@仿宋_GB2312" w:asciiTheme="minorEastAsia" w:hAnsiTheme="minorEastAsia" w:eastAsiaTheme="minorEastAsia"/>
          <w:b/>
          <w:color w:val="auto"/>
          <w:kern w:val="2"/>
          <w:sz w:val="21"/>
          <w:szCs w:val="24"/>
          <w:highlight w:val="none"/>
          <w:lang w:eastAsia="zh-CN"/>
        </w:rPr>
      </w:pPr>
      <w:r>
        <w:rPr>
          <w:rFonts w:hint="eastAsia" w:cs="@仿宋_GB2312" w:asciiTheme="minorEastAsia" w:hAnsiTheme="minorEastAsia" w:eastAsiaTheme="minorEastAsia"/>
          <w:b/>
          <w:color w:val="auto"/>
          <w:kern w:val="2"/>
          <w:sz w:val="21"/>
          <w:szCs w:val="24"/>
          <w:highlight w:val="none"/>
          <w:lang w:eastAsia="zh-CN"/>
        </w:rPr>
        <w:t>注：</w:t>
      </w:r>
    </w:p>
    <w:p w14:paraId="192737DD">
      <w:pPr>
        <w:tabs>
          <w:tab w:val="left" w:pos="4620"/>
        </w:tabs>
        <w:spacing w:line="360" w:lineRule="auto"/>
        <w:jc w:val="left"/>
        <w:rPr>
          <w:rFonts w:cs="@仿宋_GB2312" w:asciiTheme="minorEastAsia" w:hAnsiTheme="minorEastAsia" w:eastAsiaTheme="minorEastAsia"/>
          <w:color w:val="auto"/>
          <w:kern w:val="2"/>
          <w:sz w:val="21"/>
          <w:szCs w:val="24"/>
          <w:highlight w:val="none"/>
        </w:rPr>
      </w:pPr>
      <w:r>
        <w:rPr>
          <w:rFonts w:cs="@仿宋_GB2312" w:asciiTheme="minorEastAsia" w:hAnsiTheme="minorEastAsia" w:eastAsiaTheme="minorEastAsia"/>
          <w:color w:val="auto"/>
          <w:kern w:val="2"/>
          <w:sz w:val="21"/>
          <w:szCs w:val="24"/>
          <w:highlight w:val="none"/>
        </w:rPr>
        <w:t>1.从业人员、营业收入、资产总额填报上一年数据，无上一年数据的新成立企业可不填报。</w:t>
      </w:r>
    </w:p>
    <w:p w14:paraId="2DF5499A">
      <w:pPr>
        <w:tabs>
          <w:tab w:val="left" w:pos="4620"/>
        </w:tabs>
        <w:spacing w:line="360" w:lineRule="auto"/>
        <w:jc w:val="left"/>
        <w:rPr>
          <w:rFonts w:cs="宋体"/>
          <w:b/>
          <w:bCs/>
          <w:color w:val="auto"/>
          <w:kern w:val="2"/>
          <w:sz w:val="21"/>
          <w:szCs w:val="21"/>
          <w:highlight w:val="none"/>
        </w:rPr>
      </w:pPr>
      <w:r>
        <w:rPr>
          <w:rFonts w:hint="eastAsia" w:cs="宋体"/>
          <w:b/>
          <w:bCs/>
          <w:color w:val="auto"/>
          <w:sz w:val="21"/>
          <w:szCs w:val="21"/>
          <w:highlight w:val="none"/>
        </w:rPr>
        <w:t>2.</w:t>
      </w:r>
      <w:r>
        <w:rPr>
          <w:rFonts w:hint="eastAsia" w:cs="宋体"/>
          <w:b/>
          <w:bCs/>
          <w:color w:val="auto"/>
          <w:kern w:val="2"/>
          <w:sz w:val="21"/>
          <w:szCs w:val="21"/>
          <w:highlight w:val="none"/>
        </w:rPr>
        <w:t>供应商应根据《政府采购促进中小企业发展管理办法》（财库﹝2020﹞46号）和《关于印发中小企业划型标准规定的通知》(工信部联企业〔2011〕300号)相关规定，如实填写中小企业声明函。</w:t>
      </w:r>
      <w:r>
        <w:rPr>
          <w:rFonts w:hint="eastAsia" w:cs="宋体"/>
          <w:b/>
          <w:bCs/>
          <w:color w:val="auto"/>
          <w:kern w:val="2"/>
          <w:sz w:val="21"/>
          <w:szCs w:val="21"/>
          <w:highlight w:val="none"/>
          <w:lang w:val="zh-CN"/>
        </w:rPr>
        <w:t>如有虚假，将依法承担相应责任。</w:t>
      </w:r>
      <w:r>
        <w:rPr>
          <w:rFonts w:hint="eastAsia" w:cs="宋体"/>
          <w:b/>
          <w:bCs/>
          <w:color w:val="auto"/>
          <w:kern w:val="2"/>
          <w:sz w:val="21"/>
          <w:szCs w:val="21"/>
          <w:highlight w:val="none"/>
        </w:rPr>
        <w:t>供应商自行登录工业和信息化部官网进行中小企业规模类型自测（查询网址https://www.miit.gov.cn/）。</w:t>
      </w:r>
    </w:p>
    <w:p w14:paraId="4232EAAA">
      <w:pPr>
        <w:tabs>
          <w:tab w:val="left" w:pos="4620"/>
        </w:tabs>
        <w:spacing w:line="360" w:lineRule="auto"/>
        <w:jc w:val="left"/>
        <w:rPr>
          <w:rFonts w:cs="宋体"/>
          <w:b/>
          <w:bCs/>
          <w:color w:val="auto"/>
          <w:kern w:val="2"/>
          <w:sz w:val="21"/>
          <w:szCs w:val="21"/>
          <w:highlight w:val="none"/>
        </w:rPr>
      </w:pPr>
      <w:r>
        <w:rPr>
          <w:rFonts w:hint="eastAsia" w:cs="宋体"/>
          <w:b/>
          <w:bCs/>
          <w:color w:val="auto"/>
          <w:kern w:val="2"/>
          <w:sz w:val="21"/>
          <w:szCs w:val="21"/>
          <w:highlight w:val="none"/>
        </w:rPr>
        <w:t>3.上述“</w:t>
      </w:r>
      <w:r>
        <w:rPr>
          <w:rFonts w:hint="eastAsia" w:cs="宋体"/>
          <w:b/>
          <w:bCs/>
          <w:color w:val="auto"/>
          <w:kern w:val="2"/>
          <w:sz w:val="21"/>
          <w:szCs w:val="21"/>
          <w:highlight w:val="none"/>
          <w:u w:val="single"/>
          <w:lang w:val="zh-CN"/>
        </w:rPr>
        <w:t>标的名称</w:t>
      </w:r>
      <w:r>
        <w:rPr>
          <w:rFonts w:hint="eastAsia" w:cs="宋体"/>
          <w:b/>
          <w:bCs/>
          <w:color w:val="auto"/>
          <w:kern w:val="2"/>
          <w:sz w:val="21"/>
          <w:szCs w:val="21"/>
          <w:highlight w:val="none"/>
        </w:rPr>
        <w:t>”，详见第三章采购需求前附表中明确的“标的名称”。</w:t>
      </w:r>
    </w:p>
    <w:p w14:paraId="757106CD">
      <w:pPr>
        <w:tabs>
          <w:tab w:val="left" w:pos="4620"/>
        </w:tabs>
        <w:spacing w:line="360" w:lineRule="auto"/>
        <w:jc w:val="left"/>
        <w:rPr>
          <w:rFonts w:cs="宋体"/>
          <w:b/>
          <w:bCs/>
          <w:color w:val="auto"/>
          <w:kern w:val="2"/>
          <w:sz w:val="21"/>
          <w:szCs w:val="21"/>
          <w:highlight w:val="none"/>
        </w:rPr>
      </w:pPr>
      <w:r>
        <w:rPr>
          <w:rFonts w:hint="eastAsia" w:cs="宋体"/>
          <w:b/>
          <w:bCs/>
          <w:color w:val="auto"/>
          <w:kern w:val="2"/>
          <w:sz w:val="21"/>
          <w:szCs w:val="21"/>
          <w:highlight w:val="none"/>
        </w:rPr>
        <w:t>4.上述“</w:t>
      </w:r>
      <w:r>
        <w:rPr>
          <w:rFonts w:hint="eastAsia" w:cs="宋体"/>
          <w:b/>
          <w:bCs/>
          <w:color w:val="auto"/>
          <w:kern w:val="2"/>
          <w:sz w:val="21"/>
          <w:szCs w:val="21"/>
          <w:highlight w:val="none"/>
          <w:u w:val="single"/>
        </w:rPr>
        <w:t>采购文件中明确的所属行业</w:t>
      </w:r>
      <w:r>
        <w:rPr>
          <w:rFonts w:hint="eastAsia" w:cs="宋体"/>
          <w:b/>
          <w:bCs/>
          <w:color w:val="auto"/>
          <w:kern w:val="2"/>
          <w:sz w:val="21"/>
          <w:szCs w:val="21"/>
          <w:highlight w:val="none"/>
        </w:rPr>
        <w:t>”，详见第三章采购需求前附表中明确的“所属行业”。</w:t>
      </w:r>
    </w:p>
    <w:p w14:paraId="6992A1A3">
      <w:pPr>
        <w:tabs>
          <w:tab w:val="left" w:pos="4620"/>
        </w:tabs>
        <w:spacing w:line="360" w:lineRule="auto"/>
        <w:jc w:val="left"/>
        <w:rPr>
          <w:rFonts w:cs="宋体"/>
          <w:b/>
          <w:bCs/>
          <w:color w:val="auto"/>
          <w:kern w:val="2"/>
          <w:sz w:val="21"/>
          <w:szCs w:val="21"/>
          <w:highlight w:val="none"/>
        </w:rPr>
      </w:pPr>
      <w:r>
        <w:rPr>
          <w:rFonts w:hint="eastAsia" w:cs="宋体"/>
          <w:b/>
          <w:bCs/>
          <w:color w:val="auto"/>
          <w:kern w:val="2"/>
          <w:sz w:val="21"/>
          <w:szCs w:val="21"/>
          <w:highlight w:val="none"/>
        </w:rPr>
        <w:t>5．填写示例：</w:t>
      </w:r>
      <w:r>
        <w:rPr>
          <w:rFonts w:hint="eastAsia" w:cs="宋体"/>
          <w:b/>
          <w:bCs/>
          <w:color w:val="auto"/>
          <w:kern w:val="2"/>
          <w:sz w:val="21"/>
          <w:szCs w:val="21"/>
          <w:highlight w:val="none"/>
          <w:u w:val="single"/>
        </w:rPr>
        <w:t>某标的名称</w:t>
      </w:r>
      <w:r>
        <w:rPr>
          <w:rFonts w:hint="eastAsia" w:cs="宋体"/>
          <w:b/>
          <w:bCs/>
          <w:color w:val="auto"/>
          <w:kern w:val="2"/>
          <w:sz w:val="21"/>
          <w:szCs w:val="21"/>
          <w:highlight w:val="none"/>
        </w:rPr>
        <w:t>（</w:t>
      </w:r>
      <w:r>
        <w:rPr>
          <w:rFonts w:hint="eastAsia" w:cs="宋体"/>
          <w:b/>
          <w:bCs/>
          <w:color w:val="auto"/>
          <w:kern w:val="2"/>
          <w:sz w:val="21"/>
          <w:szCs w:val="21"/>
          <w:highlight w:val="none"/>
          <w:u w:val="single"/>
        </w:rPr>
        <w:t>填写第三章采购需求前附表中明确的“标的名称”</w:t>
      </w:r>
      <w:r>
        <w:rPr>
          <w:rFonts w:hint="eastAsia" w:cs="宋体"/>
          <w:b/>
          <w:bCs/>
          <w:color w:val="auto"/>
          <w:kern w:val="2"/>
          <w:sz w:val="21"/>
          <w:szCs w:val="21"/>
          <w:highlight w:val="none"/>
        </w:rPr>
        <w:t>），属于</w:t>
      </w:r>
      <w:r>
        <w:rPr>
          <w:rFonts w:hint="eastAsia" w:cs="宋体"/>
          <w:b/>
          <w:bCs/>
          <w:color w:val="auto"/>
          <w:kern w:val="2"/>
          <w:sz w:val="21"/>
          <w:szCs w:val="21"/>
          <w:highlight w:val="none"/>
          <w:u w:val="single"/>
        </w:rPr>
        <w:t>（填写第三章采购需求前附表中明确的“所属行业”，如建筑业）</w:t>
      </w:r>
      <w:r>
        <w:rPr>
          <w:rFonts w:hint="eastAsia" w:cs="宋体"/>
          <w:b/>
          <w:bCs/>
          <w:color w:val="auto"/>
          <w:kern w:val="2"/>
          <w:sz w:val="21"/>
          <w:szCs w:val="21"/>
          <w:highlight w:val="none"/>
        </w:rPr>
        <w:t>行业；承接企业为</w:t>
      </w:r>
      <w:r>
        <w:rPr>
          <w:rFonts w:hint="eastAsia" w:cs="宋体"/>
          <w:b/>
          <w:bCs/>
          <w:color w:val="auto"/>
          <w:kern w:val="2"/>
          <w:sz w:val="21"/>
          <w:szCs w:val="21"/>
          <w:highlight w:val="none"/>
          <w:u w:val="single"/>
          <w:lang w:val="zh-CN"/>
        </w:rPr>
        <w:t>某公司</w:t>
      </w:r>
      <w:r>
        <w:rPr>
          <w:rFonts w:hint="eastAsia" w:cs="宋体"/>
          <w:b/>
          <w:bCs/>
          <w:color w:val="auto"/>
          <w:kern w:val="2"/>
          <w:sz w:val="21"/>
          <w:szCs w:val="21"/>
          <w:highlight w:val="none"/>
        </w:rPr>
        <w:t>，</w:t>
      </w:r>
      <w:r>
        <w:rPr>
          <w:rFonts w:hint="eastAsia" w:cs="宋体"/>
          <w:b/>
          <w:bCs/>
          <w:color w:val="auto"/>
          <w:kern w:val="2"/>
          <w:sz w:val="21"/>
          <w:szCs w:val="21"/>
          <w:highlight w:val="none"/>
          <w:lang w:val="zh-CN"/>
        </w:rPr>
        <w:t>从业人员</w:t>
      </w:r>
      <w:r>
        <w:rPr>
          <w:rFonts w:hint="eastAsia" w:cs="宋体"/>
          <w:b/>
          <w:bCs/>
          <w:color w:val="auto"/>
          <w:kern w:val="2"/>
          <w:sz w:val="21"/>
          <w:szCs w:val="21"/>
          <w:highlight w:val="none"/>
          <w:u w:val="single"/>
        </w:rPr>
        <w:t>100</w:t>
      </w:r>
      <w:r>
        <w:rPr>
          <w:rFonts w:hint="eastAsia" w:cs="宋体"/>
          <w:b/>
          <w:bCs/>
          <w:color w:val="auto"/>
          <w:kern w:val="2"/>
          <w:sz w:val="21"/>
          <w:szCs w:val="21"/>
          <w:highlight w:val="none"/>
          <w:lang w:val="zh-CN"/>
        </w:rPr>
        <w:t>人</w:t>
      </w:r>
      <w:r>
        <w:rPr>
          <w:rFonts w:hint="eastAsia" w:cs="宋体"/>
          <w:b/>
          <w:bCs/>
          <w:color w:val="auto"/>
          <w:kern w:val="2"/>
          <w:sz w:val="21"/>
          <w:szCs w:val="21"/>
          <w:highlight w:val="none"/>
        </w:rPr>
        <w:t>，</w:t>
      </w:r>
      <w:r>
        <w:rPr>
          <w:rFonts w:hint="eastAsia" w:cs="宋体"/>
          <w:b/>
          <w:bCs/>
          <w:color w:val="auto"/>
          <w:kern w:val="2"/>
          <w:sz w:val="21"/>
          <w:szCs w:val="21"/>
          <w:highlight w:val="none"/>
          <w:lang w:val="zh-CN"/>
        </w:rPr>
        <w:t>营业收入为</w:t>
      </w:r>
      <w:r>
        <w:rPr>
          <w:rFonts w:hint="eastAsia" w:cs="宋体"/>
          <w:b/>
          <w:bCs/>
          <w:color w:val="auto"/>
          <w:kern w:val="2"/>
          <w:sz w:val="21"/>
          <w:szCs w:val="21"/>
          <w:highlight w:val="none"/>
          <w:u w:val="single"/>
        </w:rPr>
        <w:t>10000</w:t>
      </w:r>
      <w:r>
        <w:rPr>
          <w:rFonts w:hint="eastAsia" w:cs="宋体"/>
          <w:b/>
          <w:bCs/>
          <w:color w:val="auto"/>
          <w:kern w:val="2"/>
          <w:sz w:val="21"/>
          <w:szCs w:val="21"/>
          <w:highlight w:val="none"/>
          <w:lang w:val="zh-CN"/>
        </w:rPr>
        <w:t>万元</w:t>
      </w:r>
      <w:r>
        <w:rPr>
          <w:rFonts w:hint="eastAsia" w:cs="宋体"/>
          <w:b/>
          <w:bCs/>
          <w:color w:val="auto"/>
          <w:kern w:val="2"/>
          <w:sz w:val="21"/>
          <w:szCs w:val="21"/>
          <w:highlight w:val="none"/>
        </w:rPr>
        <w:t>，</w:t>
      </w:r>
      <w:r>
        <w:rPr>
          <w:rFonts w:hint="eastAsia" w:cs="宋体"/>
          <w:b/>
          <w:bCs/>
          <w:color w:val="auto"/>
          <w:kern w:val="2"/>
          <w:sz w:val="21"/>
          <w:szCs w:val="21"/>
          <w:highlight w:val="none"/>
          <w:lang w:val="zh-CN"/>
        </w:rPr>
        <w:t>资产总额为</w:t>
      </w:r>
      <w:r>
        <w:rPr>
          <w:rFonts w:hint="eastAsia" w:cs="宋体"/>
          <w:b/>
          <w:bCs/>
          <w:color w:val="auto"/>
          <w:kern w:val="2"/>
          <w:sz w:val="21"/>
          <w:szCs w:val="21"/>
          <w:highlight w:val="none"/>
          <w:u w:val="single"/>
        </w:rPr>
        <w:t>5000</w:t>
      </w:r>
      <w:r>
        <w:rPr>
          <w:rFonts w:hint="eastAsia" w:cs="宋体"/>
          <w:b/>
          <w:bCs/>
          <w:color w:val="auto"/>
          <w:kern w:val="2"/>
          <w:sz w:val="21"/>
          <w:szCs w:val="21"/>
          <w:highlight w:val="none"/>
          <w:lang w:val="zh-CN"/>
        </w:rPr>
        <w:t>万元</w:t>
      </w:r>
      <w:r>
        <w:rPr>
          <w:rFonts w:hint="eastAsia" w:cs="宋体"/>
          <w:b/>
          <w:bCs/>
          <w:color w:val="auto"/>
          <w:kern w:val="2"/>
          <w:sz w:val="21"/>
          <w:szCs w:val="21"/>
          <w:highlight w:val="none"/>
        </w:rPr>
        <w:t>，</w:t>
      </w:r>
      <w:r>
        <w:rPr>
          <w:rFonts w:hint="eastAsia" w:cs="宋体"/>
          <w:b/>
          <w:bCs/>
          <w:color w:val="auto"/>
          <w:kern w:val="2"/>
          <w:sz w:val="21"/>
          <w:szCs w:val="21"/>
          <w:highlight w:val="none"/>
          <w:lang w:val="zh-CN"/>
        </w:rPr>
        <w:t>属于</w:t>
      </w:r>
      <w:r>
        <w:rPr>
          <w:rFonts w:hint="eastAsia" w:cs="宋体"/>
          <w:b/>
          <w:bCs/>
          <w:color w:val="auto"/>
          <w:kern w:val="2"/>
          <w:sz w:val="21"/>
          <w:szCs w:val="21"/>
          <w:highlight w:val="none"/>
        </w:rPr>
        <w:t>中</w:t>
      </w:r>
      <w:r>
        <w:rPr>
          <w:rFonts w:hint="eastAsia" w:cs="宋体"/>
          <w:b/>
          <w:bCs/>
          <w:color w:val="auto"/>
          <w:kern w:val="2"/>
          <w:sz w:val="21"/>
          <w:szCs w:val="21"/>
          <w:highlight w:val="none"/>
          <w:u w:val="single"/>
          <w:lang w:val="zh-CN"/>
        </w:rPr>
        <w:t>型</w:t>
      </w:r>
      <w:r>
        <w:rPr>
          <w:rFonts w:hint="eastAsia" w:cs="宋体"/>
          <w:b/>
          <w:bCs/>
          <w:color w:val="auto"/>
          <w:kern w:val="2"/>
          <w:sz w:val="21"/>
          <w:szCs w:val="21"/>
          <w:highlight w:val="none"/>
          <w:lang w:val="zh-CN"/>
        </w:rPr>
        <w:t>企业</w:t>
      </w:r>
      <w:r>
        <w:rPr>
          <w:rFonts w:hint="eastAsia" w:cs="宋体"/>
          <w:b/>
          <w:bCs/>
          <w:color w:val="auto"/>
          <w:kern w:val="2"/>
          <w:sz w:val="21"/>
          <w:szCs w:val="21"/>
          <w:highlight w:val="none"/>
        </w:rPr>
        <w:t>[</w:t>
      </w:r>
      <w:r>
        <w:rPr>
          <w:rFonts w:hint="eastAsia" w:cs="宋体"/>
          <w:b/>
          <w:bCs/>
          <w:color w:val="auto"/>
          <w:kern w:val="2"/>
          <w:sz w:val="21"/>
          <w:szCs w:val="21"/>
          <w:highlight w:val="none"/>
          <w:lang w:val="en-US" w:eastAsia="zh-CN"/>
        </w:rPr>
        <w:t>供应商</w:t>
      </w:r>
      <w:r>
        <w:rPr>
          <w:rFonts w:hint="eastAsia" w:cs="宋体"/>
          <w:b/>
          <w:bCs/>
          <w:color w:val="auto"/>
          <w:kern w:val="2"/>
          <w:sz w:val="21"/>
          <w:szCs w:val="21"/>
          <w:highlight w:val="none"/>
        </w:rPr>
        <w:t>自行登录工业和信息化部官网进行中小企业规模类型自测（查询网址https://www.miit.gov.cn/）]。</w:t>
      </w:r>
    </w:p>
    <w:p w14:paraId="073CC9AB">
      <w:pPr>
        <w:widowControl/>
        <w:jc w:val="left"/>
        <w:rPr>
          <w:rFonts w:hint="eastAsia" w:asciiTheme="minorEastAsia" w:hAnsiTheme="minorEastAsia" w:eastAsiaTheme="minorEastAsia"/>
          <w:b/>
          <w:color w:val="auto"/>
          <w:sz w:val="24"/>
          <w:highlight w:val="none"/>
        </w:rPr>
      </w:pPr>
    </w:p>
    <w:p w14:paraId="56E29861">
      <w:pPr>
        <w:bidi w:val="0"/>
        <w:rPr>
          <w:rFonts w:hint="eastAsia"/>
        </w:rPr>
      </w:pPr>
    </w:p>
    <w:p w14:paraId="3834B986">
      <w:pPr>
        <w:pStyle w:val="2"/>
        <w:rPr>
          <w:rFonts w:hint="eastAsia" w:asciiTheme="minorEastAsia" w:hAnsiTheme="minorEastAsia" w:eastAsiaTheme="minorEastAsia"/>
          <w:b/>
          <w:color w:val="auto"/>
          <w:sz w:val="24"/>
          <w:highlight w:val="none"/>
        </w:rPr>
      </w:pPr>
    </w:p>
    <w:p w14:paraId="07C97C98">
      <w:pPr>
        <w:pStyle w:val="2"/>
        <w:rPr>
          <w:rFonts w:hint="eastAsia" w:asciiTheme="minorEastAsia" w:hAnsiTheme="minorEastAsia" w:eastAsiaTheme="minorEastAsia"/>
          <w:b/>
          <w:color w:val="auto"/>
          <w:sz w:val="24"/>
          <w:highlight w:val="none"/>
        </w:rPr>
      </w:pPr>
    </w:p>
    <w:p w14:paraId="4EBC241F">
      <w:pPr>
        <w:pStyle w:val="2"/>
        <w:rPr>
          <w:rFonts w:hint="eastAsia" w:asciiTheme="minorEastAsia" w:hAnsiTheme="minorEastAsia" w:eastAsiaTheme="minorEastAsia"/>
          <w:b/>
          <w:color w:val="auto"/>
          <w:sz w:val="24"/>
          <w:highlight w:val="none"/>
        </w:rPr>
      </w:pPr>
    </w:p>
    <w:p w14:paraId="1CC36BF3">
      <w:pPr>
        <w:pStyle w:val="2"/>
        <w:jc w:val="center"/>
        <w:rPr>
          <w:rFonts w:hint="eastAsia" w:asciiTheme="minorEastAsia" w:hAnsiTheme="minorEastAsia" w:eastAsiaTheme="minorEastAsia"/>
          <w:b/>
          <w:bCs/>
          <w:color w:val="auto"/>
          <w:sz w:val="24"/>
          <w:highlight w:val="none"/>
        </w:rPr>
      </w:pPr>
      <w:r>
        <w:rPr>
          <w:rFonts w:hint="eastAsia" w:ascii="宋体" w:hAnsi="宋体" w:eastAsia="宋体" w:cs="宋体"/>
          <w:b/>
          <w:bCs/>
          <w:spacing w:val="10"/>
          <w:sz w:val="24"/>
          <w:szCs w:val="24"/>
          <w:lang w:val="en-US" w:eastAsia="zh-CN"/>
        </w:rPr>
        <w:t>四</w:t>
      </w:r>
      <w:r>
        <w:rPr>
          <w:rFonts w:hint="eastAsia" w:ascii="宋体" w:hAnsi="宋体" w:eastAsia="宋体" w:cs="宋体"/>
          <w:b/>
          <w:bCs/>
          <w:spacing w:val="10"/>
          <w:sz w:val="24"/>
          <w:szCs w:val="24"/>
        </w:rPr>
        <w:t>、</w:t>
      </w:r>
      <w:r>
        <w:rPr>
          <w:rFonts w:ascii="宋体" w:hAnsi="宋体" w:eastAsia="宋体" w:cs="宋体"/>
          <w:b/>
          <w:bCs/>
          <w:spacing w:val="10"/>
          <w:sz w:val="24"/>
          <w:szCs w:val="24"/>
        </w:rPr>
        <w:t>其他特定资格要求</w:t>
      </w:r>
    </w:p>
    <w:p w14:paraId="5B2D02C0">
      <w:pPr>
        <w:pStyle w:val="2"/>
        <w:rPr>
          <w:rFonts w:hint="eastAsia" w:asciiTheme="minorEastAsia" w:hAnsiTheme="minorEastAsia" w:eastAsiaTheme="minorEastAsia"/>
          <w:b/>
          <w:color w:val="auto"/>
          <w:sz w:val="24"/>
          <w:highlight w:val="none"/>
        </w:rPr>
      </w:pPr>
    </w:p>
    <w:p w14:paraId="2E98E7F6">
      <w:pPr>
        <w:pStyle w:val="2"/>
        <w:rPr>
          <w:rFonts w:hint="eastAsia" w:asciiTheme="minorEastAsia" w:hAnsiTheme="minorEastAsia" w:eastAsiaTheme="minorEastAsia"/>
          <w:b/>
          <w:color w:val="auto"/>
          <w:sz w:val="24"/>
          <w:highlight w:val="none"/>
        </w:rPr>
      </w:pPr>
    </w:p>
    <w:p w14:paraId="0767A855">
      <w:pPr>
        <w:bidi w:val="0"/>
        <w:rPr>
          <w:rFonts w:hint="eastAsia"/>
        </w:rPr>
      </w:pPr>
    </w:p>
    <w:p w14:paraId="0EDB47A6">
      <w:pPr>
        <w:bidi w:val="0"/>
        <w:rPr>
          <w:rFonts w:hint="eastAsia"/>
        </w:rPr>
      </w:pPr>
    </w:p>
    <w:p w14:paraId="0431B1D5">
      <w:pPr>
        <w:pStyle w:val="2"/>
        <w:rPr>
          <w:rFonts w:hint="eastAsia" w:asciiTheme="minorEastAsia" w:hAnsiTheme="minorEastAsia" w:eastAsiaTheme="minorEastAsia"/>
          <w:b/>
          <w:color w:val="auto"/>
          <w:sz w:val="24"/>
          <w:highlight w:val="none"/>
        </w:rPr>
      </w:pPr>
    </w:p>
    <w:p w14:paraId="49C11287">
      <w:pPr>
        <w:pStyle w:val="2"/>
        <w:rPr>
          <w:rFonts w:hint="eastAsia" w:asciiTheme="minorEastAsia" w:hAnsiTheme="minorEastAsia" w:eastAsiaTheme="minorEastAsia"/>
          <w:b/>
          <w:color w:val="auto"/>
          <w:sz w:val="24"/>
          <w:highlight w:val="none"/>
        </w:rPr>
      </w:pPr>
    </w:p>
    <w:p w14:paraId="76034E57">
      <w:pPr>
        <w:pStyle w:val="2"/>
        <w:rPr>
          <w:rFonts w:hint="eastAsia" w:asciiTheme="minorEastAsia" w:hAnsiTheme="minorEastAsia" w:eastAsiaTheme="minorEastAsia"/>
          <w:b/>
          <w:color w:val="auto"/>
          <w:sz w:val="24"/>
          <w:highlight w:val="none"/>
        </w:rPr>
      </w:pPr>
    </w:p>
    <w:p w14:paraId="0584EBA9">
      <w:pPr>
        <w:pStyle w:val="2"/>
        <w:rPr>
          <w:rFonts w:hint="eastAsia" w:asciiTheme="minorEastAsia" w:hAnsiTheme="minorEastAsia" w:eastAsiaTheme="minorEastAsia"/>
          <w:b/>
          <w:color w:val="auto"/>
          <w:sz w:val="24"/>
          <w:highlight w:val="none"/>
        </w:rPr>
      </w:pPr>
    </w:p>
    <w:p w14:paraId="26364733">
      <w:pPr>
        <w:pStyle w:val="2"/>
        <w:rPr>
          <w:rFonts w:hint="eastAsia" w:asciiTheme="minorEastAsia" w:hAnsiTheme="minorEastAsia" w:eastAsiaTheme="minorEastAsia"/>
          <w:b/>
          <w:color w:val="auto"/>
          <w:sz w:val="24"/>
          <w:highlight w:val="none"/>
        </w:rPr>
      </w:pPr>
    </w:p>
    <w:p w14:paraId="0A62FFA9">
      <w:pPr>
        <w:pStyle w:val="2"/>
        <w:rPr>
          <w:rFonts w:hint="eastAsia" w:asciiTheme="minorEastAsia" w:hAnsiTheme="minorEastAsia" w:eastAsiaTheme="minorEastAsia"/>
          <w:b/>
          <w:color w:val="auto"/>
          <w:sz w:val="24"/>
          <w:highlight w:val="none"/>
        </w:rPr>
      </w:pPr>
    </w:p>
    <w:p w14:paraId="1379E436">
      <w:pPr>
        <w:pStyle w:val="2"/>
        <w:rPr>
          <w:rFonts w:hint="eastAsia" w:asciiTheme="minorEastAsia" w:hAnsiTheme="minorEastAsia" w:eastAsiaTheme="minorEastAsia"/>
          <w:b/>
          <w:color w:val="auto"/>
          <w:sz w:val="24"/>
          <w:highlight w:val="none"/>
        </w:rPr>
      </w:pPr>
    </w:p>
    <w:p w14:paraId="62333824">
      <w:pPr>
        <w:pStyle w:val="2"/>
        <w:rPr>
          <w:rFonts w:hint="eastAsia" w:asciiTheme="minorEastAsia" w:hAnsiTheme="minorEastAsia" w:eastAsiaTheme="minorEastAsia"/>
          <w:b/>
          <w:color w:val="auto"/>
          <w:sz w:val="24"/>
          <w:highlight w:val="none"/>
        </w:rPr>
      </w:pPr>
    </w:p>
    <w:p w14:paraId="13FC4615">
      <w:pPr>
        <w:pStyle w:val="2"/>
        <w:rPr>
          <w:rFonts w:hint="eastAsia" w:asciiTheme="minorEastAsia" w:hAnsiTheme="minorEastAsia" w:eastAsiaTheme="minorEastAsia"/>
          <w:b/>
          <w:color w:val="auto"/>
          <w:sz w:val="24"/>
          <w:highlight w:val="none"/>
        </w:rPr>
      </w:pPr>
    </w:p>
    <w:p w14:paraId="4F83A552">
      <w:pPr>
        <w:pStyle w:val="2"/>
        <w:rPr>
          <w:rFonts w:hint="eastAsia" w:asciiTheme="minorEastAsia" w:hAnsiTheme="minorEastAsia" w:eastAsiaTheme="minorEastAsia"/>
          <w:b/>
          <w:color w:val="auto"/>
          <w:sz w:val="24"/>
          <w:highlight w:val="none"/>
        </w:rPr>
      </w:pPr>
    </w:p>
    <w:p w14:paraId="10215F31">
      <w:pPr>
        <w:pStyle w:val="2"/>
        <w:rPr>
          <w:rFonts w:hint="eastAsia" w:asciiTheme="minorEastAsia" w:hAnsiTheme="minorEastAsia" w:eastAsiaTheme="minorEastAsia"/>
          <w:b/>
          <w:color w:val="auto"/>
          <w:sz w:val="24"/>
          <w:highlight w:val="none"/>
        </w:rPr>
      </w:pPr>
    </w:p>
    <w:p w14:paraId="13E68504">
      <w:pPr>
        <w:pStyle w:val="2"/>
        <w:rPr>
          <w:rFonts w:hint="eastAsia" w:asciiTheme="minorEastAsia" w:hAnsiTheme="minorEastAsia" w:eastAsiaTheme="minorEastAsia"/>
          <w:b/>
          <w:color w:val="auto"/>
          <w:sz w:val="24"/>
          <w:highlight w:val="none"/>
        </w:rPr>
      </w:pPr>
    </w:p>
    <w:p w14:paraId="2FC33A3B">
      <w:pPr>
        <w:pStyle w:val="2"/>
        <w:rPr>
          <w:rFonts w:hint="eastAsia" w:asciiTheme="minorEastAsia" w:hAnsiTheme="minorEastAsia" w:eastAsiaTheme="minorEastAsia"/>
          <w:b/>
          <w:color w:val="auto"/>
          <w:sz w:val="24"/>
          <w:highlight w:val="none"/>
        </w:rPr>
      </w:pPr>
    </w:p>
    <w:p w14:paraId="7266D33E">
      <w:pPr>
        <w:pStyle w:val="2"/>
        <w:rPr>
          <w:rFonts w:hint="eastAsia" w:asciiTheme="minorEastAsia" w:hAnsiTheme="minorEastAsia" w:eastAsiaTheme="minorEastAsia"/>
          <w:b/>
          <w:color w:val="auto"/>
          <w:sz w:val="24"/>
          <w:highlight w:val="none"/>
        </w:rPr>
      </w:pPr>
    </w:p>
    <w:p w14:paraId="394F6AB8">
      <w:pPr>
        <w:pStyle w:val="2"/>
        <w:rPr>
          <w:rFonts w:hint="eastAsia" w:asciiTheme="minorEastAsia" w:hAnsiTheme="minorEastAsia" w:eastAsiaTheme="minorEastAsia"/>
          <w:b/>
          <w:color w:val="auto"/>
          <w:sz w:val="24"/>
          <w:highlight w:val="none"/>
        </w:rPr>
      </w:pPr>
    </w:p>
    <w:p w14:paraId="56A4873C">
      <w:pPr>
        <w:pStyle w:val="2"/>
        <w:rPr>
          <w:rFonts w:hint="eastAsia" w:asciiTheme="minorEastAsia" w:hAnsiTheme="minorEastAsia" w:eastAsiaTheme="minorEastAsia"/>
          <w:b/>
          <w:color w:val="auto"/>
          <w:sz w:val="24"/>
          <w:highlight w:val="none"/>
        </w:rPr>
      </w:pPr>
    </w:p>
    <w:p w14:paraId="3292A20B">
      <w:pPr>
        <w:bidi w:val="0"/>
        <w:rPr>
          <w:rFonts w:hint="eastAsia"/>
        </w:rPr>
      </w:pPr>
    </w:p>
    <w:p w14:paraId="300B395A">
      <w:pPr>
        <w:spacing w:line="360" w:lineRule="auto"/>
        <w:jc w:val="center"/>
        <w:outlineLvl w:val="1"/>
        <w:rPr>
          <w:rFonts w:asciiTheme="minorEastAsia" w:hAnsiTheme="minorEastAsia" w:eastAsiaTheme="minorEastAsia"/>
          <w:b/>
          <w:color w:val="auto"/>
          <w:sz w:val="24"/>
          <w:highlight w:val="none"/>
        </w:rPr>
      </w:pPr>
      <w:bookmarkStart w:id="685" w:name="_Toc11666"/>
      <w:bookmarkStart w:id="686" w:name="_Toc24097"/>
      <w:r>
        <w:rPr>
          <w:rFonts w:hint="eastAsia" w:asciiTheme="minorEastAsia" w:hAnsiTheme="minorEastAsia" w:eastAsiaTheme="minorEastAsia"/>
          <w:b/>
          <w:color w:val="auto"/>
          <w:sz w:val="24"/>
          <w:highlight w:val="none"/>
          <w:lang w:val="en-US" w:eastAsia="zh-CN"/>
        </w:rPr>
        <w:t>五</w:t>
      </w:r>
      <w:r>
        <w:rPr>
          <w:rFonts w:hint="eastAsia" w:asciiTheme="minorEastAsia" w:hAnsiTheme="minorEastAsia" w:eastAsiaTheme="minorEastAsia"/>
          <w:b/>
          <w:color w:val="auto"/>
          <w:sz w:val="24"/>
          <w:highlight w:val="none"/>
        </w:rPr>
        <w:t>、授权书</w:t>
      </w:r>
      <w:bookmarkEnd w:id="685"/>
      <w:bookmarkEnd w:id="686"/>
    </w:p>
    <w:p w14:paraId="0EBAC7A6">
      <w:pPr>
        <w:spacing w:line="360" w:lineRule="auto"/>
        <w:jc w:val="center"/>
        <w:rPr>
          <w:rFonts w:asciiTheme="minorEastAsia" w:hAnsiTheme="minorEastAsia" w:eastAsiaTheme="minorEastAsia"/>
          <w:b/>
          <w:color w:val="auto"/>
          <w:sz w:val="24"/>
          <w:highlight w:val="none"/>
        </w:rPr>
      </w:pPr>
    </w:p>
    <w:p w14:paraId="76FEB5EF">
      <w:pPr>
        <w:pStyle w:val="28"/>
        <w:snapToGrid w:val="0"/>
        <w:spacing w:line="360" w:lineRule="auto"/>
        <w:ind w:firstLine="480" w:firstLineChars="200"/>
        <w:jc w:val="left"/>
        <w:rPr>
          <w:rFonts w:hAnsi="宋体" w:eastAsia="宋体"/>
          <w:color w:val="auto"/>
          <w:sz w:val="24"/>
          <w:szCs w:val="28"/>
          <w:highlight w:val="none"/>
        </w:rPr>
      </w:pPr>
      <w:r>
        <w:rPr>
          <w:rFonts w:hint="eastAsia" w:hAnsi="宋体" w:eastAsia="宋体"/>
          <w:color w:val="auto"/>
          <w:sz w:val="24"/>
          <w:szCs w:val="28"/>
          <w:highlight w:val="none"/>
        </w:rPr>
        <w:t>本授权书声明：</w:t>
      </w:r>
      <w:r>
        <w:rPr>
          <w:rFonts w:hint="eastAsia" w:hAnsi="宋体" w:eastAsia="宋体"/>
          <w:color w:val="auto"/>
          <w:sz w:val="24"/>
          <w:szCs w:val="28"/>
          <w:highlight w:val="none"/>
          <w:u w:val="single"/>
        </w:rPr>
        <w:t xml:space="preserve">           </w:t>
      </w:r>
      <w:r>
        <w:rPr>
          <w:rFonts w:hint="eastAsia" w:hAnsi="宋体" w:eastAsia="宋体"/>
          <w:color w:val="auto"/>
          <w:sz w:val="24"/>
          <w:szCs w:val="28"/>
          <w:highlight w:val="none"/>
        </w:rPr>
        <w:t>（供应商名称）授权</w:t>
      </w:r>
      <w:r>
        <w:rPr>
          <w:rFonts w:hint="eastAsia" w:hAnsi="宋体" w:eastAsia="宋体"/>
          <w:color w:val="auto"/>
          <w:sz w:val="24"/>
          <w:szCs w:val="28"/>
          <w:highlight w:val="none"/>
          <w:u w:val="single"/>
        </w:rPr>
        <w:t xml:space="preserve">       </w:t>
      </w:r>
      <w:r>
        <w:rPr>
          <w:rFonts w:hint="eastAsia" w:hAnsi="宋体" w:eastAsia="宋体"/>
          <w:color w:val="auto"/>
          <w:sz w:val="24"/>
          <w:szCs w:val="28"/>
          <w:highlight w:val="none"/>
        </w:rPr>
        <w:t>（供应商授权代表姓名）代表我方参加本项目</w:t>
      </w:r>
      <w:r>
        <w:rPr>
          <w:rFonts w:hint="eastAsia" w:hAnsi="宋体" w:eastAsia="宋体"/>
          <w:bCs/>
          <w:color w:val="auto"/>
          <w:sz w:val="24"/>
          <w:szCs w:val="28"/>
          <w:highlight w:val="none"/>
        </w:rPr>
        <w:t>采购活动</w:t>
      </w:r>
      <w:r>
        <w:rPr>
          <w:rFonts w:hint="eastAsia" w:hAnsi="宋体" w:eastAsia="宋体"/>
          <w:color w:val="auto"/>
          <w:sz w:val="24"/>
          <w:szCs w:val="28"/>
          <w:highlight w:val="none"/>
        </w:rPr>
        <w:t>，全权代表我方处理谈判过程的一切事宜，包括但不限于：提交响应文件、参与谈判、签约等。供应商授权代表在采购活动过程中所签署的一切文件和处理与之有关的一切事务，本公司均予以认可并对此承担责任。供应商授权代表无转委托权。特此授权。</w:t>
      </w:r>
    </w:p>
    <w:p w14:paraId="4DD10D85">
      <w:pPr>
        <w:pStyle w:val="28"/>
        <w:snapToGrid w:val="0"/>
        <w:spacing w:line="360" w:lineRule="auto"/>
        <w:ind w:firstLine="480" w:firstLineChars="200"/>
        <w:jc w:val="left"/>
        <w:rPr>
          <w:rFonts w:hAnsi="宋体" w:eastAsia="宋体"/>
          <w:color w:val="auto"/>
          <w:sz w:val="24"/>
          <w:szCs w:val="28"/>
          <w:highlight w:val="none"/>
        </w:rPr>
      </w:pPr>
      <w:r>
        <w:rPr>
          <w:rFonts w:hint="eastAsia" w:hAnsi="宋体" w:eastAsia="宋体"/>
          <w:color w:val="auto"/>
          <w:sz w:val="24"/>
          <w:szCs w:val="28"/>
          <w:highlight w:val="none"/>
        </w:rPr>
        <w:t>本授权书自出具之日起生效。</w:t>
      </w:r>
    </w:p>
    <w:p w14:paraId="28BCADEB">
      <w:pPr>
        <w:pStyle w:val="28"/>
        <w:snapToGrid w:val="0"/>
        <w:spacing w:line="360" w:lineRule="auto"/>
        <w:ind w:firstLine="480" w:firstLineChars="200"/>
        <w:jc w:val="left"/>
        <w:rPr>
          <w:rFonts w:hAnsi="宋体" w:eastAsia="宋体"/>
          <w:color w:val="auto"/>
          <w:sz w:val="24"/>
          <w:highlight w:val="none"/>
        </w:rPr>
      </w:pPr>
      <w:r>
        <w:rPr>
          <w:rFonts w:hint="eastAsia" w:hAnsi="宋体" w:eastAsia="宋体"/>
          <w:color w:val="auto"/>
          <w:sz w:val="24"/>
          <w:szCs w:val="28"/>
          <w:highlight w:val="none"/>
        </w:rPr>
        <w:t>授权代表</w:t>
      </w:r>
      <w:r>
        <w:rPr>
          <w:rFonts w:hint="eastAsia" w:hAnsi="宋体" w:eastAsia="宋体"/>
          <w:color w:val="auto"/>
          <w:sz w:val="24"/>
          <w:highlight w:val="none"/>
        </w:rPr>
        <w:t>身份证明</w:t>
      </w:r>
      <w:r>
        <w:rPr>
          <w:rFonts w:hint="eastAsia" w:hAnsi="宋体" w:eastAsia="宋体"/>
          <w:color w:val="auto"/>
          <w:sz w:val="24"/>
          <w:highlight w:val="none"/>
          <w:lang w:eastAsia="zh-CN"/>
        </w:rPr>
        <w:t>复印件</w:t>
      </w:r>
      <w:r>
        <w:rPr>
          <w:rFonts w:hint="eastAsia" w:hAnsi="宋体" w:eastAsia="宋体"/>
          <w:color w:val="auto"/>
          <w:sz w:val="24"/>
          <w:highlight w:val="none"/>
        </w:rPr>
        <w:t>：</w:t>
      </w:r>
    </w:p>
    <w:p w14:paraId="4A248A07">
      <w:pPr>
        <w:pStyle w:val="28"/>
        <w:snapToGrid w:val="0"/>
        <w:spacing w:line="360" w:lineRule="auto"/>
        <w:ind w:firstLine="480" w:firstLineChars="200"/>
        <w:jc w:val="left"/>
        <w:rPr>
          <w:rFonts w:hAnsi="宋体" w:eastAsia="宋体"/>
          <w:color w:val="auto"/>
          <w:sz w:val="24"/>
          <w:highlight w:val="none"/>
        </w:rPr>
      </w:pPr>
    </w:p>
    <w:p w14:paraId="5ABAFE31">
      <w:pPr>
        <w:pStyle w:val="28"/>
        <w:snapToGrid w:val="0"/>
        <w:spacing w:line="360" w:lineRule="auto"/>
        <w:ind w:firstLine="480" w:firstLineChars="200"/>
        <w:jc w:val="left"/>
        <w:rPr>
          <w:rFonts w:hAnsi="宋体" w:eastAsia="宋体"/>
          <w:color w:val="auto"/>
          <w:sz w:val="24"/>
          <w:highlight w:val="none"/>
        </w:rPr>
      </w:pPr>
    </w:p>
    <w:p w14:paraId="651F3E07">
      <w:pPr>
        <w:pStyle w:val="28"/>
        <w:snapToGrid w:val="0"/>
        <w:spacing w:line="360" w:lineRule="auto"/>
        <w:ind w:firstLine="480" w:firstLineChars="200"/>
        <w:jc w:val="left"/>
        <w:rPr>
          <w:rFonts w:hAnsi="宋体" w:eastAsia="宋体"/>
          <w:color w:val="auto"/>
          <w:sz w:val="24"/>
          <w:highlight w:val="none"/>
        </w:rPr>
      </w:pPr>
    </w:p>
    <w:p w14:paraId="37CBEB57">
      <w:pPr>
        <w:pStyle w:val="28"/>
        <w:snapToGrid w:val="0"/>
        <w:spacing w:line="360" w:lineRule="auto"/>
        <w:ind w:firstLine="480" w:firstLineChars="200"/>
        <w:jc w:val="left"/>
        <w:rPr>
          <w:rFonts w:hAnsi="宋体" w:eastAsia="宋体"/>
          <w:color w:val="auto"/>
          <w:sz w:val="24"/>
          <w:highlight w:val="none"/>
        </w:rPr>
      </w:pPr>
    </w:p>
    <w:p w14:paraId="61C48C0C">
      <w:pPr>
        <w:pStyle w:val="28"/>
        <w:snapToGrid w:val="0"/>
        <w:spacing w:line="360" w:lineRule="auto"/>
        <w:ind w:firstLine="480" w:firstLineChars="200"/>
        <w:jc w:val="left"/>
        <w:rPr>
          <w:rFonts w:hAnsi="宋体" w:eastAsia="宋体"/>
          <w:color w:val="auto"/>
          <w:sz w:val="24"/>
          <w:szCs w:val="28"/>
          <w:highlight w:val="none"/>
          <w:u w:val="single"/>
        </w:rPr>
      </w:pPr>
      <w:r>
        <w:rPr>
          <w:rFonts w:hint="eastAsia" w:hAnsi="宋体" w:eastAsia="宋体"/>
          <w:color w:val="auto"/>
          <w:sz w:val="24"/>
          <w:szCs w:val="28"/>
          <w:highlight w:val="none"/>
        </w:rPr>
        <w:t>授权代表联系方式：</w:t>
      </w:r>
      <w:r>
        <w:rPr>
          <w:rFonts w:hint="eastAsia" w:hAnsi="宋体" w:eastAsia="宋体"/>
          <w:color w:val="auto"/>
          <w:sz w:val="24"/>
          <w:szCs w:val="28"/>
          <w:highlight w:val="none"/>
          <w:u w:val="single"/>
        </w:rPr>
        <w:t xml:space="preserve">          （请填写手机号码）</w:t>
      </w:r>
    </w:p>
    <w:p w14:paraId="32C36FBB">
      <w:pPr>
        <w:pStyle w:val="28"/>
        <w:snapToGrid w:val="0"/>
        <w:spacing w:line="360" w:lineRule="auto"/>
        <w:ind w:firstLine="480" w:firstLineChars="200"/>
        <w:jc w:val="left"/>
        <w:rPr>
          <w:rFonts w:hAnsi="宋体" w:eastAsia="宋体"/>
          <w:color w:val="auto"/>
          <w:sz w:val="24"/>
          <w:szCs w:val="28"/>
          <w:highlight w:val="none"/>
        </w:rPr>
      </w:pPr>
    </w:p>
    <w:p w14:paraId="27F072F2">
      <w:pPr>
        <w:spacing w:line="360" w:lineRule="auto"/>
        <w:ind w:firstLine="360" w:firstLineChars="150"/>
        <w:rPr>
          <w:color w:val="auto"/>
          <w:sz w:val="24"/>
          <w:szCs w:val="28"/>
          <w:highlight w:val="none"/>
        </w:rPr>
      </w:pPr>
      <w:r>
        <w:rPr>
          <w:rFonts w:hint="eastAsia"/>
          <w:color w:val="auto"/>
          <w:sz w:val="24"/>
          <w:szCs w:val="28"/>
          <w:highlight w:val="none"/>
        </w:rPr>
        <w:t>特此声明。</w:t>
      </w:r>
    </w:p>
    <w:p w14:paraId="7BCC8A8F">
      <w:pPr>
        <w:spacing w:line="360" w:lineRule="auto"/>
        <w:rPr>
          <w:color w:val="auto"/>
          <w:sz w:val="24"/>
          <w:szCs w:val="28"/>
          <w:highlight w:val="none"/>
        </w:rPr>
      </w:pPr>
    </w:p>
    <w:p w14:paraId="1CE54495">
      <w:pPr>
        <w:spacing w:line="360" w:lineRule="auto"/>
        <w:jc w:val="center"/>
        <w:rPr>
          <w:bCs/>
          <w:color w:val="auto"/>
          <w:sz w:val="24"/>
          <w:szCs w:val="28"/>
          <w:highlight w:val="none"/>
        </w:rPr>
      </w:pPr>
      <w:r>
        <w:rPr>
          <w:rFonts w:hint="eastAsia"/>
          <w:bCs/>
          <w:color w:val="auto"/>
          <w:sz w:val="24"/>
          <w:szCs w:val="28"/>
          <w:highlight w:val="none"/>
          <w:lang w:val="en-US" w:eastAsia="zh-CN"/>
        </w:rPr>
        <w:t xml:space="preserve">                        </w:t>
      </w:r>
      <w:r>
        <w:rPr>
          <w:rFonts w:hint="eastAsia"/>
          <w:bCs/>
          <w:color w:val="auto"/>
          <w:sz w:val="24"/>
          <w:szCs w:val="28"/>
          <w:highlight w:val="none"/>
          <w:lang w:eastAsia="zh-CN"/>
        </w:rPr>
        <w:t>供应商公章</w:t>
      </w:r>
      <w:r>
        <w:rPr>
          <w:rFonts w:hint="eastAsia"/>
          <w:bCs/>
          <w:color w:val="auto"/>
          <w:sz w:val="24"/>
          <w:szCs w:val="28"/>
          <w:highlight w:val="none"/>
        </w:rPr>
        <w:t>：</w:t>
      </w:r>
      <w:r>
        <w:rPr>
          <w:rFonts w:hint="eastAsia"/>
          <w:bCs/>
          <w:color w:val="auto"/>
          <w:sz w:val="24"/>
          <w:szCs w:val="28"/>
          <w:highlight w:val="none"/>
          <w:u w:val="single"/>
        </w:rPr>
        <w:t xml:space="preserve">                    </w:t>
      </w:r>
    </w:p>
    <w:p w14:paraId="0A87A4D8">
      <w:pPr>
        <w:spacing w:line="360" w:lineRule="auto"/>
        <w:jc w:val="center"/>
        <w:rPr>
          <w:color w:val="auto"/>
          <w:sz w:val="24"/>
          <w:szCs w:val="28"/>
          <w:highlight w:val="none"/>
        </w:rPr>
      </w:pPr>
      <w:r>
        <w:rPr>
          <w:rFonts w:hint="eastAsia"/>
          <w:color w:val="auto"/>
          <w:sz w:val="24"/>
          <w:szCs w:val="28"/>
          <w:highlight w:val="none"/>
          <w:lang w:val="en-US" w:eastAsia="zh-CN"/>
        </w:rPr>
        <w:t xml:space="preserve">                        </w:t>
      </w:r>
      <w:r>
        <w:rPr>
          <w:rFonts w:hint="eastAsia"/>
          <w:color w:val="auto"/>
          <w:sz w:val="24"/>
          <w:szCs w:val="28"/>
          <w:highlight w:val="none"/>
        </w:rPr>
        <w:t>日      期：</w:t>
      </w:r>
      <w:r>
        <w:rPr>
          <w:rFonts w:hint="eastAsia"/>
          <w:color w:val="auto"/>
          <w:sz w:val="24"/>
          <w:szCs w:val="28"/>
          <w:highlight w:val="none"/>
          <w:u w:val="single"/>
        </w:rPr>
        <w:t xml:space="preserve">                    </w:t>
      </w:r>
    </w:p>
    <w:p w14:paraId="718B0417">
      <w:pPr>
        <w:spacing w:line="360" w:lineRule="auto"/>
        <w:rPr>
          <w:color w:val="auto"/>
          <w:sz w:val="24"/>
          <w:szCs w:val="28"/>
          <w:highlight w:val="none"/>
        </w:rPr>
      </w:pPr>
    </w:p>
    <w:p w14:paraId="015B885E">
      <w:pPr>
        <w:spacing w:line="360" w:lineRule="auto"/>
        <w:rPr>
          <w:color w:val="auto"/>
          <w:sz w:val="24"/>
          <w:szCs w:val="28"/>
          <w:highlight w:val="none"/>
        </w:rPr>
      </w:pPr>
    </w:p>
    <w:p w14:paraId="45B2DAD6">
      <w:pPr>
        <w:pStyle w:val="28"/>
        <w:snapToGrid w:val="0"/>
        <w:spacing w:line="360" w:lineRule="auto"/>
        <w:jc w:val="left"/>
        <w:rPr>
          <w:rFonts w:hAnsi="宋体" w:eastAsia="宋体"/>
          <w:color w:val="auto"/>
          <w:sz w:val="24"/>
          <w:szCs w:val="28"/>
          <w:highlight w:val="none"/>
        </w:rPr>
      </w:pPr>
      <w:r>
        <w:rPr>
          <w:rFonts w:hint="eastAsia" w:hAnsi="宋体" w:eastAsia="宋体"/>
          <w:color w:val="auto"/>
          <w:sz w:val="24"/>
          <w:szCs w:val="28"/>
          <w:highlight w:val="none"/>
        </w:rPr>
        <w:t>注：</w:t>
      </w:r>
    </w:p>
    <w:p w14:paraId="7A516ED1">
      <w:pPr>
        <w:pStyle w:val="28"/>
        <w:snapToGrid w:val="0"/>
        <w:spacing w:line="360" w:lineRule="auto"/>
        <w:jc w:val="left"/>
        <w:rPr>
          <w:rFonts w:hAnsi="宋体" w:eastAsia="宋体"/>
          <w:color w:val="auto"/>
          <w:sz w:val="24"/>
          <w:szCs w:val="28"/>
          <w:highlight w:val="none"/>
        </w:rPr>
      </w:pPr>
      <w:r>
        <w:rPr>
          <w:rFonts w:hint="eastAsia" w:hAnsi="宋体" w:eastAsia="宋体"/>
          <w:color w:val="auto"/>
          <w:sz w:val="24"/>
          <w:szCs w:val="28"/>
          <w:highlight w:val="none"/>
        </w:rPr>
        <w:t>1.本项目只允许有唯一的供应商授权代表，提供身份证明</w:t>
      </w:r>
      <w:r>
        <w:rPr>
          <w:rFonts w:hint="eastAsia" w:hAnsi="宋体" w:eastAsia="宋体"/>
          <w:color w:val="auto"/>
          <w:sz w:val="24"/>
          <w:szCs w:val="28"/>
          <w:highlight w:val="none"/>
          <w:lang w:eastAsia="zh-CN"/>
        </w:rPr>
        <w:t>复印件</w:t>
      </w:r>
      <w:r>
        <w:rPr>
          <w:rFonts w:hint="eastAsia" w:hAnsi="宋体" w:eastAsia="宋体"/>
          <w:color w:val="auto"/>
          <w:sz w:val="24"/>
          <w:szCs w:val="28"/>
          <w:highlight w:val="none"/>
        </w:rPr>
        <w:t>；</w:t>
      </w:r>
    </w:p>
    <w:p w14:paraId="2738906D">
      <w:pPr>
        <w:spacing w:line="360" w:lineRule="auto"/>
        <w:jc w:val="left"/>
        <w:rPr>
          <w:color w:val="auto"/>
          <w:sz w:val="24"/>
          <w:highlight w:val="none"/>
        </w:rPr>
      </w:pPr>
      <w:r>
        <w:rPr>
          <w:rFonts w:hint="eastAsia"/>
          <w:color w:val="auto"/>
          <w:sz w:val="24"/>
          <w:highlight w:val="none"/>
        </w:rPr>
        <w:t>2.法定代表人参加谈判的无需提供授权书，仅提供身份证明</w:t>
      </w:r>
      <w:r>
        <w:rPr>
          <w:rFonts w:hint="eastAsia"/>
          <w:color w:val="auto"/>
          <w:sz w:val="24"/>
          <w:highlight w:val="none"/>
          <w:lang w:eastAsia="zh-CN"/>
        </w:rPr>
        <w:t>复印件</w:t>
      </w:r>
      <w:r>
        <w:rPr>
          <w:rFonts w:hint="eastAsia"/>
          <w:color w:val="auto"/>
          <w:sz w:val="24"/>
          <w:highlight w:val="none"/>
        </w:rPr>
        <w:t>。</w:t>
      </w:r>
    </w:p>
    <w:p w14:paraId="64EDA418">
      <w:pPr>
        <w:widowControl/>
        <w:jc w:val="left"/>
        <w:rPr>
          <w:color w:val="auto"/>
          <w:sz w:val="24"/>
          <w:highlight w:val="none"/>
        </w:rPr>
      </w:pPr>
      <w:r>
        <w:rPr>
          <w:color w:val="auto"/>
          <w:sz w:val="24"/>
          <w:highlight w:val="none"/>
        </w:rPr>
        <w:br w:type="page"/>
      </w:r>
    </w:p>
    <w:p w14:paraId="0CE1B0C9">
      <w:pPr>
        <w:keepNext/>
        <w:keepLines/>
        <w:spacing w:before="260" w:after="260" w:line="416" w:lineRule="auto"/>
        <w:jc w:val="center"/>
        <w:outlineLvl w:val="1"/>
        <w:rPr>
          <w:rFonts w:cs="@仿宋_GB2312" w:asciiTheme="minorEastAsia" w:hAnsiTheme="minorEastAsia" w:eastAsiaTheme="minorEastAsia"/>
          <w:b/>
          <w:bCs/>
          <w:color w:val="auto"/>
          <w:kern w:val="2"/>
          <w:sz w:val="24"/>
          <w:szCs w:val="24"/>
          <w:highlight w:val="none"/>
        </w:rPr>
      </w:pPr>
      <w:bookmarkStart w:id="687" w:name="_Toc24843"/>
      <w:bookmarkStart w:id="688" w:name="_Toc15839"/>
      <w:r>
        <w:rPr>
          <w:rFonts w:hint="eastAsia" w:cs="@仿宋_GB2312" w:asciiTheme="minorEastAsia" w:hAnsiTheme="minorEastAsia" w:eastAsiaTheme="minorEastAsia"/>
          <w:b/>
          <w:bCs/>
          <w:color w:val="auto"/>
          <w:kern w:val="2"/>
          <w:sz w:val="24"/>
          <w:szCs w:val="24"/>
          <w:highlight w:val="none"/>
          <w:lang w:val="en-US" w:eastAsia="zh-CN"/>
        </w:rPr>
        <w:t xml:space="preserve"> </w:t>
      </w:r>
      <w:bookmarkStart w:id="689" w:name="_Toc8375"/>
      <w:r>
        <w:rPr>
          <w:rFonts w:hint="eastAsia" w:cs="@仿宋_GB2312" w:asciiTheme="minorEastAsia" w:hAnsiTheme="minorEastAsia" w:eastAsiaTheme="minorEastAsia"/>
          <w:b/>
          <w:bCs/>
          <w:color w:val="auto"/>
          <w:kern w:val="2"/>
          <w:sz w:val="24"/>
          <w:szCs w:val="24"/>
          <w:highlight w:val="none"/>
        </w:rPr>
        <w:t>法定代表人身份证明书</w:t>
      </w:r>
      <w:bookmarkEnd w:id="687"/>
      <w:bookmarkEnd w:id="688"/>
      <w:bookmarkEnd w:id="689"/>
    </w:p>
    <w:p w14:paraId="6980CD75">
      <w:pPr>
        <w:autoSpaceDE w:val="0"/>
        <w:autoSpaceDN w:val="0"/>
        <w:adjustRightInd w:val="0"/>
        <w:spacing w:line="360" w:lineRule="auto"/>
        <w:jc w:val="center"/>
        <w:rPr>
          <w:rFonts w:ascii="@仿宋_GB2312" w:eastAsia="@仿宋_GB2312" w:cs="宋体"/>
          <w:b/>
          <w:color w:val="auto"/>
          <w:kern w:val="2"/>
          <w:sz w:val="21"/>
          <w:szCs w:val="24"/>
          <w:highlight w:val="none"/>
          <w:lang w:val="zh-CN"/>
        </w:rPr>
      </w:pPr>
    </w:p>
    <w:p w14:paraId="7115DB9B">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单位名称：</w:t>
      </w:r>
      <w:r>
        <w:rPr>
          <w:rFonts w:hint="eastAsia" w:ascii="Calibri" w:hAnsi="Calibri" w:cs="Times New Roman"/>
          <w:color w:val="auto"/>
          <w:kern w:val="2"/>
          <w:sz w:val="24"/>
          <w:szCs w:val="28"/>
          <w:highlight w:val="none"/>
          <w:u w:val="single"/>
        </w:rPr>
        <w:t xml:space="preserve">                            </w:t>
      </w:r>
      <w:r>
        <w:rPr>
          <w:rFonts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u w:val="single"/>
        </w:rPr>
        <w:t xml:space="preserve">          </w:t>
      </w:r>
    </w:p>
    <w:p w14:paraId="5191BD6B">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单位性质：</w:t>
      </w:r>
      <w:r>
        <w:rPr>
          <w:rFonts w:hint="eastAsia" w:ascii="Calibri" w:hAnsi="Calibri" w:cs="Times New Roman"/>
          <w:color w:val="auto"/>
          <w:kern w:val="2"/>
          <w:sz w:val="24"/>
          <w:szCs w:val="28"/>
          <w:highlight w:val="none"/>
          <w:u w:val="single"/>
        </w:rPr>
        <w:t xml:space="preserve">                             </w:t>
      </w:r>
      <w:r>
        <w:rPr>
          <w:rFonts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u w:val="single"/>
        </w:rPr>
        <w:t xml:space="preserve">         </w:t>
      </w:r>
    </w:p>
    <w:p w14:paraId="22C4663F">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地    址：</w:t>
      </w:r>
      <w:r>
        <w:rPr>
          <w:rFonts w:hint="eastAsia" w:ascii="Calibri" w:hAnsi="Calibri" w:cs="Times New Roman"/>
          <w:color w:val="auto"/>
          <w:kern w:val="2"/>
          <w:sz w:val="24"/>
          <w:szCs w:val="28"/>
          <w:highlight w:val="none"/>
          <w:u w:val="single"/>
        </w:rPr>
        <w:t xml:space="preserve">                             </w:t>
      </w:r>
      <w:r>
        <w:rPr>
          <w:rFonts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u w:val="single"/>
        </w:rPr>
        <w:t xml:space="preserve">         </w:t>
      </w:r>
    </w:p>
    <w:p w14:paraId="60FF3C91">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成立时间：</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年</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月</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日</w:t>
      </w:r>
    </w:p>
    <w:p w14:paraId="25271097">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经营期限：</w:t>
      </w:r>
      <w:r>
        <w:rPr>
          <w:rFonts w:hint="eastAsia" w:ascii="Calibri" w:hAnsi="Calibri" w:cs="Times New Roman"/>
          <w:color w:val="auto"/>
          <w:kern w:val="2"/>
          <w:sz w:val="24"/>
          <w:szCs w:val="28"/>
          <w:highlight w:val="none"/>
          <w:u w:val="single"/>
        </w:rPr>
        <w:t xml:space="preserve">                               </w:t>
      </w:r>
      <w:r>
        <w:rPr>
          <w:rFonts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u w:val="single"/>
        </w:rPr>
        <w:t xml:space="preserve"> </w:t>
      </w:r>
      <w:r>
        <w:rPr>
          <w:rFonts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u w:val="single"/>
        </w:rPr>
        <w:t xml:space="preserve">     </w:t>
      </w:r>
    </w:p>
    <w:p w14:paraId="493C5942">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姓    名：</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 xml:space="preserve"> 性 </w:t>
      </w:r>
      <w:r>
        <w:rPr>
          <w:rFonts w:ascii="Calibri" w:hAnsi="Calibri" w:cs="Times New Roman"/>
          <w:color w:val="auto"/>
          <w:kern w:val="2"/>
          <w:sz w:val="24"/>
          <w:szCs w:val="28"/>
          <w:highlight w:val="none"/>
        </w:rPr>
        <w:t xml:space="preserve">  </w:t>
      </w:r>
      <w:r>
        <w:rPr>
          <w:rFonts w:hint="eastAsia" w:ascii="Calibri" w:hAnsi="Calibri" w:cs="Times New Roman"/>
          <w:color w:val="auto"/>
          <w:kern w:val="2"/>
          <w:sz w:val="24"/>
          <w:szCs w:val="28"/>
          <w:highlight w:val="none"/>
        </w:rPr>
        <w:t xml:space="preserve"> 别：</w:t>
      </w:r>
      <w:r>
        <w:rPr>
          <w:rFonts w:hint="eastAsia" w:ascii="Calibri" w:hAnsi="Calibri" w:cs="Times New Roman"/>
          <w:color w:val="auto"/>
          <w:kern w:val="2"/>
          <w:sz w:val="24"/>
          <w:szCs w:val="28"/>
          <w:highlight w:val="none"/>
          <w:u w:val="single"/>
        </w:rPr>
        <w:t xml:space="preserve">             </w:t>
      </w:r>
    </w:p>
    <w:p w14:paraId="3599742B">
      <w:pPr>
        <w:snapToGrid w:val="0"/>
        <w:spacing w:line="360" w:lineRule="auto"/>
        <w:ind w:firstLine="480" w:firstLineChars="200"/>
        <w:jc w:val="left"/>
        <w:rPr>
          <w:rFonts w:ascii="Calibri" w:hAnsi="Calibri" w:cs="Times New Roman"/>
          <w:color w:val="auto"/>
          <w:kern w:val="2"/>
          <w:sz w:val="24"/>
          <w:szCs w:val="28"/>
          <w:highlight w:val="none"/>
          <w:u w:val="single"/>
        </w:rPr>
      </w:pPr>
      <w:r>
        <w:rPr>
          <w:rFonts w:hint="eastAsia" w:ascii="Calibri" w:hAnsi="Calibri" w:cs="Times New Roman"/>
          <w:color w:val="auto"/>
          <w:kern w:val="2"/>
          <w:sz w:val="24"/>
          <w:szCs w:val="28"/>
          <w:highlight w:val="none"/>
        </w:rPr>
        <w:t>年    龄：</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 xml:space="preserve"> 职    务：</w:t>
      </w:r>
      <w:r>
        <w:rPr>
          <w:rFonts w:hint="eastAsia" w:ascii="Calibri" w:hAnsi="Calibri" w:cs="Times New Roman"/>
          <w:color w:val="auto"/>
          <w:kern w:val="2"/>
          <w:sz w:val="24"/>
          <w:szCs w:val="28"/>
          <w:highlight w:val="none"/>
          <w:u w:val="single"/>
        </w:rPr>
        <w:t xml:space="preserve">             </w:t>
      </w:r>
    </w:p>
    <w:p w14:paraId="54D987F3">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联系</w:t>
      </w:r>
      <w:r>
        <w:rPr>
          <w:rFonts w:ascii="Calibri" w:hAnsi="Calibri" w:cs="Times New Roman"/>
          <w:color w:val="auto"/>
          <w:kern w:val="2"/>
          <w:sz w:val="24"/>
          <w:szCs w:val="28"/>
          <w:highlight w:val="none"/>
        </w:rPr>
        <w:t>电话</w:t>
      </w:r>
      <w:r>
        <w:rPr>
          <w:rFonts w:hint="eastAsia" w:ascii="Calibri" w:hAnsi="Calibri" w:cs="Times New Roman"/>
          <w:color w:val="auto"/>
          <w:kern w:val="2"/>
          <w:sz w:val="24"/>
          <w:szCs w:val="28"/>
          <w:highlight w:val="none"/>
        </w:rPr>
        <w:t>：</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 xml:space="preserve"> 手机号码：</w:t>
      </w:r>
      <w:r>
        <w:rPr>
          <w:rFonts w:hint="eastAsia" w:ascii="Calibri" w:hAnsi="Calibri" w:cs="Times New Roman"/>
          <w:color w:val="auto"/>
          <w:kern w:val="2"/>
          <w:sz w:val="24"/>
          <w:szCs w:val="28"/>
          <w:highlight w:val="none"/>
          <w:u w:val="single"/>
        </w:rPr>
        <w:t xml:space="preserve">             </w:t>
      </w:r>
    </w:p>
    <w:p w14:paraId="582A3D4A">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 xml:space="preserve">系  </w:t>
      </w:r>
      <w:r>
        <w:rPr>
          <w:rFonts w:hint="eastAsia" w:ascii="Calibri" w:hAnsi="Calibri" w:cs="Times New Roman"/>
          <w:color w:val="auto"/>
          <w:kern w:val="2"/>
          <w:sz w:val="24"/>
          <w:szCs w:val="28"/>
          <w:highlight w:val="none"/>
          <w:u w:val="single"/>
        </w:rPr>
        <w:t xml:space="preserve">   （供应商单位名称）       </w:t>
      </w:r>
      <w:r>
        <w:rPr>
          <w:rFonts w:hint="eastAsia" w:ascii="Calibri" w:hAnsi="Calibri" w:cs="Times New Roman"/>
          <w:color w:val="auto"/>
          <w:kern w:val="2"/>
          <w:sz w:val="24"/>
          <w:szCs w:val="28"/>
          <w:highlight w:val="none"/>
        </w:rPr>
        <w:t>的法定代表人。</w:t>
      </w:r>
    </w:p>
    <w:p w14:paraId="5A16A281">
      <w:pPr>
        <w:spacing w:before="62" w:beforeLines="20" w:after="62" w:afterLines="20" w:line="540" w:lineRule="exact"/>
        <w:ind w:firstLine="610"/>
        <w:rPr>
          <w:rFonts w:ascii="@仿宋_GB2312" w:hAnsi="Calibri" w:eastAsia="@仿宋_GB2312" w:cs="宋体"/>
          <w:color w:val="auto"/>
          <w:kern w:val="2"/>
          <w:sz w:val="24"/>
          <w:szCs w:val="24"/>
          <w:highlight w:val="none"/>
        </w:rPr>
      </w:pPr>
    </w:p>
    <w:p w14:paraId="2F69436B">
      <w:pPr>
        <w:spacing w:before="62" w:beforeLines="20" w:after="62" w:afterLines="20" w:line="540" w:lineRule="exact"/>
        <w:ind w:left="400" w:leftChars="200" w:firstLine="240" w:firstLineChars="100"/>
        <w:rPr>
          <w:rFonts w:ascii="Calibri" w:hAnsi="Calibri" w:cs="宋体"/>
          <w:color w:val="auto"/>
          <w:kern w:val="2"/>
          <w:sz w:val="24"/>
          <w:szCs w:val="24"/>
          <w:highlight w:val="none"/>
        </w:rPr>
      </w:pPr>
      <w:r>
        <w:rPr>
          <w:rFonts w:hint="eastAsia" w:ascii="Calibri" w:hAnsi="Calibri" w:cs="宋体"/>
          <w:color w:val="auto"/>
          <w:kern w:val="2"/>
          <w:sz w:val="24"/>
          <w:szCs w:val="24"/>
          <w:highlight w:val="none"/>
        </w:rPr>
        <w:t>特此证明。</w:t>
      </w:r>
    </w:p>
    <w:p w14:paraId="56E58299">
      <w:pPr>
        <w:tabs>
          <w:tab w:val="left" w:pos="720"/>
          <w:tab w:val="left" w:pos="900"/>
        </w:tabs>
        <w:spacing w:before="62" w:beforeLines="20" w:after="62" w:afterLines="20" w:line="540" w:lineRule="exact"/>
        <w:ind w:firstLine="480" w:firstLineChars="200"/>
        <w:rPr>
          <w:rFonts w:hint="eastAsia" w:ascii="Calibri" w:hAnsi="Calibri" w:eastAsia="宋体" w:cs="宋体"/>
          <w:color w:val="auto"/>
          <w:kern w:val="2"/>
          <w:sz w:val="24"/>
          <w:szCs w:val="24"/>
          <w:highlight w:val="none"/>
          <w:lang w:eastAsia="zh-CN"/>
        </w:rPr>
      </w:pPr>
      <w:r>
        <w:rPr>
          <w:rFonts w:hint="eastAsia" w:ascii="Calibri" w:hAnsi="Calibri" w:cs="宋体"/>
          <w:color w:val="auto"/>
          <w:kern w:val="2"/>
          <w:sz w:val="24"/>
          <w:szCs w:val="24"/>
          <w:highlight w:val="none"/>
        </w:rPr>
        <w:t>附：法定代表人身份证</w:t>
      </w:r>
      <w:r>
        <w:rPr>
          <w:rFonts w:hint="eastAsia" w:ascii="Calibri" w:hAnsi="Calibri" w:cs="宋体"/>
          <w:color w:val="auto"/>
          <w:kern w:val="2"/>
          <w:sz w:val="24"/>
          <w:szCs w:val="24"/>
          <w:highlight w:val="none"/>
          <w:lang w:eastAsia="zh-CN"/>
        </w:rPr>
        <w:t>复印件</w:t>
      </w:r>
    </w:p>
    <w:p w14:paraId="15E11050">
      <w:pPr>
        <w:tabs>
          <w:tab w:val="left" w:pos="720"/>
          <w:tab w:val="left" w:pos="900"/>
        </w:tabs>
        <w:spacing w:before="62" w:beforeLines="20" w:after="62" w:afterLines="20" w:line="540" w:lineRule="exact"/>
        <w:ind w:firstLine="480" w:firstLineChars="200"/>
        <w:rPr>
          <w:rFonts w:ascii="@仿宋_GB2312" w:hAnsi="Calibri" w:eastAsia="@仿宋_GB2312" w:cs="宋体"/>
          <w:color w:val="auto"/>
          <w:kern w:val="2"/>
          <w:sz w:val="24"/>
          <w:szCs w:val="24"/>
          <w:highlight w:val="none"/>
        </w:rPr>
      </w:pPr>
    </w:p>
    <w:p w14:paraId="1D2040B7">
      <w:pPr>
        <w:tabs>
          <w:tab w:val="left" w:pos="720"/>
          <w:tab w:val="left" w:pos="900"/>
        </w:tabs>
        <w:spacing w:before="62" w:beforeLines="20" w:after="62" w:afterLines="20" w:line="540" w:lineRule="exact"/>
        <w:ind w:firstLine="4560" w:firstLineChars="1900"/>
        <w:rPr>
          <w:rFonts w:ascii="@仿宋_GB2312" w:hAnsi="Calibri" w:eastAsia="@仿宋_GB2312" w:cs="宋体"/>
          <w:color w:val="auto"/>
          <w:kern w:val="2"/>
          <w:sz w:val="24"/>
          <w:szCs w:val="24"/>
          <w:highlight w:val="none"/>
        </w:rPr>
      </w:pPr>
    </w:p>
    <w:p w14:paraId="611F7A06">
      <w:pPr>
        <w:spacing w:line="360" w:lineRule="auto"/>
        <w:ind w:firstLine="3840" w:firstLineChars="1600"/>
        <w:rPr>
          <w:rFonts w:cs="宋体"/>
          <w:color w:val="auto"/>
          <w:kern w:val="2"/>
          <w:sz w:val="24"/>
          <w:szCs w:val="24"/>
          <w:highlight w:val="none"/>
        </w:rPr>
      </w:pPr>
      <w:r>
        <w:rPr>
          <w:rFonts w:hint="eastAsia" w:cs="宋体"/>
          <w:color w:val="auto"/>
          <w:kern w:val="2"/>
          <w:sz w:val="24"/>
          <w:szCs w:val="24"/>
          <w:highlight w:val="none"/>
          <w:lang w:eastAsia="zh-CN"/>
        </w:rPr>
        <w:t>供应商公章</w:t>
      </w:r>
      <w:r>
        <w:rPr>
          <w:rFonts w:hint="eastAsia" w:cs="宋体"/>
          <w:color w:val="auto"/>
          <w:kern w:val="2"/>
          <w:sz w:val="24"/>
          <w:szCs w:val="24"/>
          <w:highlight w:val="none"/>
        </w:rPr>
        <w:t>：</w:t>
      </w:r>
      <w:r>
        <w:rPr>
          <w:rFonts w:cs="宋体"/>
          <w:color w:val="auto"/>
          <w:kern w:val="2"/>
          <w:sz w:val="24"/>
          <w:szCs w:val="24"/>
          <w:highlight w:val="none"/>
          <w:u w:val="single"/>
        </w:rPr>
        <w:t xml:space="preserve">        </w:t>
      </w:r>
      <w:r>
        <w:rPr>
          <w:rFonts w:hint="eastAsia" w:cs="宋体"/>
          <w:color w:val="auto"/>
          <w:kern w:val="2"/>
          <w:sz w:val="24"/>
          <w:szCs w:val="24"/>
          <w:highlight w:val="none"/>
          <w:u w:val="single"/>
        </w:rPr>
        <w:t xml:space="preserve">      </w:t>
      </w:r>
      <w:r>
        <w:rPr>
          <w:rFonts w:cs="宋体"/>
          <w:color w:val="auto"/>
          <w:kern w:val="2"/>
          <w:sz w:val="24"/>
          <w:szCs w:val="24"/>
          <w:highlight w:val="none"/>
          <w:u w:val="single"/>
        </w:rPr>
        <w:t xml:space="preserve">       </w:t>
      </w:r>
    </w:p>
    <w:p w14:paraId="1F2BF337">
      <w:pPr>
        <w:spacing w:line="360" w:lineRule="auto"/>
        <w:ind w:firstLine="3840" w:firstLineChars="1600"/>
        <w:rPr>
          <w:rFonts w:cs="宋体"/>
          <w:color w:val="auto"/>
          <w:kern w:val="2"/>
          <w:sz w:val="24"/>
          <w:szCs w:val="24"/>
          <w:highlight w:val="none"/>
        </w:rPr>
      </w:pPr>
      <w:r>
        <w:rPr>
          <w:rFonts w:hint="eastAsia" w:cs="宋体"/>
          <w:color w:val="auto"/>
          <w:kern w:val="2"/>
          <w:sz w:val="24"/>
          <w:szCs w:val="24"/>
          <w:highlight w:val="none"/>
        </w:rPr>
        <w:t>日</w:t>
      </w:r>
      <w:r>
        <w:rPr>
          <w:rFonts w:cs="宋体"/>
          <w:color w:val="auto"/>
          <w:kern w:val="2"/>
          <w:sz w:val="24"/>
          <w:szCs w:val="24"/>
          <w:highlight w:val="none"/>
        </w:rPr>
        <w:t xml:space="preserve">   </w:t>
      </w:r>
      <w:r>
        <w:rPr>
          <w:rFonts w:hint="eastAsia" w:cs="宋体"/>
          <w:color w:val="auto"/>
          <w:kern w:val="2"/>
          <w:sz w:val="24"/>
          <w:szCs w:val="24"/>
          <w:highlight w:val="none"/>
        </w:rPr>
        <w:t xml:space="preserve">  </w:t>
      </w:r>
      <w:r>
        <w:rPr>
          <w:rFonts w:cs="宋体"/>
          <w:color w:val="auto"/>
          <w:kern w:val="2"/>
          <w:sz w:val="24"/>
          <w:szCs w:val="24"/>
          <w:highlight w:val="none"/>
        </w:rPr>
        <w:t xml:space="preserve"> </w:t>
      </w:r>
      <w:r>
        <w:rPr>
          <w:rFonts w:hint="eastAsia" w:cs="宋体"/>
          <w:color w:val="auto"/>
          <w:kern w:val="2"/>
          <w:sz w:val="24"/>
          <w:szCs w:val="24"/>
          <w:highlight w:val="none"/>
        </w:rPr>
        <w:t>期：</w:t>
      </w:r>
      <w:r>
        <w:rPr>
          <w:rFonts w:cs="宋体"/>
          <w:color w:val="auto"/>
          <w:kern w:val="2"/>
          <w:sz w:val="24"/>
          <w:szCs w:val="24"/>
          <w:highlight w:val="none"/>
          <w:u w:val="single"/>
        </w:rPr>
        <w:t xml:space="preserve">           </w:t>
      </w:r>
      <w:r>
        <w:rPr>
          <w:rFonts w:hint="eastAsia" w:cs="宋体"/>
          <w:color w:val="auto"/>
          <w:kern w:val="2"/>
          <w:sz w:val="24"/>
          <w:szCs w:val="24"/>
          <w:highlight w:val="none"/>
          <w:u w:val="single"/>
        </w:rPr>
        <w:t xml:space="preserve"> </w:t>
      </w:r>
      <w:r>
        <w:rPr>
          <w:rFonts w:cs="宋体"/>
          <w:color w:val="auto"/>
          <w:kern w:val="2"/>
          <w:sz w:val="24"/>
          <w:szCs w:val="24"/>
          <w:highlight w:val="none"/>
          <w:u w:val="single"/>
        </w:rPr>
        <w:t xml:space="preserve">    </w:t>
      </w:r>
      <w:r>
        <w:rPr>
          <w:rFonts w:hint="eastAsia" w:cs="宋体"/>
          <w:color w:val="auto"/>
          <w:kern w:val="2"/>
          <w:sz w:val="24"/>
          <w:szCs w:val="24"/>
          <w:highlight w:val="none"/>
          <w:u w:val="single"/>
        </w:rPr>
        <w:t xml:space="preserve">  </w:t>
      </w:r>
      <w:r>
        <w:rPr>
          <w:rFonts w:cs="宋体"/>
          <w:color w:val="auto"/>
          <w:kern w:val="2"/>
          <w:sz w:val="24"/>
          <w:szCs w:val="24"/>
          <w:highlight w:val="none"/>
          <w:u w:val="single"/>
        </w:rPr>
        <w:t xml:space="preserve">   </w:t>
      </w:r>
    </w:p>
    <w:p w14:paraId="2DF39CD4">
      <w:pPr>
        <w:widowControl/>
        <w:jc w:val="left"/>
        <w:rPr>
          <w:rFonts w:cs="@仿宋_GB2312" w:asciiTheme="minorEastAsia" w:hAnsiTheme="minorEastAsia" w:eastAsiaTheme="minorEastAsia"/>
          <w:color w:val="auto"/>
          <w:kern w:val="2"/>
          <w:sz w:val="24"/>
          <w:szCs w:val="24"/>
          <w:highlight w:val="none"/>
        </w:rPr>
      </w:pPr>
      <w:r>
        <w:rPr>
          <w:rFonts w:cs="@仿宋_GB2312" w:asciiTheme="minorEastAsia" w:hAnsiTheme="minorEastAsia" w:eastAsiaTheme="minorEastAsia"/>
          <w:color w:val="auto"/>
          <w:kern w:val="2"/>
          <w:sz w:val="24"/>
          <w:szCs w:val="24"/>
          <w:highlight w:val="none"/>
        </w:rPr>
        <w:br w:type="page"/>
      </w:r>
    </w:p>
    <w:p w14:paraId="24C13500">
      <w:pPr>
        <w:pStyle w:val="2"/>
        <w:rPr>
          <w:rFonts w:hint="eastAsia"/>
          <w:lang w:val="en-US" w:eastAsia="zh-CN"/>
        </w:rPr>
      </w:pPr>
    </w:p>
    <w:p w14:paraId="32ADBC86">
      <w:pPr>
        <w:spacing w:line="360" w:lineRule="auto"/>
        <w:jc w:val="center"/>
        <w:outlineLvl w:val="1"/>
        <w:rPr>
          <w:rFonts w:asciiTheme="minorEastAsia" w:hAnsiTheme="minorEastAsia" w:eastAsiaTheme="minorEastAsia"/>
          <w:b/>
          <w:color w:val="auto"/>
          <w:sz w:val="24"/>
          <w:highlight w:val="none"/>
        </w:rPr>
      </w:pPr>
      <w:bookmarkStart w:id="690" w:name="_Toc19487"/>
      <w:r>
        <w:rPr>
          <w:rFonts w:hint="eastAsia" w:asciiTheme="minorEastAsia" w:hAnsiTheme="minorEastAsia" w:eastAsiaTheme="minorEastAsia"/>
          <w:b/>
          <w:color w:val="auto"/>
          <w:sz w:val="24"/>
          <w:highlight w:val="none"/>
          <w:lang w:val="en-US" w:eastAsia="zh-CN"/>
        </w:rPr>
        <w:t>六</w:t>
      </w:r>
      <w:r>
        <w:rPr>
          <w:rFonts w:hint="eastAsia" w:asciiTheme="minorEastAsia" w:hAnsiTheme="minorEastAsia" w:eastAsiaTheme="minorEastAsia"/>
          <w:b/>
          <w:color w:val="auto"/>
          <w:sz w:val="24"/>
          <w:highlight w:val="none"/>
        </w:rPr>
        <w:t>、谈判响应函</w:t>
      </w:r>
      <w:bookmarkEnd w:id="690"/>
    </w:p>
    <w:p w14:paraId="76872B83">
      <w:pPr>
        <w:spacing w:line="360" w:lineRule="auto"/>
        <w:rPr>
          <w:rFonts w:hint="eastAsia" w:cs="宋体" w:asciiTheme="minorEastAsia" w:hAnsiTheme="minorEastAsia" w:eastAsiaTheme="minorEastAsia"/>
          <w:b/>
          <w:color w:val="auto"/>
          <w:kern w:val="2"/>
          <w:sz w:val="24"/>
          <w:szCs w:val="24"/>
          <w:highlight w:val="none"/>
          <w:u w:val="single"/>
          <w:lang w:eastAsia="zh-CN"/>
        </w:rPr>
      </w:pPr>
      <w:r>
        <w:rPr>
          <w:rFonts w:hint="eastAsia" w:cs="宋体" w:asciiTheme="minorEastAsia" w:hAnsiTheme="minorEastAsia" w:eastAsiaTheme="minorEastAsia"/>
          <w:b/>
          <w:color w:val="auto"/>
          <w:kern w:val="2"/>
          <w:sz w:val="24"/>
          <w:szCs w:val="24"/>
          <w:highlight w:val="none"/>
        </w:rPr>
        <w:t>致：</w:t>
      </w:r>
      <w:r>
        <w:rPr>
          <w:rFonts w:hint="eastAsia" w:cs="宋体" w:asciiTheme="minorEastAsia" w:hAnsiTheme="minorEastAsia" w:eastAsiaTheme="minorEastAsia"/>
          <w:b/>
          <w:color w:val="auto"/>
          <w:kern w:val="2"/>
          <w:sz w:val="24"/>
          <w:szCs w:val="24"/>
          <w:highlight w:val="none"/>
          <w:u w:val="single"/>
          <w:lang w:eastAsia="zh-CN"/>
        </w:rPr>
        <w:t>采购人</w:t>
      </w:r>
    </w:p>
    <w:p w14:paraId="3FF59F52">
      <w:pPr>
        <w:spacing w:line="360" w:lineRule="auto"/>
        <w:ind w:firstLine="480" w:firstLineChars="200"/>
        <w:rPr>
          <w:rFonts w:cs="宋体" w:asciiTheme="minorEastAsia" w:hAnsiTheme="minorEastAsia" w:eastAsiaTheme="minorEastAsia"/>
          <w:color w:val="auto"/>
          <w:kern w:val="2"/>
          <w:sz w:val="24"/>
          <w:szCs w:val="24"/>
          <w:highlight w:val="none"/>
        </w:rPr>
      </w:pPr>
      <w:r>
        <w:rPr>
          <w:rFonts w:hint="eastAsia" w:cs="宋体" w:asciiTheme="minorEastAsia" w:hAnsiTheme="minorEastAsia" w:eastAsiaTheme="minorEastAsia"/>
          <w:color w:val="auto"/>
          <w:kern w:val="2"/>
          <w:sz w:val="24"/>
          <w:szCs w:val="24"/>
          <w:highlight w:val="none"/>
        </w:rPr>
        <w:t>根据贵方的竞争性谈判公告和谈判邀请，我方兹宣布同意如下：</w:t>
      </w:r>
    </w:p>
    <w:p w14:paraId="1B681A4E">
      <w:pPr>
        <w:spacing w:line="360" w:lineRule="auto"/>
        <w:ind w:firstLine="480" w:firstLineChars="200"/>
        <w:rPr>
          <w:rFonts w:cs="宋体" w:asciiTheme="minorEastAsia" w:hAnsiTheme="minorEastAsia" w:eastAsiaTheme="minorEastAsia"/>
          <w:color w:val="auto"/>
          <w:kern w:val="2"/>
          <w:sz w:val="24"/>
          <w:szCs w:val="24"/>
          <w:highlight w:val="none"/>
          <w:u w:val="single"/>
        </w:rPr>
      </w:pPr>
      <w:r>
        <w:rPr>
          <w:rFonts w:hint="eastAsia" w:cs="宋体" w:asciiTheme="minorEastAsia" w:hAnsiTheme="minorEastAsia" w:eastAsiaTheme="minorEastAsia"/>
          <w:color w:val="auto"/>
          <w:kern w:val="2"/>
          <w:sz w:val="24"/>
          <w:szCs w:val="24"/>
          <w:highlight w:val="none"/>
        </w:rPr>
        <w:t>1.经踏勘项目现场和研究上述谈判文件的谈判须知、合同条款、图纸和工程建设技术标准及其他有关文件后，我方接受上述文件要求，并对工程量清单及最高投标限价无异议。我方</w:t>
      </w:r>
      <w:r>
        <w:rPr>
          <w:rFonts w:hint="eastAsia" w:cs="宋体" w:asciiTheme="minorEastAsia" w:hAnsiTheme="minorEastAsia" w:eastAsiaTheme="minorEastAsia"/>
          <w:bCs/>
          <w:color w:val="auto"/>
          <w:kern w:val="2"/>
          <w:sz w:val="24"/>
          <w:szCs w:val="24"/>
          <w:highlight w:val="none"/>
        </w:rPr>
        <w:t>承诺按本谈判文件、施工图纸、合同条款和工程建设技术标准的条件、</w:t>
      </w:r>
      <w:r>
        <w:rPr>
          <w:rFonts w:hint="eastAsia" w:cs="宋体" w:asciiTheme="minorEastAsia" w:hAnsiTheme="minorEastAsia" w:eastAsiaTheme="minorEastAsia"/>
          <w:color w:val="auto"/>
          <w:kern w:val="2"/>
          <w:sz w:val="24"/>
          <w:szCs w:val="24"/>
          <w:highlight w:val="none"/>
        </w:rPr>
        <w:t>承担</w:t>
      </w:r>
      <w:r>
        <w:rPr>
          <w:rFonts w:hint="eastAsia" w:cs="宋体" w:asciiTheme="minorEastAsia" w:hAnsiTheme="minorEastAsia" w:eastAsiaTheme="minorEastAsia"/>
          <w:bCs/>
          <w:color w:val="auto"/>
          <w:kern w:val="2"/>
          <w:sz w:val="24"/>
          <w:szCs w:val="24"/>
          <w:highlight w:val="none"/>
        </w:rPr>
        <w:t>上述工程的施工、竣工，并承担任何质量缺陷保修责任。</w:t>
      </w:r>
    </w:p>
    <w:p w14:paraId="647096E1">
      <w:pPr>
        <w:spacing w:line="360" w:lineRule="auto"/>
        <w:ind w:firstLine="480" w:firstLineChars="200"/>
        <w:rPr>
          <w:rFonts w:cs="宋体" w:asciiTheme="minorEastAsia" w:hAnsiTheme="minorEastAsia" w:eastAsiaTheme="minorEastAsia"/>
          <w:color w:val="auto"/>
          <w:kern w:val="2"/>
          <w:sz w:val="24"/>
          <w:szCs w:val="24"/>
          <w:highlight w:val="none"/>
        </w:rPr>
      </w:pPr>
      <w:r>
        <w:rPr>
          <w:rFonts w:hint="eastAsia" w:cs="宋体" w:asciiTheme="minorEastAsia" w:hAnsiTheme="minorEastAsia" w:eastAsiaTheme="minorEastAsia"/>
          <w:color w:val="auto"/>
          <w:kern w:val="2"/>
          <w:sz w:val="24"/>
          <w:szCs w:val="24"/>
          <w:highlight w:val="none"/>
        </w:rPr>
        <w:t>2.我方已详细审核并确认全部谈判文件及有关附件，充分理解谈判价格不得低于企业个别成本有关规定。我方经成本核算，所填报的谈判报价不低于企业个别成本。</w:t>
      </w:r>
    </w:p>
    <w:p w14:paraId="55B2AB1A">
      <w:pPr>
        <w:spacing w:line="360" w:lineRule="auto"/>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w:t>
      </w:r>
      <w:r>
        <w:rPr>
          <w:rFonts w:hint="eastAsia" w:ascii="宋体" w:hAnsi="宋体" w:eastAsia="宋体" w:cs="宋体"/>
          <w:color w:val="auto"/>
          <w:sz w:val="24"/>
          <w:szCs w:val="24"/>
          <w:highlight w:val="none"/>
        </w:rPr>
        <w:t>我方保证按</w:t>
      </w:r>
      <w:r>
        <w:rPr>
          <w:rFonts w:hint="eastAsia" w:cs="宋体"/>
          <w:color w:val="auto"/>
          <w:sz w:val="24"/>
          <w:szCs w:val="24"/>
          <w:highlight w:val="none"/>
          <w:lang w:eastAsia="zh-CN"/>
        </w:rPr>
        <w:t>谈判文件</w:t>
      </w:r>
      <w:r>
        <w:rPr>
          <w:rFonts w:hint="eastAsia" w:ascii="宋体" w:hAnsi="宋体" w:eastAsia="宋体" w:cs="宋体"/>
          <w:color w:val="auto"/>
          <w:sz w:val="24"/>
          <w:szCs w:val="24"/>
          <w:highlight w:val="none"/>
        </w:rPr>
        <w:t>约定的工期和</w:t>
      </w:r>
      <w:r>
        <w:rPr>
          <w:rFonts w:hint="eastAsia" w:cs="宋体"/>
          <w:color w:val="auto"/>
          <w:sz w:val="24"/>
          <w:szCs w:val="24"/>
          <w:highlight w:val="none"/>
          <w:lang w:eastAsia="zh-CN"/>
        </w:rPr>
        <w:t>谈判文件</w:t>
      </w:r>
      <w:r>
        <w:rPr>
          <w:rFonts w:hint="eastAsia" w:ascii="宋体" w:hAnsi="宋体" w:eastAsia="宋体" w:cs="宋体"/>
          <w:color w:val="auto"/>
          <w:sz w:val="24"/>
          <w:szCs w:val="24"/>
          <w:highlight w:val="none"/>
        </w:rPr>
        <w:t>或业主开工令的要求如期开工、工程质量达到合格标准、如期竣工并移交整个工程。</w:t>
      </w:r>
    </w:p>
    <w:p w14:paraId="38C98C54">
      <w:pPr>
        <w:spacing w:line="360" w:lineRule="auto"/>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4</w:t>
      </w:r>
      <w:r>
        <w:rPr>
          <w:rFonts w:hint="eastAsia" w:ascii="宋体" w:hAnsi="宋体" w:eastAsia="宋体" w:cs="宋体"/>
          <w:color w:val="auto"/>
          <w:kern w:val="2"/>
          <w:sz w:val="24"/>
          <w:szCs w:val="24"/>
          <w:highlight w:val="none"/>
        </w:rPr>
        <w:t>.我方同意所提交的响应文件在</w:t>
      </w:r>
      <w:r>
        <w:rPr>
          <w:rFonts w:hint="eastAsia" w:cs="宋体"/>
          <w:color w:val="auto"/>
          <w:kern w:val="2"/>
          <w:sz w:val="24"/>
          <w:szCs w:val="24"/>
          <w:highlight w:val="none"/>
          <w:lang w:eastAsia="zh-CN"/>
        </w:rPr>
        <w:t>谈判文件</w:t>
      </w:r>
      <w:r>
        <w:rPr>
          <w:rFonts w:hint="eastAsia" w:ascii="宋体" w:hAnsi="宋体" w:eastAsia="宋体" w:cs="宋体"/>
          <w:color w:val="auto"/>
          <w:kern w:val="2"/>
          <w:sz w:val="24"/>
          <w:szCs w:val="24"/>
          <w:highlight w:val="none"/>
        </w:rPr>
        <w:t>规定的</w:t>
      </w:r>
      <w:r>
        <w:rPr>
          <w:rFonts w:hint="eastAsia" w:cs="宋体"/>
          <w:color w:val="auto"/>
          <w:kern w:val="2"/>
          <w:sz w:val="24"/>
          <w:szCs w:val="24"/>
          <w:highlight w:val="none"/>
          <w:lang w:eastAsia="zh-CN"/>
        </w:rPr>
        <w:t>谈判有效期</w:t>
      </w:r>
      <w:r>
        <w:rPr>
          <w:rFonts w:hint="eastAsia" w:ascii="宋体" w:hAnsi="宋体" w:eastAsia="宋体" w:cs="宋体"/>
          <w:color w:val="auto"/>
          <w:kern w:val="2"/>
          <w:sz w:val="24"/>
          <w:szCs w:val="24"/>
          <w:highlight w:val="none"/>
        </w:rPr>
        <w:t>内有效，在此期间内如果成交，我方将受此约束。</w:t>
      </w:r>
    </w:p>
    <w:p w14:paraId="185CA9C8">
      <w:pPr>
        <w:spacing w:line="360" w:lineRule="auto"/>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5</w:t>
      </w:r>
      <w:r>
        <w:rPr>
          <w:rFonts w:hint="eastAsia" w:ascii="宋体" w:hAnsi="宋体" w:eastAsia="宋体" w:cs="宋体"/>
          <w:color w:val="auto"/>
          <w:kern w:val="2"/>
          <w:sz w:val="24"/>
          <w:szCs w:val="24"/>
          <w:highlight w:val="none"/>
        </w:rPr>
        <w:t>.除非另外达成协议并生效，你方的成交通知书和本响应文件以及</w:t>
      </w:r>
      <w:r>
        <w:rPr>
          <w:rFonts w:hint="eastAsia" w:cs="宋体"/>
          <w:color w:val="auto"/>
          <w:kern w:val="2"/>
          <w:sz w:val="24"/>
          <w:szCs w:val="24"/>
          <w:highlight w:val="none"/>
          <w:lang w:eastAsia="zh-CN"/>
        </w:rPr>
        <w:t>谈判文件</w:t>
      </w:r>
      <w:r>
        <w:rPr>
          <w:rFonts w:hint="eastAsia" w:ascii="宋体" w:hAnsi="宋体" w:eastAsia="宋体" w:cs="宋体"/>
          <w:color w:val="auto"/>
          <w:kern w:val="2"/>
          <w:sz w:val="24"/>
          <w:szCs w:val="24"/>
          <w:highlight w:val="none"/>
        </w:rPr>
        <w:t>、</w:t>
      </w:r>
      <w:r>
        <w:rPr>
          <w:rFonts w:hint="eastAsia" w:cs="宋体"/>
          <w:color w:val="auto"/>
          <w:kern w:val="2"/>
          <w:sz w:val="24"/>
          <w:szCs w:val="24"/>
          <w:highlight w:val="none"/>
          <w:lang w:eastAsia="zh-CN"/>
        </w:rPr>
        <w:t>谈判文件</w:t>
      </w:r>
      <w:r>
        <w:rPr>
          <w:rFonts w:hint="eastAsia" w:ascii="宋体" w:hAnsi="宋体" w:eastAsia="宋体" w:cs="宋体"/>
          <w:color w:val="auto"/>
          <w:kern w:val="2"/>
          <w:sz w:val="24"/>
          <w:szCs w:val="24"/>
          <w:highlight w:val="none"/>
        </w:rPr>
        <w:t>澄清、修改、补充将成为约束双方的合同文件的组成部分。</w:t>
      </w:r>
    </w:p>
    <w:p w14:paraId="638F8B0D">
      <w:pPr>
        <w:spacing w:line="360" w:lineRule="auto"/>
        <w:ind w:firstLine="480" w:firstLineChars="200"/>
        <w:rPr>
          <w:rFonts w:cs="宋体" w:asciiTheme="minorEastAsia" w:hAnsiTheme="minorEastAsia" w:eastAsiaTheme="minorEastAsia"/>
          <w:color w:val="auto"/>
          <w:kern w:val="2"/>
          <w:sz w:val="24"/>
          <w:szCs w:val="24"/>
          <w:highlight w:val="none"/>
          <w:u w:val="single"/>
        </w:rPr>
      </w:pPr>
      <w:r>
        <w:rPr>
          <w:rFonts w:hint="eastAsia" w:cs="宋体"/>
          <w:color w:val="auto"/>
          <w:kern w:val="2"/>
          <w:sz w:val="24"/>
          <w:szCs w:val="24"/>
          <w:highlight w:val="none"/>
          <w:lang w:val="en-US" w:eastAsia="zh-CN"/>
        </w:rPr>
        <w:t>6</w:t>
      </w:r>
      <w:r>
        <w:rPr>
          <w:rFonts w:hint="eastAsia" w:ascii="宋体" w:hAnsi="宋体" w:eastAsia="宋体" w:cs="宋体"/>
          <w:color w:val="auto"/>
          <w:kern w:val="2"/>
          <w:sz w:val="24"/>
          <w:szCs w:val="24"/>
          <w:highlight w:val="none"/>
        </w:rPr>
        <w:t>.其他补充说明</w:t>
      </w:r>
      <w:r>
        <w:rPr>
          <w:rFonts w:hint="eastAsia" w:cs="宋体" w:asciiTheme="minorEastAsia" w:hAnsiTheme="minorEastAsia" w:eastAsiaTheme="minorEastAsia"/>
          <w:color w:val="auto"/>
          <w:kern w:val="2"/>
          <w:sz w:val="24"/>
          <w:szCs w:val="24"/>
          <w:highlight w:val="none"/>
        </w:rPr>
        <w:t>：</w:t>
      </w:r>
      <w:r>
        <w:rPr>
          <w:rFonts w:hint="eastAsia" w:cs="宋体" w:asciiTheme="minorEastAsia" w:hAnsiTheme="minorEastAsia" w:eastAsiaTheme="minorEastAsia"/>
          <w:color w:val="auto"/>
          <w:kern w:val="2"/>
          <w:sz w:val="24"/>
          <w:szCs w:val="24"/>
          <w:highlight w:val="none"/>
          <w:u w:val="single"/>
        </w:rPr>
        <w:t xml:space="preserve">  （</w:t>
      </w:r>
      <w:r>
        <w:rPr>
          <w:rFonts w:hint="eastAsia" w:cs="宋体" w:asciiTheme="minorEastAsia" w:hAnsiTheme="minorEastAsia" w:eastAsiaTheme="minorEastAsia"/>
          <w:i/>
          <w:iCs/>
          <w:color w:val="auto"/>
          <w:kern w:val="2"/>
          <w:sz w:val="24"/>
          <w:szCs w:val="24"/>
          <w:highlight w:val="none"/>
          <w:u w:val="single"/>
        </w:rPr>
        <w:t>如有</w:t>
      </w:r>
      <w:r>
        <w:rPr>
          <w:rFonts w:hint="eastAsia" w:cs="宋体" w:asciiTheme="minorEastAsia" w:hAnsiTheme="minorEastAsia" w:eastAsiaTheme="minorEastAsia"/>
          <w:color w:val="auto"/>
          <w:kern w:val="2"/>
          <w:sz w:val="24"/>
          <w:szCs w:val="24"/>
          <w:highlight w:val="none"/>
          <w:u w:val="single"/>
        </w:rPr>
        <w:t xml:space="preserve">）       </w:t>
      </w:r>
    </w:p>
    <w:p w14:paraId="33A01F7D">
      <w:pPr>
        <w:spacing w:line="360" w:lineRule="auto"/>
        <w:ind w:firstLine="3600" w:firstLineChars="1500"/>
        <w:rPr>
          <w:rFonts w:cs="@仿宋_GB2312"/>
          <w:color w:val="auto"/>
          <w:kern w:val="2"/>
          <w:sz w:val="24"/>
          <w:highlight w:val="none"/>
        </w:rPr>
      </w:pPr>
    </w:p>
    <w:p w14:paraId="682262DE">
      <w:pPr>
        <w:spacing w:line="360" w:lineRule="auto"/>
        <w:ind w:firstLine="3600" w:firstLineChars="1500"/>
        <w:rPr>
          <w:rFonts w:cs="@仿宋_GB2312"/>
          <w:color w:val="auto"/>
          <w:kern w:val="2"/>
          <w:sz w:val="24"/>
          <w:highlight w:val="none"/>
        </w:rPr>
      </w:pPr>
      <w:r>
        <w:rPr>
          <w:rFonts w:hint="eastAsia" w:cs="@仿宋_GB2312"/>
          <w:color w:val="auto"/>
          <w:kern w:val="2"/>
          <w:sz w:val="24"/>
          <w:highlight w:val="none"/>
          <w:lang w:eastAsia="zh-CN"/>
        </w:rPr>
        <w:t>供应商公章</w:t>
      </w:r>
      <w:r>
        <w:rPr>
          <w:rFonts w:hint="eastAsia" w:cs="@仿宋_GB2312"/>
          <w:color w:val="auto"/>
          <w:kern w:val="2"/>
          <w:sz w:val="24"/>
          <w:highlight w:val="none"/>
        </w:rPr>
        <w:t>：</w:t>
      </w:r>
      <w:r>
        <w:rPr>
          <w:rFonts w:hint="eastAsia" w:cs="@仿宋_GB2312"/>
          <w:color w:val="auto"/>
          <w:kern w:val="2"/>
          <w:sz w:val="24"/>
          <w:highlight w:val="none"/>
          <w:u w:val="single"/>
        </w:rPr>
        <w:t xml:space="preserve">                      </w:t>
      </w:r>
    </w:p>
    <w:p w14:paraId="54241363">
      <w:pPr>
        <w:spacing w:line="360" w:lineRule="auto"/>
        <w:ind w:firstLine="3600" w:firstLineChars="1500"/>
        <w:rPr>
          <w:rFonts w:cs="@仿宋_GB2312"/>
          <w:color w:val="auto"/>
          <w:kern w:val="2"/>
          <w:sz w:val="24"/>
          <w:highlight w:val="none"/>
          <w:u w:val="single"/>
        </w:rPr>
      </w:pPr>
      <w:r>
        <w:rPr>
          <w:rFonts w:hint="eastAsia" w:cs="@仿宋_GB2312"/>
          <w:color w:val="auto"/>
          <w:kern w:val="2"/>
          <w:sz w:val="24"/>
          <w:highlight w:val="none"/>
        </w:rPr>
        <w:t>日      期：</w:t>
      </w:r>
      <w:r>
        <w:rPr>
          <w:rFonts w:hint="eastAsia" w:cs="@仿宋_GB2312"/>
          <w:color w:val="auto"/>
          <w:kern w:val="2"/>
          <w:sz w:val="24"/>
          <w:highlight w:val="none"/>
          <w:u w:val="single"/>
        </w:rPr>
        <w:t xml:space="preserve">                      </w:t>
      </w:r>
    </w:p>
    <w:p w14:paraId="7DFCC662">
      <w:pPr>
        <w:widowControl/>
        <w:jc w:val="left"/>
        <w:rPr>
          <w:color w:val="auto"/>
          <w:sz w:val="24"/>
          <w:highlight w:val="none"/>
        </w:rPr>
      </w:pPr>
      <w:r>
        <w:rPr>
          <w:color w:val="auto"/>
          <w:sz w:val="24"/>
          <w:highlight w:val="none"/>
        </w:rPr>
        <w:br w:type="page"/>
      </w:r>
    </w:p>
    <w:bookmarkEnd w:id="678"/>
    <w:bookmarkEnd w:id="679"/>
    <w:p w14:paraId="20F555F0">
      <w:pPr>
        <w:spacing w:line="360" w:lineRule="auto"/>
        <w:jc w:val="center"/>
        <w:outlineLvl w:val="1"/>
        <w:rPr>
          <w:rFonts w:asciiTheme="minorEastAsia" w:hAnsiTheme="minorEastAsia" w:eastAsiaTheme="minorEastAsia"/>
          <w:b/>
          <w:color w:val="auto"/>
          <w:sz w:val="24"/>
          <w:highlight w:val="none"/>
        </w:rPr>
      </w:pPr>
      <w:bookmarkStart w:id="691" w:name="_Toc6236"/>
      <w:r>
        <w:rPr>
          <w:rFonts w:hint="eastAsia" w:asciiTheme="minorEastAsia" w:hAnsiTheme="minorEastAsia" w:eastAsiaTheme="minorEastAsia"/>
          <w:b/>
          <w:color w:val="auto"/>
          <w:sz w:val="24"/>
          <w:highlight w:val="none"/>
          <w:lang w:val="en-US" w:eastAsia="zh-CN"/>
        </w:rPr>
        <w:t>七</w:t>
      </w:r>
      <w:r>
        <w:rPr>
          <w:rFonts w:hint="eastAsia" w:asciiTheme="minorEastAsia" w:hAnsiTheme="minorEastAsia" w:eastAsiaTheme="minorEastAsia"/>
          <w:b/>
          <w:color w:val="auto"/>
          <w:sz w:val="24"/>
          <w:highlight w:val="none"/>
        </w:rPr>
        <w:t>、报价表格式</w:t>
      </w:r>
      <w:bookmarkEnd w:id="680"/>
      <w:bookmarkEnd w:id="681"/>
      <w:bookmarkEnd w:id="682"/>
      <w:bookmarkEnd w:id="691"/>
    </w:p>
    <w:p w14:paraId="05E76598">
      <w:pPr>
        <w:spacing w:before="156" w:beforeLines="50" w:after="156" w:afterLines="50" w:line="360" w:lineRule="auto"/>
        <w:jc w:val="left"/>
        <w:outlineLvl w:val="2"/>
        <w:rPr>
          <w:rFonts w:cs="@仿宋_GB2312" w:asciiTheme="minorEastAsia" w:hAnsiTheme="minorEastAsia" w:eastAsiaTheme="minorEastAsia"/>
          <w:b/>
          <w:color w:val="auto"/>
          <w:kern w:val="2"/>
          <w:sz w:val="24"/>
          <w:szCs w:val="24"/>
          <w:highlight w:val="none"/>
        </w:rPr>
      </w:pPr>
      <w:r>
        <w:rPr>
          <w:rFonts w:hint="eastAsia" w:cs="@仿宋_GB2312" w:asciiTheme="minorEastAsia" w:hAnsiTheme="minorEastAsia" w:eastAsiaTheme="minorEastAsia"/>
          <w:b/>
          <w:color w:val="auto"/>
          <w:kern w:val="2"/>
          <w:sz w:val="24"/>
          <w:szCs w:val="24"/>
          <w:highlight w:val="none"/>
        </w:rPr>
        <w:t>1-1 报价表</w:t>
      </w:r>
    </w:p>
    <w:p w14:paraId="27F0DB30">
      <w:pPr>
        <w:snapToGrid w:val="0"/>
        <w:spacing w:line="360" w:lineRule="auto"/>
        <w:jc w:val="left"/>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项目名称：</w:t>
      </w:r>
      <w:r>
        <w:rPr>
          <w:rFonts w:hint="eastAsia" w:cs="宋体" w:asciiTheme="minorEastAsia" w:hAnsiTheme="minorEastAsia" w:eastAsiaTheme="minorEastAsia"/>
          <w:b/>
          <w:color w:val="auto"/>
          <w:kern w:val="2"/>
          <w:sz w:val="24"/>
          <w:szCs w:val="24"/>
          <w:highlight w:val="none"/>
          <w:u w:val="single"/>
        </w:rPr>
        <w:t xml:space="preserve"> 某项目    </w:t>
      </w:r>
    </w:p>
    <w:p w14:paraId="7C78266D">
      <w:pPr>
        <w:snapToGrid w:val="0"/>
        <w:spacing w:after="156" w:afterLines="50" w:line="360" w:lineRule="auto"/>
        <w:jc w:val="left"/>
        <w:rPr>
          <w:rFonts w:cs="宋体" w:asciiTheme="minorEastAsia" w:hAnsiTheme="minorEastAsia" w:eastAsiaTheme="minorEastAsia"/>
          <w:b/>
          <w:bCs/>
          <w:color w:val="auto"/>
          <w:kern w:val="2"/>
          <w:sz w:val="24"/>
          <w:szCs w:val="24"/>
          <w:highlight w:val="none"/>
          <w:u w:val="single"/>
        </w:rPr>
      </w:pPr>
      <w:r>
        <w:rPr>
          <w:rFonts w:hint="eastAsia" w:cs="宋体" w:asciiTheme="minorEastAsia" w:hAnsiTheme="minorEastAsia" w:eastAsiaTheme="minorEastAsia"/>
          <w:b/>
          <w:color w:val="auto"/>
          <w:kern w:val="2"/>
          <w:sz w:val="24"/>
          <w:szCs w:val="24"/>
          <w:highlight w:val="none"/>
        </w:rPr>
        <w:t>项目编号：</w:t>
      </w:r>
      <w:r>
        <w:rPr>
          <w:rFonts w:hint="eastAsia" w:cs="宋体" w:asciiTheme="minorEastAsia" w:hAnsiTheme="minorEastAsia" w:eastAsiaTheme="minorEastAsia"/>
          <w:b/>
          <w:color w:val="auto"/>
          <w:kern w:val="2"/>
          <w:sz w:val="24"/>
          <w:szCs w:val="24"/>
          <w:highlight w:val="none"/>
          <w:u w:val="single"/>
        </w:rPr>
        <w:t xml:space="preserve"> 某编号    </w:t>
      </w:r>
    </w:p>
    <w:tbl>
      <w:tblPr>
        <w:tblStyle w:val="5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9"/>
        <w:gridCol w:w="6063"/>
      </w:tblGrid>
      <w:tr w14:paraId="2CA1B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3" w:type="pct"/>
            <w:tcBorders>
              <w:top w:val="single" w:color="auto" w:sz="4" w:space="0"/>
              <w:left w:val="single" w:color="auto" w:sz="4" w:space="0"/>
              <w:bottom w:val="single" w:color="auto" w:sz="4" w:space="0"/>
              <w:right w:val="single" w:color="auto" w:sz="4" w:space="0"/>
            </w:tcBorders>
            <w:vAlign w:val="center"/>
          </w:tcPr>
          <w:p w14:paraId="2CD119DB">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供应商名称</w:t>
            </w:r>
          </w:p>
        </w:tc>
        <w:tc>
          <w:tcPr>
            <w:tcW w:w="3557" w:type="pct"/>
            <w:tcBorders>
              <w:left w:val="single" w:color="auto" w:sz="4" w:space="0"/>
            </w:tcBorders>
          </w:tcPr>
          <w:p w14:paraId="6D7F8328">
            <w:pPr>
              <w:rPr>
                <w:rFonts w:cs="宋体" w:asciiTheme="minorEastAsia" w:hAnsiTheme="minorEastAsia" w:eastAsiaTheme="minorEastAsia"/>
                <w:b/>
                <w:color w:val="auto"/>
                <w:kern w:val="2"/>
                <w:sz w:val="24"/>
                <w:szCs w:val="24"/>
                <w:highlight w:val="none"/>
              </w:rPr>
            </w:pPr>
          </w:p>
        </w:tc>
      </w:tr>
      <w:tr w14:paraId="3BA70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443" w:type="pct"/>
            <w:tcBorders>
              <w:top w:val="single" w:color="auto" w:sz="4" w:space="0"/>
              <w:left w:val="single" w:color="auto" w:sz="4" w:space="0"/>
              <w:bottom w:val="single" w:color="auto" w:sz="4" w:space="0"/>
              <w:right w:val="single" w:color="auto" w:sz="4" w:space="0"/>
            </w:tcBorders>
            <w:vAlign w:val="center"/>
          </w:tcPr>
          <w:p w14:paraId="4363637F">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谈判</w:t>
            </w:r>
            <w:r>
              <w:rPr>
                <w:rFonts w:hint="eastAsia" w:cs="宋体" w:asciiTheme="minorEastAsia" w:hAnsiTheme="minorEastAsia" w:eastAsiaTheme="minorEastAsia"/>
                <w:b/>
                <w:color w:val="auto"/>
                <w:kern w:val="2"/>
                <w:sz w:val="24"/>
                <w:szCs w:val="24"/>
                <w:highlight w:val="none"/>
              </w:rPr>
              <w:t>范围</w:t>
            </w:r>
          </w:p>
        </w:tc>
        <w:tc>
          <w:tcPr>
            <w:tcW w:w="3557" w:type="pct"/>
            <w:tcBorders>
              <w:left w:val="single" w:color="auto" w:sz="4" w:space="0"/>
            </w:tcBorders>
            <w:vAlign w:val="center"/>
          </w:tcPr>
          <w:p w14:paraId="05F051A1">
            <w:pPr>
              <w:widowControl/>
              <w:rPr>
                <w:rFonts w:cs="宋体" w:asciiTheme="minorEastAsia" w:hAnsiTheme="minorEastAsia" w:eastAsiaTheme="minorEastAsia"/>
                <w:b/>
                <w:color w:val="auto"/>
                <w:kern w:val="2"/>
                <w:sz w:val="24"/>
                <w:szCs w:val="24"/>
                <w:highlight w:val="none"/>
              </w:rPr>
            </w:pPr>
            <w:r>
              <w:rPr>
                <w:rFonts w:hint="eastAsia" w:cs="@仿宋_GB2312" w:asciiTheme="minorEastAsia" w:hAnsiTheme="minorEastAsia" w:eastAsiaTheme="minorEastAsia"/>
                <w:color w:val="auto"/>
                <w:kern w:val="2"/>
                <w:sz w:val="24"/>
                <w:szCs w:val="28"/>
                <w:highlight w:val="none"/>
              </w:rPr>
              <w:t>全部</w:t>
            </w:r>
          </w:p>
        </w:tc>
      </w:tr>
      <w:tr w14:paraId="117A4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jc w:val="center"/>
        </w:trPr>
        <w:tc>
          <w:tcPr>
            <w:tcW w:w="1443" w:type="pct"/>
            <w:tcBorders>
              <w:top w:val="single" w:color="auto" w:sz="4" w:space="0"/>
            </w:tcBorders>
            <w:vAlign w:val="center"/>
          </w:tcPr>
          <w:p w14:paraId="5834F9C8">
            <w:pPr>
              <w:spacing w:line="360" w:lineRule="auto"/>
              <w:jc w:val="center"/>
              <w:rPr>
                <w:rFonts w:cs="@仿宋_GB2312"/>
                <w:b/>
                <w:color w:val="auto"/>
                <w:kern w:val="2"/>
                <w:sz w:val="24"/>
                <w:highlight w:val="none"/>
              </w:rPr>
            </w:pPr>
            <w:r>
              <w:rPr>
                <w:rFonts w:hint="eastAsia" w:cs="@仿宋_GB2312"/>
                <w:b/>
                <w:color w:val="auto"/>
                <w:kern w:val="2"/>
                <w:sz w:val="24"/>
                <w:highlight w:val="none"/>
              </w:rPr>
              <w:t>报价</w:t>
            </w:r>
          </w:p>
          <w:p w14:paraId="704C418A">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（详见备注说明）</w:t>
            </w:r>
          </w:p>
        </w:tc>
        <w:tc>
          <w:tcPr>
            <w:tcW w:w="3557" w:type="pct"/>
            <w:vAlign w:val="center"/>
          </w:tcPr>
          <w:p w14:paraId="02173CD9">
            <w:pPr>
              <w:snapToGrid w:val="0"/>
              <w:spacing w:line="360" w:lineRule="auto"/>
              <w:jc w:val="left"/>
              <w:rPr>
                <w:rFonts w:cs="宋体"/>
                <w:bCs/>
                <w:color w:val="auto"/>
                <w:sz w:val="21"/>
                <w:szCs w:val="21"/>
                <w:highlight w:val="none"/>
                <w:u w:val="single"/>
              </w:rPr>
            </w:pPr>
            <w:r>
              <w:rPr>
                <w:rFonts w:hint="eastAsia" w:cs="宋体"/>
                <w:bCs/>
                <w:color w:val="auto"/>
                <w:sz w:val="21"/>
                <w:szCs w:val="21"/>
                <w:highlight w:val="none"/>
              </w:rPr>
              <w:t>大写：</w:t>
            </w:r>
            <w:r>
              <w:rPr>
                <w:rFonts w:hint="eastAsia" w:cs="宋体"/>
                <w:bCs/>
                <w:color w:val="auto"/>
                <w:sz w:val="21"/>
                <w:szCs w:val="21"/>
                <w:highlight w:val="none"/>
                <w:u w:val="single"/>
              </w:rPr>
              <w:t xml:space="preserve">                     </w:t>
            </w:r>
          </w:p>
          <w:p w14:paraId="720F9D74">
            <w:pPr>
              <w:snapToGrid w:val="0"/>
              <w:rPr>
                <w:rFonts w:cs="宋体" w:asciiTheme="minorEastAsia" w:hAnsiTheme="minorEastAsia" w:eastAsiaTheme="minorEastAsia"/>
                <w:b/>
                <w:color w:val="auto"/>
                <w:kern w:val="2"/>
                <w:sz w:val="24"/>
                <w:szCs w:val="24"/>
                <w:highlight w:val="none"/>
              </w:rPr>
            </w:pPr>
            <w:r>
              <w:rPr>
                <w:rFonts w:hint="eastAsia" w:cs="宋体"/>
                <w:bCs/>
                <w:color w:val="auto"/>
                <w:sz w:val="21"/>
                <w:szCs w:val="21"/>
                <w:highlight w:val="none"/>
              </w:rPr>
              <w:t>小写：</w:t>
            </w:r>
            <w:r>
              <w:rPr>
                <w:rFonts w:hint="eastAsia" w:cs="宋体"/>
                <w:bCs/>
                <w:color w:val="auto"/>
                <w:sz w:val="21"/>
                <w:szCs w:val="21"/>
                <w:highlight w:val="none"/>
                <w:u w:val="single"/>
              </w:rPr>
              <w:t xml:space="preserve">                     </w:t>
            </w:r>
          </w:p>
        </w:tc>
      </w:tr>
      <w:tr w14:paraId="383C4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443" w:type="pct"/>
            <w:tcBorders>
              <w:top w:val="single" w:color="auto" w:sz="4" w:space="0"/>
            </w:tcBorders>
            <w:vAlign w:val="center"/>
          </w:tcPr>
          <w:p w14:paraId="0411CFB0">
            <w:pPr>
              <w:snapToGrid w:val="0"/>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质量标准</w:t>
            </w:r>
          </w:p>
        </w:tc>
        <w:tc>
          <w:tcPr>
            <w:tcW w:w="3557" w:type="pct"/>
            <w:vAlign w:val="center"/>
          </w:tcPr>
          <w:p w14:paraId="5AFA991B">
            <w:pPr>
              <w:snapToGrid w:val="0"/>
              <w:rPr>
                <w:rFonts w:cs="宋体" w:asciiTheme="minorEastAsia" w:hAnsiTheme="minorEastAsia" w:eastAsiaTheme="minorEastAsia"/>
                <w:b/>
                <w:color w:val="auto"/>
                <w:kern w:val="2"/>
                <w:sz w:val="24"/>
                <w:szCs w:val="24"/>
                <w:highlight w:val="none"/>
              </w:rPr>
            </w:pPr>
          </w:p>
        </w:tc>
      </w:tr>
      <w:tr w14:paraId="16EE1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443" w:type="pct"/>
            <w:tcBorders>
              <w:top w:val="single" w:color="auto" w:sz="4" w:space="0"/>
            </w:tcBorders>
            <w:vAlign w:val="center"/>
          </w:tcPr>
          <w:p w14:paraId="02E8A22E">
            <w:pPr>
              <w:snapToGrid w:val="0"/>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工    期</w:t>
            </w:r>
          </w:p>
        </w:tc>
        <w:tc>
          <w:tcPr>
            <w:tcW w:w="3557" w:type="pct"/>
            <w:vAlign w:val="center"/>
          </w:tcPr>
          <w:p w14:paraId="526FF077">
            <w:pPr>
              <w:snapToGrid w:val="0"/>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Cs/>
                <w:color w:val="auto"/>
                <w:kern w:val="2"/>
                <w:sz w:val="24"/>
                <w:szCs w:val="24"/>
                <w:highlight w:val="none"/>
              </w:rPr>
              <w:t>接开工令后</w:t>
            </w:r>
            <w:r>
              <w:rPr>
                <w:rFonts w:hint="eastAsia" w:cs="宋体" w:asciiTheme="minorEastAsia" w:hAnsiTheme="minorEastAsia" w:eastAsiaTheme="minorEastAsia"/>
                <w:bCs/>
                <w:color w:val="auto"/>
                <w:kern w:val="2"/>
                <w:sz w:val="24"/>
                <w:szCs w:val="24"/>
                <w:highlight w:val="none"/>
                <w:u w:val="single"/>
              </w:rPr>
              <w:t xml:space="preserve">  </w:t>
            </w:r>
            <w:r>
              <w:rPr>
                <w:rFonts w:hint="eastAsia" w:cs="宋体" w:asciiTheme="minorEastAsia" w:hAnsiTheme="minorEastAsia" w:eastAsiaTheme="minorEastAsia"/>
                <w:bCs/>
                <w:color w:val="auto"/>
                <w:kern w:val="2"/>
                <w:sz w:val="24"/>
                <w:szCs w:val="24"/>
                <w:highlight w:val="none"/>
                <w:u w:val="single"/>
                <w:lang w:val="en-US" w:eastAsia="zh-CN"/>
              </w:rPr>
              <w:t xml:space="preserve">  </w:t>
            </w:r>
            <w:r>
              <w:rPr>
                <w:rFonts w:hint="eastAsia" w:cs="宋体" w:asciiTheme="minorEastAsia" w:hAnsiTheme="minorEastAsia" w:eastAsiaTheme="minorEastAsia"/>
                <w:bCs/>
                <w:color w:val="auto"/>
                <w:kern w:val="2"/>
                <w:sz w:val="24"/>
                <w:szCs w:val="24"/>
                <w:highlight w:val="none"/>
                <w:u w:val="single"/>
              </w:rPr>
              <w:t xml:space="preserve">  </w:t>
            </w:r>
            <w:r>
              <w:rPr>
                <w:rFonts w:hint="eastAsia" w:cs="宋体" w:asciiTheme="minorEastAsia" w:hAnsiTheme="minorEastAsia" w:eastAsiaTheme="minorEastAsia"/>
                <w:bCs/>
                <w:color w:val="auto"/>
                <w:kern w:val="2"/>
                <w:sz w:val="24"/>
                <w:szCs w:val="24"/>
                <w:highlight w:val="none"/>
                <w:u w:val="none"/>
                <w:lang w:val="en-US" w:eastAsia="zh-CN"/>
              </w:rPr>
              <w:t>个</w:t>
            </w:r>
            <w:r>
              <w:rPr>
                <w:rFonts w:hint="eastAsia" w:cs="宋体" w:asciiTheme="minorEastAsia" w:hAnsiTheme="minorEastAsia" w:eastAsiaTheme="minorEastAsia"/>
                <w:bCs/>
                <w:color w:val="auto"/>
                <w:kern w:val="2"/>
                <w:sz w:val="24"/>
                <w:szCs w:val="24"/>
                <w:highlight w:val="none"/>
              </w:rPr>
              <w:t>日历天完工</w:t>
            </w:r>
          </w:p>
        </w:tc>
      </w:tr>
      <w:tr w14:paraId="5F993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443" w:type="pct"/>
            <w:tcBorders>
              <w:top w:val="single" w:color="auto" w:sz="4" w:space="0"/>
            </w:tcBorders>
            <w:vAlign w:val="center"/>
          </w:tcPr>
          <w:p w14:paraId="3AA07BF4">
            <w:pPr>
              <w:snapToGrid w:val="0"/>
              <w:jc w:val="center"/>
              <w:rPr>
                <w:rFonts w:cs="宋体" w:asciiTheme="minorEastAsia" w:hAnsiTheme="minorEastAsia" w:eastAsiaTheme="minorEastAsia"/>
                <w:b/>
                <w:bCs/>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是否响应付款方式</w:t>
            </w:r>
          </w:p>
        </w:tc>
        <w:tc>
          <w:tcPr>
            <w:tcW w:w="3557" w:type="pct"/>
            <w:vAlign w:val="center"/>
          </w:tcPr>
          <w:p w14:paraId="74E719F1">
            <w:pPr>
              <w:snapToGrid w:val="0"/>
              <w:rPr>
                <w:rFonts w:cs="宋体" w:asciiTheme="minorEastAsia" w:hAnsiTheme="minorEastAsia" w:eastAsiaTheme="minorEastAsia"/>
                <w:bCs/>
                <w:color w:val="auto"/>
                <w:kern w:val="2"/>
                <w:sz w:val="24"/>
                <w:szCs w:val="24"/>
                <w:highlight w:val="none"/>
              </w:rPr>
            </w:pPr>
            <w:r>
              <w:rPr>
                <w:rFonts w:hint="eastAsia" w:cs="宋体" w:asciiTheme="minorEastAsia" w:hAnsiTheme="minorEastAsia" w:eastAsiaTheme="minorEastAsia"/>
                <w:color w:val="auto"/>
                <w:kern w:val="2"/>
                <w:sz w:val="24"/>
                <w:szCs w:val="24"/>
                <w:highlight w:val="none"/>
              </w:rPr>
              <w:t>是□    否□   （划√）</w:t>
            </w:r>
          </w:p>
        </w:tc>
      </w:tr>
      <w:tr w14:paraId="61358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2" w:hRule="atLeast"/>
          <w:jc w:val="center"/>
        </w:trPr>
        <w:tc>
          <w:tcPr>
            <w:tcW w:w="1443" w:type="pct"/>
            <w:vAlign w:val="center"/>
          </w:tcPr>
          <w:p w14:paraId="4A446917">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备注说明</w:t>
            </w:r>
          </w:p>
        </w:tc>
        <w:tc>
          <w:tcPr>
            <w:tcW w:w="3557" w:type="pct"/>
          </w:tcPr>
          <w:p w14:paraId="250B3A22">
            <w:pPr>
              <w:rPr>
                <w:rFonts w:cs="宋体" w:asciiTheme="minorEastAsia" w:hAnsiTheme="minorEastAsia" w:eastAsiaTheme="minorEastAsia"/>
                <w:b/>
                <w:color w:val="auto"/>
                <w:kern w:val="2"/>
                <w:sz w:val="24"/>
                <w:szCs w:val="24"/>
                <w:highlight w:val="none"/>
              </w:rPr>
            </w:pPr>
          </w:p>
        </w:tc>
      </w:tr>
    </w:tbl>
    <w:p w14:paraId="01F3CADB">
      <w:pPr>
        <w:spacing w:line="440" w:lineRule="exact"/>
        <w:ind w:firstLine="4800" w:firstLineChars="2000"/>
        <w:rPr>
          <w:rFonts w:cs="@仿宋_GB2312"/>
          <w:color w:val="auto"/>
          <w:kern w:val="2"/>
          <w:sz w:val="24"/>
          <w:szCs w:val="24"/>
          <w:highlight w:val="none"/>
          <w:u w:val="single"/>
        </w:rPr>
      </w:pPr>
      <w:r>
        <w:rPr>
          <w:rFonts w:hint="eastAsia" w:cs="@仿宋_GB2312"/>
          <w:color w:val="auto"/>
          <w:kern w:val="2"/>
          <w:sz w:val="24"/>
          <w:szCs w:val="24"/>
          <w:highlight w:val="none"/>
          <w:lang w:eastAsia="zh-CN"/>
        </w:rPr>
        <w:t>供应商公章</w:t>
      </w:r>
      <w:r>
        <w:rPr>
          <w:rFonts w:hint="eastAsia" w:cs="@仿宋_GB2312"/>
          <w:color w:val="auto"/>
          <w:kern w:val="2"/>
          <w:sz w:val="24"/>
          <w:szCs w:val="24"/>
          <w:highlight w:val="none"/>
        </w:rPr>
        <w:t>：</w:t>
      </w:r>
      <w:r>
        <w:rPr>
          <w:rFonts w:hint="eastAsia" w:cs="@仿宋_GB2312"/>
          <w:color w:val="auto"/>
          <w:kern w:val="2"/>
          <w:sz w:val="24"/>
          <w:szCs w:val="24"/>
          <w:highlight w:val="none"/>
          <w:u w:val="single"/>
        </w:rPr>
        <w:t xml:space="preserve">     </w:t>
      </w:r>
      <w:r>
        <w:rPr>
          <w:rFonts w:cs="@仿宋_GB2312"/>
          <w:color w:val="auto"/>
          <w:kern w:val="2"/>
          <w:sz w:val="24"/>
          <w:szCs w:val="24"/>
          <w:highlight w:val="none"/>
          <w:u w:val="single"/>
        </w:rPr>
        <w:t xml:space="preserve">    </w:t>
      </w:r>
      <w:r>
        <w:rPr>
          <w:rFonts w:hint="eastAsia" w:cs="@仿宋_GB2312"/>
          <w:color w:val="auto"/>
          <w:kern w:val="2"/>
          <w:sz w:val="24"/>
          <w:szCs w:val="24"/>
          <w:highlight w:val="none"/>
          <w:u w:val="single"/>
        </w:rPr>
        <w:t xml:space="preserve">    </w:t>
      </w:r>
    </w:p>
    <w:p w14:paraId="4836A54E">
      <w:pPr>
        <w:spacing w:line="440" w:lineRule="exact"/>
        <w:ind w:firstLine="4800" w:firstLineChars="2000"/>
        <w:rPr>
          <w:rFonts w:cs="@仿宋_GB2312"/>
          <w:color w:val="auto"/>
          <w:kern w:val="2"/>
          <w:sz w:val="24"/>
          <w:szCs w:val="24"/>
          <w:highlight w:val="none"/>
          <w:u w:val="single"/>
        </w:rPr>
      </w:pPr>
      <w:r>
        <w:rPr>
          <w:rFonts w:hint="eastAsia" w:cs="@仿宋_GB2312"/>
          <w:color w:val="auto"/>
          <w:kern w:val="2"/>
          <w:sz w:val="24"/>
          <w:szCs w:val="24"/>
          <w:highlight w:val="none"/>
        </w:rPr>
        <w:t xml:space="preserve">日     </w:t>
      </w:r>
      <w:r>
        <w:rPr>
          <w:rFonts w:cs="@仿宋_GB2312"/>
          <w:color w:val="auto"/>
          <w:kern w:val="2"/>
          <w:sz w:val="24"/>
          <w:szCs w:val="24"/>
          <w:highlight w:val="none"/>
        </w:rPr>
        <w:t xml:space="preserve"> </w:t>
      </w:r>
      <w:r>
        <w:rPr>
          <w:rFonts w:hint="eastAsia" w:cs="@仿宋_GB2312"/>
          <w:color w:val="auto"/>
          <w:kern w:val="2"/>
          <w:sz w:val="24"/>
          <w:szCs w:val="24"/>
          <w:highlight w:val="none"/>
        </w:rPr>
        <w:t>期：</w:t>
      </w:r>
      <w:r>
        <w:rPr>
          <w:rFonts w:hint="eastAsia" w:cs="@仿宋_GB2312"/>
          <w:color w:val="auto"/>
          <w:kern w:val="2"/>
          <w:sz w:val="24"/>
          <w:szCs w:val="24"/>
          <w:highlight w:val="none"/>
          <w:u w:val="single"/>
        </w:rPr>
        <w:t xml:space="preserve">             </w:t>
      </w:r>
    </w:p>
    <w:p w14:paraId="50983B13">
      <w:pPr>
        <w:adjustRightInd w:val="0"/>
        <w:snapToGrid w:val="0"/>
        <w:spacing w:line="360" w:lineRule="auto"/>
        <w:rPr>
          <w:rFonts w:cs="宋体" w:asciiTheme="minorEastAsia" w:hAnsiTheme="minorEastAsia" w:eastAsiaTheme="minorEastAsia"/>
          <w:b/>
          <w:bCs/>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注：</w:t>
      </w:r>
    </w:p>
    <w:p w14:paraId="21991E48">
      <w:pPr>
        <w:adjustRightInd w:val="0"/>
        <w:snapToGrid w:val="0"/>
        <w:spacing w:line="360" w:lineRule="auto"/>
        <w:ind w:firstLine="482" w:firstLineChars="200"/>
        <w:rPr>
          <w:rFonts w:cs="宋体" w:asciiTheme="minorEastAsia" w:hAnsiTheme="minorEastAsia" w:eastAsiaTheme="minorEastAsia"/>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1.本表内容根据谈判文件要求包括了谈判文件要求提供的全部内容的所有费用。</w:t>
      </w:r>
    </w:p>
    <w:p w14:paraId="26A588AB">
      <w:pPr>
        <w:adjustRightInd w:val="0"/>
        <w:snapToGrid w:val="0"/>
        <w:spacing w:line="360" w:lineRule="auto"/>
        <w:ind w:firstLine="482" w:firstLineChars="200"/>
        <w:rPr>
          <w:rFonts w:cs="宋体" w:asciiTheme="minorEastAsia" w:hAnsiTheme="minorEastAsia" w:eastAsiaTheme="minorEastAsia"/>
          <w:b/>
          <w:bCs/>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2.特殊事项在备注中注明。</w:t>
      </w:r>
    </w:p>
    <w:p w14:paraId="6AC6B4B6">
      <w:pPr>
        <w:adjustRightInd w:val="0"/>
        <w:snapToGrid w:val="0"/>
        <w:spacing w:line="360" w:lineRule="auto"/>
        <w:ind w:firstLine="482" w:firstLineChars="200"/>
        <w:rPr>
          <w:rFonts w:cs="@仿宋_GB2312" w:asciiTheme="minorEastAsia" w:hAnsiTheme="minorEastAsia" w:eastAsiaTheme="minorEastAsia"/>
          <w:b/>
          <w:bCs/>
          <w:color w:val="auto"/>
          <w:kern w:val="2"/>
          <w:sz w:val="24"/>
          <w:szCs w:val="24"/>
          <w:highlight w:val="none"/>
        </w:rPr>
      </w:pPr>
      <w:r>
        <w:rPr>
          <w:rFonts w:hint="eastAsia" w:cs="@仿宋_GB2312" w:asciiTheme="minorEastAsia" w:hAnsiTheme="minorEastAsia" w:eastAsiaTheme="minorEastAsia"/>
          <w:b/>
          <w:bCs/>
          <w:color w:val="auto"/>
          <w:kern w:val="2"/>
          <w:sz w:val="24"/>
          <w:szCs w:val="24"/>
          <w:highlight w:val="none"/>
          <w:lang w:val="en-US" w:eastAsia="zh-CN"/>
        </w:rPr>
        <w:t>3</w:t>
      </w:r>
      <w:r>
        <w:rPr>
          <w:rFonts w:hint="eastAsia" w:cs="@仿宋_GB2312" w:asciiTheme="minorEastAsia" w:hAnsiTheme="minorEastAsia" w:eastAsiaTheme="minorEastAsia"/>
          <w:b/>
          <w:bCs/>
          <w:color w:val="auto"/>
          <w:kern w:val="2"/>
          <w:sz w:val="24"/>
          <w:szCs w:val="24"/>
          <w:highlight w:val="none"/>
        </w:rPr>
        <w:t>.表中大写金额与小写金额不一致的，以大写金额为准。</w:t>
      </w:r>
    </w:p>
    <w:p w14:paraId="43C6FEC1">
      <w:pPr>
        <w:adjustRightInd w:val="0"/>
        <w:snapToGrid w:val="0"/>
        <w:spacing w:line="360" w:lineRule="auto"/>
        <w:ind w:firstLine="482" w:firstLineChars="200"/>
        <w:rPr>
          <w:rFonts w:cs="宋体" w:asciiTheme="minorEastAsia" w:hAnsiTheme="minorEastAsia" w:eastAsiaTheme="minorEastAsia"/>
          <w:b/>
          <w:bCs/>
          <w:color w:val="auto"/>
          <w:kern w:val="2"/>
          <w:sz w:val="24"/>
          <w:szCs w:val="24"/>
          <w:highlight w:val="none"/>
        </w:rPr>
      </w:pPr>
      <w:r>
        <w:rPr>
          <w:rFonts w:cs="宋体" w:asciiTheme="minorEastAsia" w:hAnsiTheme="minorEastAsia" w:eastAsiaTheme="minorEastAsia"/>
          <w:b/>
          <w:bCs/>
          <w:color w:val="auto"/>
          <w:kern w:val="2"/>
          <w:sz w:val="24"/>
          <w:szCs w:val="24"/>
          <w:highlight w:val="none"/>
        </w:rPr>
        <w:br w:type="page"/>
      </w:r>
    </w:p>
    <w:p w14:paraId="666ACFB9">
      <w:pPr>
        <w:adjustRightInd w:val="0"/>
        <w:snapToGrid w:val="0"/>
        <w:spacing w:line="360" w:lineRule="auto"/>
        <w:outlineLvl w:val="2"/>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工程量清单报价书</w:t>
      </w:r>
    </w:p>
    <w:p w14:paraId="4FCB939B">
      <w:pPr>
        <w:autoSpaceDE w:val="0"/>
        <w:autoSpaceDN w:val="0"/>
        <w:adjustRightInd w:val="0"/>
        <w:spacing w:before="20" w:after="20" w:line="360" w:lineRule="auto"/>
        <w:jc w:val="center"/>
        <w:rPr>
          <w:rFonts w:cs="宋体" w:asciiTheme="minorEastAsia" w:hAnsiTheme="minorEastAsia" w:eastAsiaTheme="minorEastAsia"/>
          <w:b/>
          <w:color w:val="auto"/>
          <w:sz w:val="24"/>
          <w:szCs w:val="24"/>
          <w:highlight w:val="none"/>
        </w:rPr>
      </w:pPr>
    </w:p>
    <w:p w14:paraId="6ED50484">
      <w:pPr>
        <w:autoSpaceDE w:val="0"/>
        <w:autoSpaceDN w:val="0"/>
        <w:adjustRightInd w:val="0"/>
        <w:spacing w:before="20" w:after="20" w:line="360" w:lineRule="auto"/>
        <w:jc w:val="center"/>
        <w:outlineLvl w:val="2"/>
        <w:rPr>
          <w:rFonts w:hint="eastAsia" w:cs="宋体" w:asciiTheme="minorEastAsia" w:hAnsiTheme="minorEastAsia" w:eastAsiaTheme="minorEastAsia"/>
          <w:b/>
          <w:color w:val="auto"/>
          <w:sz w:val="24"/>
          <w:szCs w:val="24"/>
          <w:highlight w:val="none"/>
        </w:rPr>
      </w:pPr>
      <w:bookmarkStart w:id="692" w:name="_Toc30688"/>
      <w:r>
        <w:rPr>
          <w:rFonts w:hint="eastAsia" w:cs="宋体" w:asciiTheme="minorEastAsia" w:hAnsiTheme="minorEastAsia" w:eastAsiaTheme="minorEastAsia"/>
          <w:b/>
          <w:color w:val="auto"/>
          <w:sz w:val="24"/>
          <w:szCs w:val="24"/>
          <w:highlight w:val="none"/>
        </w:rPr>
        <w:t>工程量清单报价书</w:t>
      </w:r>
      <w:bookmarkEnd w:id="692"/>
    </w:p>
    <w:p w14:paraId="413FB36C">
      <w:pPr>
        <w:autoSpaceDE w:val="0"/>
        <w:autoSpaceDN w:val="0"/>
        <w:adjustRightInd w:val="0"/>
        <w:spacing w:before="20" w:after="20" w:line="360" w:lineRule="auto"/>
        <w:jc w:val="center"/>
        <w:outlineLvl w:val="2"/>
        <w:rPr>
          <w:b/>
          <w:bCs/>
          <w:color w:val="auto"/>
          <w:sz w:val="24"/>
          <w:szCs w:val="28"/>
          <w:highlight w:val="none"/>
        </w:rPr>
      </w:pPr>
      <w:r>
        <w:rPr>
          <w:rFonts w:hint="eastAsia" w:cs="宋体" w:asciiTheme="minorEastAsia" w:hAnsiTheme="minorEastAsia" w:eastAsiaTheme="minorEastAsia"/>
          <w:b/>
          <w:color w:val="auto"/>
          <w:kern w:val="2"/>
          <w:sz w:val="21"/>
          <w:szCs w:val="24"/>
          <w:highlight w:val="none"/>
        </w:rPr>
        <w:t>（格式详见工程量清单）</w:t>
      </w:r>
    </w:p>
    <w:p w14:paraId="061F7FA7">
      <w:pPr>
        <w:autoSpaceDE w:val="0"/>
        <w:autoSpaceDN w:val="0"/>
        <w:adjustRightInd w:val="0"/>
        <w:spacing w:before="20" w:after="20" w:line="360" w:lineRule="auto"/>
        <w:jc w:val="center"/>
        <w:rPr>
          <w:rFonts w:cs="宋体" w:asciiTheme="minorEastAsia" w:hAnsiTheme="minorEastAsia" w:eastAsiaTheme="minorEastAsia"/>
          <w:b/>
          <w:color w:val="auto"/>
          <w:sz w:val="24"/>
          <w:szCs w:val="24"/>
          <w:highlight w:val="none"/>
        </w:rPr>
      </w:pPr>
    </w:p>
    <w:p w14:paraId="0A4BA638">
      <w:pPr>
        <w:pStyle w:val="54"/>
      </w:pPr>
    </w:p>
    <w:p w14:paraId="5CB35C5B">
      <w:pPr>
        <w:widowControl/>
        <w:jc w:val="left"/>
        <w:rPr>
          <w:rFonts w:hint="eastAsia" w:asciiTheme="minorEastAsia" w:hAnsiTheme="minorEastAsia" w:eastAsiaTheme="minorEastAsia"/>
          <w:b/>
          <w:color w:val="auto"/>
          <w:sz w:val="24"/>
          <w:highlight w:val="none"/>
          <w:lang w:val="en-US" w:eastAsia="zh-CN"/>
        </w:rPr>
      </w:pPr>
      <w:r>
        <w:rPr>
          <w:b/>
          <w:bCs/>
          <w:color w:val="auto"/>
          <w:sz w:val="24"/>
          <w:szCs w:val="28"/>
          <w:highlight w:val="none"/>
        </w:rPr>
        <w:br w:type="page"/>
      </w:r>
      <w:bookmarkStart w:id="693" w:name="_Toc520983588"/>
      <w:bookmarkStart w:id="694" w:name="_Toc28658"/>
      <w:bookmarkStart w:id="695" w:name="_Toc19576"/>
    </w:p>
    <w:p w14:paraId="3BE4954D">
      <w:pPr>
        <w:spacing w:line="360" w:lineRule="auto"/>
        <w:jc w:val="center"/>
        <w:outlineLvl w:val="1"/>
        <w:rPr>
          <w:rFonts w:asciiTheme="minorEastAsia" w:hAnsiTheme="minorEastAsia" w:eastAsiaTheme="minorEastAsia"/>
          <w:b/>
          <w:color w:val="auto"/>
          <w:sz w:val="24"/>
          <w:highlight w:val="none"/>
        </w:rPr>
      </w:pPr>
      <w:bookmarkStart w:id="696" w:name="_Toc4215"/>
      <w:r>
        <w:rPr>
          <w:rFonts w:hint="eastAsia" w:asciiTheme="minorEastAsia" w:hAnsiTheme="minorEastAsia" w:eastAsiaTheme="minorEastAsia"/>
          <w:b/>
          <w:color w:val="auto"/>
          <w:sz w:val="24"/>
          <w:highlight w:val="none"/>
        </w:rPr>
        <w:t>最后承诺报价表</w:t>
      </w:r>
      <w:bookmarkEnd w:id="693"/>
      <w:bookmarkEnd w:id="694"/>
      <w:bookmarkEnd w:id="695"/>
      <w:bookmarkEnd w:id="696"/>
    </w:p>
    <w:p w14:paraId="2C07183E">
      <w:pPr>
        <w:spacing w:before="156" w:beforeLines="50" w:after="156" w:afterLines="50" w:line="360" w:lineRule="auto"/>
        <w:ind w:firstLine="236" w:firstLineChars="98"/>
        <w:jc w:val="center"/>
        <w:outlineLvl w:val="9"/>
        <w:rPr>
          <w:b/>
          <w:color w:val="auto"/>
          <w:sz w:val="24"/>
          <w:szCs w:val="28"/>
          <w:highlight w:val="none"/>
        </w:rPr>
      </w:pPr>
      <w:bookmarkStart w:id="697" w:name="_Toc16156"/>
      <w:r>
        <w:rPr>
          <w:rFonts w:hint="eastAsia"/>
          <w:b/>
          <w:color w:val="auto"/>
          <w:sz w:val="24"/>
          <w:szCs w:val="28"/>
          <w:highlight w:val="none"/>
        </w:rPr>
        <w:t>（第</w:t>
      </w:r>
      <w:r>
        <w:rPr>
          <w:rFonts w:hint="eastAsia"/>
          <w:b/>
          <w:color w:val="auto"/>
          <w:sz w:val="24"/>
          <w:szCs w:val="28"/>
          <w:highlight w:val="none"/>
          <w:u w:val="single"/>
        </w:rPr>
        <w:t xml:space="preserve"> </w:t>
      </w:r>
      <w:r>
        <w:rPr>
          <w:rFonts w:hint="eastAsia"/>
          <w:b/>
          <w:color w:val="auto"/>
          <w:sz w:val="24"/>
          <w:szCs w:val="28"/>
          <w:highlight w:val="none"/>
          <w:u w:val="single"/>
          <w:lang w:val="en-US" w:eastAsia="zh-CN"/>
        </w:rPr>
        <w:t>二</w:t>
      </w:r>
      <w:r>
        <w:rPr>
          <w:rFonts w:hint="eastAsia"/>
          <w:b/>
          <w:color w:val="auto"/>
          <w:sz w:val="24"/>
          <w:szCs w:val="28"/>
          <w:highlight w:val="none"/>
          <w:u w:val="single"/>
        </w:rPr>
        <w:t xml:space="preserve"> </w:t>
      </w:r>
      <w:r>
        <w:rPr>
          <w:rFonts w:hint="eastAsia"/>
          <w:b/>
          <w:color w:val="auto"/>
          <w:sz w:val="24"/>
          <w:szCs w:val="28"/>
          <w:highlight w:val="none"/>
        </w:rPr>
        <w:t>次报价书）</w:t>
      </w:r>
      <w:bookmarkEnd w:id="697"/>
    </w:p>
    <w:p w14:paraId="177FFBFA">
      <w:pPr>
        <w:snapToGrid w:val="0"/>
        <w:spacing w:line="360" w:lineRule="auto"/>
        <w:jc w:val="left"/>
        <w:rPr>
          <w:rFonts w:hint="default" w:cs="宋体" w:asciiTheme="minorEastAsia" w:hAnsiTheme="minorEastAsia" w:eastAsiaTheme="minorEastAsia"/>
          <w:b/>
          <w:color w:val="auto"/>
          <w:kern w:val="2"/>
          <w:sz w:val="24"/>
          <w:szCs w:val="24"/>
          <w:highlight w:val="none"/>
          <w:lang w:val="en-US" w:eastAsia="zh-CN"/>
        </w:rPr>
      </w:pPr>
      <w:r>
        <w:rPr>
          <w:rFonts w:hint="eastAsia" w:cs="宋体" w:asciiTheme="minorEastAsia" w:hAnsiTheme="minorEastAsia" w:eastAsiaTheme="minorEastAsia"/>
          <w:b/>
          <w:color w:val="auto"/>
          <w:kern w:val="2"/>
          <w:sz w:val="24"/>
          <w:szCs w:val="24"/>
          <w:highlight w:val="none"/>
        </w:rPr>
        <w:t>项目名称：</w:t>
      </w:r>
      <w:r>
        <w:rPr>
          <w:rFonts w:hint="eastAsia" w:cs="宋体" w:asciiTheme="minorEastAsia" w:hAnsiTheme="minorEastAsia" w:eastAsiaTheme="minorEastAsia"/>
          <w:b/>
          <w:color w:val="auto"/>
          <w:kern w:val="2"/>
          <w:sz w:val="24"/>
          <w:szCs w:val="24"/>
          <w:highlight w:val="none"/>
          <w:u w:val="single"/>
        </w:rPr>
        <w:t xml:space="preserve">     </w:t>
      </w:r>
      <w:r>
        <w:rPr>
          <w:rFonts w:hint="eastAsia" w:cs="宋体" w:asciiTheme="minorEastAsia" w:hAnsiTheme="minorEastAsia" w:eastAsiaTheme="minorEastAsia"/>
          <w:b/>
          <w:color w:val="auto"/>
          <w:kern w:val="2"/>
          <w:sz w:val="24"/>
          <w:szCs w:val="24"/>
          <w:highlight w:val="none"/>
          <w:u w:val="single"/>
          <w:lang w:val="en-US" w:eastAsia="zh-CN"/>
        </w:rPr>
        <w:t xml:space="preserve">    </w:t>
      </w:r>
    </w:p>
    <w:p w14:paraId="7B6D6371">
      <w:pPr>
        <w:snapToGrid w:val="0"/>
        <w:spacing w:after="156" w:afterLines="50" w:line="360" w:lineRule="auto"/>
        <w:jc w:val="left"/>
        <w:rPr>
          <w:rFonts w:hint="default" w:cs="宋体" w:asciiTheme="minorEastAsia" w:hAnsiTheme="minorEastAsia" w:eastAsiaTheme="minorEastAsia"/>
          <w:b/>
          <w:bCs/>
          <w:color w:val="auto"/>
          <w:kern w:val="2"/>
          <w:sz w:val="24"/>
          <w:szCs w:val="24"/>
          <w:highlight w:val="none"/>
          <w:u w:val="single"/>
          <w:lang w:val="en-US" w:eastAsia="zh-CN"/>
        </w:rPr>
      </w:pPr>
      <w:r>
        <w:rPr>
          <w:rFonts w:hint="eastAsia" w:cs="宋体" w:asciiTheme="minorEastAsia" w:hAnsiTheme="minorEastAsia" w:eastAsiaTheme="minorEastAsia"/>
          <w:b/>
          <w:color w:val="auto"/>
          <w:kern w:val="2"/>
          <w:sz w:val="24"/>
          <w:szCs w:val="24"/>
          <w:highlight w:val="none"/>
        </w:rPr>
        <w:t>项目编号：</w:t>
      </w:r>
      <w:r>
        <w:rPr>
          <w:rFonts w:hint="eastAsia" w:cs="宋体" w:asciiTheme="minorEastAsia" w:hAnsiTheme="minorEastAsia" w:eastAsiaTheme="minorEastAsia"/>
          <w:b/>
          <w:color w:val="auto"/>
          <w:kern w:val="2"/>
          <w:sz w:val="24"/>
          <w:szCs w:val="24"/>
          <w:highlight w:val="none"/>
          <w:u w:val="single"/>
        </w:rPr>
        <w:t xml:space="preserve">     </w:t>
      </w:r>
      <w:r>
        <w:rPr>
          <w:rFonts w:hint="eastAsia" w:cs="宋体" w:asciiTheme="minorEastAsia" w:hAnsiTheme="minorEastAsia" w:eastAsiaTheme="minorEastAsia"/>
          <w:b/>
          <w:color w:val="auto"/>
          <w:kern w:val="2"/>
          <w:sz w:val="24"/>
          <w:szCs w:val="24"/>
          <w:highlight w:val="none"/>
          <w:u w:val="single"/>
          <w:lang w:val="en-US" w:eastAsia="zh-CN"/>
        </w:rPr>
        <w:t xml:space="preserve">    </w:t>
      </w:r>
    </w:p>
    <w:tbl>
      <w:tblPr>
        <w:tblStyle w:val="5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72"/>
        <w:gridCol w:w="5950"/>
      </w:tblGrid>
      <w:tr w14:paraId="55008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509" w:type="pct"/>
            <w:tcBorders>
              <w:top w:val="single" w:color="auto" w:sz="4" w:space="0"/>
              <w:left w:val="single" w:color="auto" w:sz="4" w:space="0"/>
              <w:bottom w:val="single" w:color="auto" w:sz="4" w:space="0"/>
              <w:right w:val="single" w:color="auto" w:sz="4" w:space="0"/>
            </w:tcBorders>
            <w:vAlign w:val="center"/>
          </w:tcPr>
          <w:p w14:paraId="7741DB4D">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供应商名称</w:t>
            </w:r>
          </w:p>
        </w:tc>
        <w:tc>
          <w:tcPr>
            <w:tcW w:w="3491" w:type="pct"/>
            <w:tcBorders>
              <w:left w:val="single" w:color="auto" w:sz="4" w:space="0"/>
            </w:tcBorders>
          </w:tcPr>
          <w:p w14:paraId="06F89931">
            <w:pPr>
              <w:rPr>
                <w:rFonts w:cs="宋体" w:asciiTheme="minorEastAsia" w:hAnsiTheme="minorEastAsia" w:eastAsiaTheme="minorEastAsia"/>
                <w:b/>
                <w:color w:val="auto"/>
                <w:kern w:val="2"/>
                <w:sz w:val="24"/>
                <w:szCs w:val="24"/>
                <w:highlight w:val="none"/>
              </w:rPr>
            </w:pPr>
          </w:p>
        </w:tc>
      </w:tr>
      <w:tr w14:paraId="173C6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75" w:hRule="atLeast"/>
          <w:jc w:val="center"/>
        </w:trPr>
        <w:tc>
          <w:tcPr>
            <w:tcW w:w="1509" w:type="pct"/>
            <w:tcBorders>
              <w:top w:val="single" w:color="auto" w:sz="4" w:space="0"/>
              <w:left w:val="single" w:color="auto" w:sz="4" w:space="0"/>
              <w:bottom w:val="single" w:color="auto" w:sz="4" w:space="0"/>
              <w:right w:val="single" w:color="auto" w:sz="4" w:space="0"/>
            </w:tcBorders>
            <w:vAlign w:val="center"/>
          </w:tcPr>
          <w:p w14:paraId="45CB170B">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谈判</w:t>
            </w:r>
            <w:r>
              <w:rPr>
                <w:rFonts w:hint="eastAsia" w:cs="宋体" w:asciiTheme="minorEastAsia" w:hAnsiTheme="minorEastAsia" w:eastAsiaTheme="minorEastAsia"/>
                <w:b/>
                <w:color w:val="auto"/>
                <w:kern w:val="2"/>
                <w:sz w:val="24"/>
                <w:szCs w:val="24"/>
                <w:highlight w:val="none"/>
              </w:rPr>
              <w:t>范围</w:t>
            </w:r>
          </w:p>
        </w:tc>
        <w:tc>
          <w:tcPr>
            <w:tcW w:w="3491" w:type="pct"/>
            <w:tcBorders>
              <w:left w:val="single" w:color="auto" w:sz="4" w:space="0"/>
            </w:tcBorders>
            <w:vAlign w:val="center"/>
          </w:tcPr>
          <w:p w14:paraId="401F4F93">
            <w:pPr>
              <w:widowControl/>
              <w:rPr>
                <w:rFonts w:cs="宋体" w:asciiTheme="minorEastAsia" w:hAnsiTheme="minorEastAsia" w:eastAsiaTheme="minorEastAsia"/>
                <w:b/>
                <w:color w:val="auto"/>
                <w:kern w:val="2"/>
                <w:sz w:val="24"/>
                <w:szCs w:val="24"/>
                <w:highlight w:val="none"/>
              </w:rPr>
            </w:pPr>
            <w:r>
              <w:rPr>
                <w:rFonts w:hint="eastAsia" w:cs="@仿宋_GB2312" w:asciiTheme="minorEastAsia" w:hAnsiTheme="minorEastAsia" w:eastAsiaTheme="minorEastAsia"/>
                <w:color w:val="auto"/>
                <w:kern w:val="2"/>
                <w:sz w:val="24"/>
                <w:szCs w:val="28"/>
                <w:highlight w:val="none"/>
              </w:rPr>
              <w:t>全部</w:t>
            </w:r>
          </w:p>
        </w:tc>
      </w:tr>
      <w:tr w14:paraId="03733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jc w:val="center"/>
        </w:trPr>
        <w:tc>
          <w:tcPr>
            <w:tcW w:w="1509" w:type="pct"/>
            <w:tcBorders>
              <w:top w:val="single" w:color="auto" w:sz="4" w:space="0"/>
            </w:tcBorders>
            <w:vAlign w:val="center"/>
          </w:tcPr>
          <w:p w14:paraId="38219A0D">
            <w:pPr>
              <w:spacing w:line="360" w:lineRule="auto"/>
              <w:jc w:val="center"/>
              <w:rPr>
                <w:rFonts w:cs="@仿宋_GB2312"/>
                <w:b/>
                <w:color w:val="auto"/>
                <w:kern w:val="2"/>
                <w:sz w:val="24"/>
                <w:highlight w:val="none"/>
              </w:rPr>
            </w:pPr>
            <w:r>
              <w:rPr>
                <w:rFonts w:hint="eastAsia" w:cs="@仿宋_GB2312"/>
                <w:b/>
                <w:bCs/>
                <w:color w:val="auto"/>
                <w:kern w:val="2"/>
                <w:sz w:val="24"/>
                <w:szCs w:val="28"/>
                <w:highlight w:val="none"/>
              </w:rPr>
              <w:t>最后报价</w:t>
            </w:r>
          </w:p>
          <w:p w14:paraId="6AAEF75C">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（详见备注说明）</w:t>
            </w:r>
          </w:p>
        </w:tc>
        <w:tc>
          <w:tcPr>
            <w:tcW w:w="3491" w:type="pct"/>
            <w:vAlign w:val="center"/>
          </w:tcPr>
          <w:p w14:paraId="6D283BB6">
            <w:pPr>
              <w:snapToGrid w:val="0"/>
              <w:spacing w:line="360" w:lineRule="auto"/>
              <w:jc w:val="left"/>
              <w:rPr>
                <w:rFonts w:cs="宋体"/>
                <w:bCs/>
                <w:color w:val="auto"/>
                <w:sz w:val="21"/>
                <w:szCs w:val="21"/>
                <w:highlight w:val="none"/>
                <w:u w:val="single"/>
              </w:rPr>
            </w:pPr>
            <w:r>
              <w:rPr>
                <w:rFonts w:hint="eastAsia" w:cs="宋体"/>
                <w:bCs/>
                <w:color w:val="auto"/>
                <w:sz w:val="21"/>
                <w:szCs w:val="21"/>
                <w:highlight w:val="none"/>
              </w:rPr>
              <w:t>大写：</w:t>
            </w:r>
            <w:r>
              <w:rPr>
                <w:rFonts w:hint="eastAsia" w:cs="宋体"/>
                <w:bCs/>
                <w:color w:val="auto"/>
                <w:sz w:val="21"/>
                <w:szCs w:val="21"/>
                <w:highlight w:val="none"/>
                <w:u w:val="single"/>
              </w:rPr>
              <w:t xml:space="preserve">                     </w:t>
            </w:r>
          </w:p>
          <w:p w14:paraId="55A5AD53">
            <w:pPr>
              <w:snapToGrid w:val="0"/>
              <w:rPr>
                <w:rFonts w:cs="宋体" w:asciiTheme="minorEastAsia" w:hAnsiTheme="minorEastAsia" w:eastAsiaTheme="minorEastAsia"/>
                <w:b/>
                <w:color w:val="auto"/>
                <w:kern w:val="2"/>
                <w:sz w:val="24"/>
                <w:szCs w:val="24"/>
                <w:highlight w:val="none"/>
              </w:rPr>
            </w:pPr>
            <w:r>
              <w:rPr>
                <w:rFonts w:hint="eastAsia" w:cs="宋体"/>
                <w:bCs/>
                <w:color w:val="auto"/>
                <w:sz w:val="21"/>
                <w:szCs w:val="21"/>
                <w:highlight w:val="none"/>
              </w:rPr>
              <w:t>小写：</w:t>
            </w:r>
            <w:r>
              <w:rPr>
                <w:rFonts w:hint="eastAsia" w:cs="宋体"/>
                <w:bCs/>
                <w:color w:val="auto"/>
                <w:sz w:val="21"/>
                <w:szCs w:val="21"/>
                <w:highlight w:val="none"/>
                <w:u w:val="single"/>
              </w:rPr>
              <w:t xml:space="preserve">                     </w:t>
            </w:r>
          </w:p>
        </w:tc>
      </w:tr>
      <w:tr w14:paraId="0866F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509" w:type="pct"/>
            <w:tcBorders>
              <w:top w:val="single" w:color="auto" w:sz="4" w:space="0"/>
            </w:tcBorders>
            <w:vAlign w:val="center"/>
          </w:tcPr>
          <w:p w14:paraId="5FD01EDC">
            <w:pPr>
              <w:snapToGrid w:val="0"/>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质量标准</w:t>
            </w:r>
          </w:p>
        </w:tc>
        <w:tc>
          <w:tcPr>
            <w:tcW w:w="3491" w:type="pct"/>
            <w:vAlign w:val="center"/>
          </w:tcPr>
          <w:p w14:paraId="7E84054B">
            <w:pPr>
              <w:snapToGrid w:val="0"/>
              <w:rPr>
                <w:rFonts w:cs="宋体" w:asciiTheme="minorEastAsia" w:hAnsiTheme="minorEastAsia" w:eastAsiaTheme="minorEastAsia"/>
                <w:b/>
                <w:color w:val="auto"/>
                <w:kern w:val="2"/>
                <w:sz w:val="24"/>
                <w:szCs w:val="24"/>
                <w:highlight w:val="none"/>
              </w:rPr>
            </w:pPr>
          </w:p>
        </w:tc>
      </w:tr>
      <w:tr w14:paraId="015EB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509" w:type="pct"/>
            <w:tcBorders>
              <w:top w:val="single" w:color="auto" w:sz="4" w:space="0"/>
            </w:tcBorders>
            <w:vAlign w:val="center"/>
          </w:tcPr>
          <w:p w14:paraId="57EDF38C">
            <w:pPr>
              <w:snapToGrid w:val="0"/>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工    期</w:t>
            </w:r>
          </w:p>
        </w:tc>
        <w:tc>
          <w:tcPr>
            <w:tcW w:w="3491" w:type="pct"/>
            <w:vAlign w:val="center"/>
          </w:tcPr>
          <w:p w14:paraId="6075F8DA">
            <w:pPr>
              <w:snapToGrid w:val="0"/>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Cs/>
                <w:color w:val="auto"/>
                <w:kern w:val="2"/>
                <w:sz w:val="24"/>
                <w:szCs w:val="24"/>
                <w:highlight w:val="none"/>
              </w:rPr>
              <w:t>接开工令后</w:t>
            </w:r>
            <w:r>
              <w:rPr>
                <w:rFonts w:hint="eastAsia" w:cs="宋体" w:asciiTheme="minorEastAsia" w:hAnsiTheme="minorEastAsia" w:eastAsiaTheme="minorEastAsia"/>
                <w:bCs/>
                <w:color w:val="auto"/>
                <w:kern w:val="2"/>
                <w:sz w:val="24"/>
                <w:szCs w:val="24"/>
                <w:highlight w:val="none"/>
                <w:u w:val="single"/>
              </w:rPr>
              <w:t xml:space="preserve">  </w:t>
            </w:r>
            <w:r>
              <w:rPr>
                <w:rFonts w:hint="eastAsia" w:cs="宋体" w:asciiTheme="minorEastAsia" w:hAnsiTheme="minorEastAsia" w:eastAsiaTheme="minorEastAsia"/>
                <w:bCs/>
                <w:color w:val="auto"/>
                <w:kern w:val="2"/>
                <w:sz w:val="24"/>
                <w:szCs w:val="24"/>
                <w:highlight w:val="none"/>
                <w:u w:val="single"/>
                <w:lang w:val="en-US" w:eastAsia="zh-CN"/>
              </w:rPr>
              <w:t xml:space="preserve">  </w:t>
            </w:r>
            <w:r>
              <w:rPr>
                <w:rFonts w:hint="eastAsia" w:cs="宋体" w:asciiTheme="minorEastAsia" w:hAnsiTheme="minorEastAsia" w:eastAsiaTheme="minorEastAsia"/>
                <w:bCs/>
                <w:color w:val="auto"/>
                <w:kern w:val="2"/>
                <w:sz w:val="24"/>
                <w:szCs w:val="24"/>
                <w:highlight w:val="none"/>
                <w:u w:val="single"/>
              </w:rPr>
              <w:t xml:space="preserve">  </w:t>
            </w:r>
            <w:r>
              <w:rPr>
                <w:rFonts w:hint="eastAsia" w:cs="宋体" w:asciiTheme="minorEastAsia" w:hAnsiTheme="minorEastAsia" w:eastAsiaTheme="minorEastAsia"/>
                <w:bCs/>
                <w:color w:val="auto"/>
                <w:kern w:val="2"/>
                <w:sz w:val="24"/>
                <w:szCs w:val="24"/>
                <w:highlight w:val="none"/>
                <w:u w:val="single"/>
                <w:lang w:val="en-US" w:eastAsia="zh-CN"/>
              </w:rPr>
              <w:t>个</w:t>
            </w:r>
            <w:r>
              <w:rPr>
                <w:rFonts w:hint="eastAsia" w:cs="宋体" w:asciiTheme="minorEastAsia" w:hAnsiTheme="minorEastAsia" w:eastAsiaTheme="minorEastAsia"/>
                <w:bCs/>
                <w:color w:val="auto"/>
                <w:kern w:val="2"/>
                <w:sz w:val="24"/>
                <w:szCs w:val="24"/>
                <w:highlight w:val="none"/>
              </w:rPr>
              <w:t>日历天完工</w:t>
            </w:r>
          </w:p>
        </w:tc>
      </w:tr>
      <w:tr w14:paraId="6DBBC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509" w:type="pct"/>
            <w:tcBorders>
              <w:top w:val="single" w:color="auto" w:sz="4" w:space="0"/>
            </w:tcBorders>
            <w:vAlign w:val="center"/>
          </w:tcPr>
          <w:p w14:paraId="7DBED9B7">
            <w:pPr>
              <w:snapToGrid w:val="0"/>
              <w:jc w:val="center"/>
              <w:rPr>
                <w:rFonts w:cs="宋体" w:asciiTheme="minorEastAsia" w:hAnsiTheme="minorEastAsia" w:eastAsiaTheme="minorEastAsia"/>
                <w:b/>
                <w:bCs/>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是否响应付款方式</w:t>
            </w:r>
          </w:p>
        </w:tc>
        <w:tc>
          <w:tcPr>
            <w:tcW w:w="3491" w:type="pct"/>
            <w:vAlign w:val="center"/>
          </w:tcPr>
          <w:p w14:paraId="49B943EB">
            <w:pPr>
              <w:snapToGrid w:val="0"/>
              <w:rPr>
                <w:rFonts w:cs="宋体" w:asciiTheme="minorEastAsia" w:hAnsiTheme="minorEastAsia" w:eastAsiaTheme="minorEastAsia"/>
                <w:bCs/>
                <w:color w:val="auto"/>
                <w:kern w:val="2"/>
                <w:sz w:val="24"/>
                <w:szCs w:val="24"/>
                <w:highlight w:val="none"/>
              </w:rPr>
            </w:pPr>
            <w:r>
              <w:rPr>
                <w:rFonts w:hint="eastAsia" w:cs="宋体" w:asciiTheme="minorEastAsia" w:hAnsiTheme="minorEastAsia" w:eastAsiaTheme="minorEastAsia"/>
                <w:color w:val="auto"/>
                <w:kern w:val="2"/>
                <w:sz w:val="24"/>
                <w:szCs w:val="24"/>
                <w:highlight w:val="none"/>
              </w:rPr>
              <w:t>是□    否□   （划√）</w:t>
            </w:r>
          </w:p>
        </w:tc>
      </w:tr>
      <w:tr w14:paraId="40867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9" w:hRule="atLeast"/>
          <w:jc w:val="center"/>
        </w:trPr>
        <w:tc>
          <w:tcPr>
            <w:tcW w:w="1509" w:type="pct"/>
            <w:vAlign w:val="center"/>
          </w:tcPr>
          <w:p w14:paraId="60D9D98F">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备注说明</w:t>
            </w:r>
          </w:p>
        </w:tc>
        <w:tc>
          <w:tcPr>
            <w:tcW w:w="3491" w:type="pct"/>
          </w:tcPr>
          <w:p w14:paraId="28464961">
            <w:pP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i/>
                <w:color w:val="auto"/>
                <w:kern w:val="2"/>
                <w:sz w:val="24"/>
                <w:szCs w:val="24"/>
                <w:highlight w:val="none"/>
              </w:rPr>
              <w:t>（此处可补充谈判小组根据与供应商谈判情况变动的谈判文件的内容，包括采购需求中的技术、服务要求以及合同草案条款。）</w:t>
            </w:r>
          </w:p>
        </w:tc>
      </w:tr>
      <w:tr w14:paraId="75136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1509" w:type="pct"/>
            <w:vAlign w:val="center"/>
          </w:tcPr>
          <w:p w14:paraId="5E7C306D">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谈判小组签字</w:t>
            </w:r>
          </w:p>
        </w:tc>
        <w:tc>
          <w:tcPr>
            <w:tcW w:w="3491" w:type="pct"/>
          </w:tcPr>
          <w:p w14:paraId="1EE4C22B">
            <w:pPr>
              <w:rPr>
                <w:rFonts w:cs="宋体" w:asciiTheme="minorEastAsia" w:hAnsiTheme="minorEastAsia" w:eastAsiaTheme="minorEastAsia"/>
                <w:b/>
                <w:color w:val="auto"/>
                <w:kern w:val="2"/>
                <w:sz w:val="24"/>
                <w:szCs w:val="24"/>
                <w:highlight w:val="none"/>
              </w:rPr>
            </w:pPr>
          </w:p>
        </w:tc>
      </w:tr>
    </w:tbl>
    <w:p w14:paraId="11262BE6">
      <w:pPr>
        <w:spacing w:line="440" w:lineRule="exact"/>
        <w:ind w:firstLine="3600" w:firstLineChars="1500"/>
        <w:rPr>
          <w:rFonts w:cs="@仿宋_GB2312"/>
          <w:color w:val="auto"/>
          <w:kern w:val="2"/>
          <w:sz w:val="24"/>
          <w:szCs w:val="24"/>
          <w:highlight w:val="none"/>
          <w:u w:val="single"/>
        </w:rPr>
      </w:pPr>
      <w:r>
        <w:rPr>
          <w:rFonts w:hint="eastAsia" w:cs="@仿宋_GB2312"/>
          <w:color w:val="auto"/>
          <w:kern w:val="2"/>
          <w:sz w:val="24"/>
          <w:szCs w:val="24"/>
          <w:highlight w:val="none"/>
        </w:rPr>
        <w:t>供应商公章或授权代表签字：</w:t>
      </w:r>
      <w:r>
        <w:rPr>
          <w:rFonts w:hint="eastAsia" w:cs="@仿宋_GB2312"/>
          <w:color w:val="auto"/>
          <w:kern w:val="2"/>
          <w:sz w:val="24"/>
          <w:szCs w:val="24"/>
          <w:highlight w:val="none"/>
          <w:u w:val="single"/>
        </w:rPr>
        <w:t xml:space="preserve">     </w:t>
      </w:r>
      <w:r>
        <w:rPr>
          <w:rFonts w:cs="@仿宋_GB2312"/>
          <w:color w:val="auto"/>
          <w:kern w:val="2"/>
          <w:sz w:val="24"/>
          <w:szCs w:val="24"/>
          <w:highlight w:val="none"/>
          <w:u w:val="single"/>
        </w:rPr>
        <w:t xml:space="preserve">    </w:t>
      </w:r>
      <w:r>
        <w:rPr>
          <w:rFonts w:hint="eastAsia" w:cs="@仿宋_GB2312"/>
          <w:color w:val="auto"/>
          <w:kern w:val="2"/>
          <w:sz w:val="24"/>
          <w:szCs w:val="24"/>
          <w:highlight w:val="none"/>
          <w:u w:val="single"/>
        </w:rPr>
        <w:t xml:space="preserve">    </w:t>
      </w:r>
    </w:p>
    <w:p w14:paraId="7753BE47">
      <w:pPr>
        <w:spacing w:line="440" w:lineRule="exact"/>
        <w:ind w:firstLine="4800" w:firstLineChars="2000"/>
        <w:rPr>
          <w:rFonts w:cs="宋体" w:asciiTheme="minorEastAsia" w:hAnsiTheme="minorEastAsia" w:eastAsiaTheme="minorEastAsia"/>
          <w:b/>
          <w:bCs/>
          <w:color w:val="auto"/>
          <w:kern w:val="2"/>
          <w:sz w:val="24"/>
          <w:szCs w:val="24"/>
          <w:highlight w:val="none"/>
        </w:rPr>
      </w:pPr>
      <w:r>
        <w:rPr>
          <w:rFonts w:hint="eastAsia" w:cs="@仿宋_GB2312"/>
          <w:color w:val="auto"/>
          <w:kern w:val="2"/>
          <w:sz w:val="24"/>
          <w:szCs w:val="24"/>
          <w:highlight w:val="none"/>
        </w:rPr>
        <w:t xml:space="preserve">日     </w:t>
      </w:r>
      <w:r>
        <w:rPr>
          <w:rFonts w:cs="@仿宋_GB2312"/>
          <w:color w:val="auto"/>
          <w:kern w:val="2"/>
          <w:sz w:val="24"/>
          <w:szCs w:val="24"/>
          <w:highlight w:val="none"/>
        </w:rPr>
        <w:t xml:space="preserve">    </w:t>
      </w:r>
      <w:r>
        <w:rPr>
          <w:rFonts w:hint="eastAsia" w:cs="@仿宋_GB2312"/>
          <w:color w:val="auto"/>
          <w:kern w:val="2"/>
          <w:sz w:val="24"/>
          <w:szCs w:val="24"/>
          <w:highlight w:val="none"/>
        </w:rPr>
        <w:t xml:space="preserve"> 期：</w:t>
      </w:r>
      <w:r>
        <w:rPr>
          <w:rFonts w:hint="eastAsia" w:cs="@仿宋_GB2312"/>
          <w:color w:val="auto"/>
          <w:kern w:val="2"/>
          <w:sz w:val="24"/>
          <w:szCs w:val="24"/>
          <w:highlight w:val="none"/>
          <w:u w:val="single"/>
        </w:rPr>
        <w:t xml:space="preserve">             </w:t>
      </w:r>
    </w:p>
    <w:p w14:paraId="68380C66">
      <w:pPr>
        <w:spacing w:line="360" w:lineRule="auto"/>
        <w:jc w:val="left"/>
        <w:rPr>
          <w:rFonts w:hint="eastAsia" w:cs="宋体" w:asciiTheme="minorEastAsia" w:hAnsiTheme="minorEastAsia" w:eastAsiaTheme="minorEastAsia"/>
          <w:b/>
          <w:bCs/>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注：</w:t>
      </w:r>
    </w:p>
    <w:p w14:paraId="68A4C6B7">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cs="宋体" w:asciiTheme="minorEastAsia" w:hAnsiTheme="minorEastAsia" w:eastAsiaTheme="minorEastAsia"/>
          <w:bCs/>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1.</w:t>
      </w:r>
      <w:r>
        <w:rPr>
          <w:rFonts w:hint="eastAsia" w:cs="@仿宋_GB2312"/>
          <w:b/>
          <w:bCs/>
          <w:color w:val="auto"/>
          <w:kern w:val="2"/>
          <w:sz w:val="24"/>
          <w:highlight w:val="none"/>
        </w:rPr>
        <w:t>本页《报价表》由供应商在接到报价通知后依据谈判情况填写</w:t>
      </w:r>
      <w:r>
        <w:rPr>
          <w:rFonts w:hint="eastAsia" w:cs="@仿宋_GB2312"/>
          <w:b/>
          <w:bCs/>
          <w:color w:val="auto"/>
          <w:kern w:val="2"/>
          <w:sz w:val="24"/>
          <w:highlight w:val="none"/>
          <w:lang w:eastAsia="zh-CN"/>
        </w:rPr>
        <w:t>（</w:t>
      </w:r>
      <w:r>
        <w:rPr>
          <w:rFonts w:hint="eastAsia" w:cs="@仿宋_GB2312"/>
          <w:b/>
          <w:bCs/>
          <w:color w:val="auto"/>
          <w:kern w:val="2"/>
          <w:sz w:val="24"/>
          <w:highlight w:val="none"/>
          <w:lang w:val="en-US" w:eastAsia="zh-CN"/>
        </w:rPr>
        <w:t>现场填写或提前填写</w:t>
      </w:r>
      <w:r>
        <w:rPr>
          <w:rFonts w:hint="eastAsia" w:cs="@仿宋_GB2312"/>
          <w:b/>
          <w:bCs/>
          <w:color w:val="auto"/>
          <w:kern w:val="2"/>
          <w:sz w:val="24"/>
          <w:highlight w:val="none"/>
          <w:lang w:eastAsia="zh-CN"/>
        </w:rPr>
        <w:t>）</w:t>
      </w:r>
      <w:r>
        <w:rPr>
          <w:rFonts w:hint="eastAsia" w:cs="@仿宋_GB2312"/>
          <w:b/>
          <w:bCs/>
          <w:color w:val="auto"/>
          <w:kern w:val="2"/>
          <w:sz w:val="24"/>
          <w:highlight w:val="none"/>
        </w:rPr>
        <w:t>,并在规定时间内提交。</w:t>
      </w:r>
    </w:p>
    <w:p w14:paraId="1749EF7E">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cs="宋体" w:asciiTheme="minorEastAsia" w:hAnsiTheme="minorEastAsia" w:eastAsiaTheme="minorEastAsia"/>
          <w:b/>
          <w:bCs/>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2.表中大写金额与小写金额不一致的，以大写金额为准。</w:t>
      </w:r>
    </w:p>
    <w:p w14:paraId="4990938D">
      <w:pPr>
        <w:widowControl/>
        <w:jc w:val="left"/>
        <w:rPr>
          <w:bCs/>
          <w:color w:val="auto"/>
          <w:sz w:val="24"/>
          <w:highlight w:val="none"/>
        </w:rPr>
      </w:pPr>
      <w:r>
        <w:rPr>
          <w:bCs/>
          <w:color w:val="auto"/>
          <w:sz w:val="24"/>
          <w:highlight w:val="none"/>
        </w:rPr>
        <w:br w:type="page"/>
      </w:r>
    </w:p>
    <w:p w14:paraId="113A6BCE">
      <w:pPr>
        <w:spacing w:line="360" w:lineRule="auto"/>
        <w:jc w:val="center"/>
        <w:outlineLvl w:val="1"/>
        <w:rPr>
          <w:rFonts w:asciiTheme="minorEastAsia" w:hAnsiTheme="minorEastAsia" w:eastAsiaTheme="minorEastAsia"/>
          <w:b/>
          <w:color w:val="auto"/>
          <w:sz w:val="24"/>
          <w:highlight w:val="none"/>
        </w:rPr>
      </w:pPr>
      <w:bookmarkStart w:id="698" w:name="_Toc31006"/>
      <w:bookmarkStart w:id="699" w:name="_Toc16830"/>
      <w:bookmarkStart w:id="700" w:name="_Toc15906"/>
      <w:bookmarkStart w:id="701" w:name="_Hlk44283088"/>
      <w:r>
        <w:rPr>
          <w:rFonts w:hint="eastAsia" w:asciiTheme="minorEastAsia" w:hAnsiTheme="minorEastAsia" w:eastAsiaTheme="minorEastAsia"/>
          <w:b/>
          <w:color w:val="auto"/>
          <w:sz w:val="24"/>
          <w:highlight w:val="none"/>
          <w:lang w:val="en-US" w:eastAsia="zh-CN"/>
        </w:rPr>
        <w:t>八</w:t>
      </w:r>
      <w:r>
        <w:rPr>
          <w:rFonts w:hint="eastAsia" w:asciiTheme="minorEastAsia" w:hAnsiTheme="minorEastAsia" w:eastAsiaTheme="minorEastAsia"/>
          <w:b/>
          <w:color w:val="auto"/>
          <w:sz w:val="24"/>
          <w:highlight w:val="none"/>
        </w:rPr>
        <w:t>、</w:t>
      </w:r>
      <w:bookmarkEnd w:id="698"/>
      <w:bookmarkEnd w:id="699"/>
      <w:bookmarkEnd w:id="700"/>
      <w:r>
        <w:rPr>
          <w:rFonts w:hint="eastAsia" w:asciiTheme="minorEastAsia" w:hAnsiTheme="minorEastAsia" w:eastAsiaTheme="minorEastAsia"/>
          <w:b/>
          <w:color w:val="auto"/>
          <w:sz w:val="24"/>
          <w:highlight w:val="none"/>
          <w:lang w:val="en-US" w:eastAsia="zh-CN"/>
        </w:rPr>
        <w:t>诚信承诺书</w:t>
      </w:r>
    </w:p>
    <w:p w14:paraId="389EE1AF">
      <w:pPr>
        <w:spacing w:line="360" w:lineRule="auto"/>
        <w:rPr>
          <w:rFonts w:cs="@仿宋_GB2312" w:asciiTheme="minorEastAsia" w:hAnsiTheme="minorEastAsia" w:eastAsiaTheme="minorEastAsia"/>
          <w:b/>
          <w:bCs/>
          <w:color w:val="auto"/>
          <w:kern w:val="2"/>
          <w:sz w:val="24"/>
          <w:highlight w:val="none"/>
        </w:rPr>
      </w:pPr>
    </w:p>
    <w:p w14:paraId="4497214E">
      <w:pPr>
        <w:spacing w:line="360" w:lineRule="auto"/>
        <w:rPr>
          <w:rFonts w:hint="eastAsia" w:cs="@仿宋_GB2312" w:asciiTheme="minorEastAsia" w:hAnsiTheme="minorEastAsia" w:eastAsiaTheme="minorEastAsia"/>
          <w:b/>
          <w:bCs/>
          <w:color w:val="auto"/>
          <w:kern w:val="2"/>
          <w:sz w:val="24"/>
          <w:highlight w:val="none"/>
          <w:u w:val="single"/>
          <w:lang w:eastAsia="zh-CN"/>
        </w:rPr>
      </w:pPr>
      <w:r>
        <w:rPr>
          <w:rFonts w:hint="eastAsia" w:cs="@仿宋_GB2312" w:asciiTheme="minorEastAsia" w:hAnsiTheme="minorEastAsia" w:eastAsiaTheme="minorEastAsia"/>
          <w:b/>
          <w:bCs/>
          <w:color w:val="auto"/>
          <w:kern w:val="2"/>
          <w:sz w:val="24"/>
          <w:highlight w:val="none"/>
        </w:rPr>
        <w:t>致：</w:t>
      </w:r>
      <w:r>
        <w:rPr>
          <w:rFonts w:hint="eastAsia" w:cs="@仿宋_GB2312" w:asciiTheme="minorEastAsia" w:hAnsiTheme="minorEastAsia" w:eastAsiaTheme="minorEastAsia"/>
          <w:b/>
          <w:bCs/>
          <w:color w:val="auto"/>
          <w:kern w:val="2"/>
          <w:sz w:val="24"/>
          <w:highlight w:val="none"/>
          <w:u w:val="none"/>
          <w:lang w:eastAsia="zh-CN"/>
        </w:rPr>
        <w:t>采购人</w:t>
      </w:r>
    </w:p>
    <w:p w14:paraId="45FE8388">
      <w:pPr>
        <w:spacing w:line="360" w:lineRule="auto"/>
        <w:ind w:firstLine="480" w:firstLineChars="2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如我单位被确定为本项目成交供应商，我单位承诺在合同签订及履约过程中将严格执行《中华人民共和国政府采购法》、《中华人民共和国政府采购法实施条例》及本项目采购文件中关于合同签订及履约的相关规定，不出现以下情形：</w:t>
      </w:r>
    </w:p>
    <w:p w14:paraId="50DB1414">
      <w:pPr>
        <w:spacing w:line="360" w:lineRule="auto"/>
        <w:ind w:firstLine="480" w:firstLineChars="2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（1）中标或者成交后无正当理由拒不与采购人签订政府采购合同；</w:t>
      </w:r>
    </w:p>
    <w:p w14:paraId="14862AEE">
      <w:pPr>
        <w:spacing w:line="360" w:lineRule="auto"/>
        <w:ind w:firstLine="480" w:firstLineChars="2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（2）未按照采购文件确定的事项签订政府采购合同；</w:t>
      </w:r>
    </w:p>
    <w:p w14:paraId="2ECBF448">
      <w:pPr>
        <w:spacing w:line="360" w:lineRule="auto"/>
        <w:ind w:firstLine="480" w:firstLineChars="2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（3）将政府采购合同转包；</w:t>
      </w:r>
    </w:p>
    <w:p w14:paraId="71E52764">
      <w:pPr>
        <w:spacing w:line="360" w:lineRule="auto"/>
        <w:ind w:firstLine="480" w:firstLineChars="2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（4）提供假冒伪劣产品；</w:t>
      </w:r>
    </w:p>
    <w:p w14:paraId="4D373E7A">
      <w:pPr>
        <w:spacing w:line="360" w:lineRule="auto"/>
        <w:ind w:firstLine="480" w:firstLineChars="2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（5）擅自变更、中止或者终止政府采购合同。</w:t>
      </w:r>
    </w:p>
    <w:p w14:paraId="22B787D8">
      <w:pPr>
        <w:spacing w:line="360" w:lineRule="auto"/>
        <w:ind w:firstLine="480" w:firstLineChars="2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本单位知悉如出现上述情形，将会被依法追究法律责任，可能的处理结果有：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1A71E6F0">
      <w:pPr>
        <w:spacing w:line="360" w:lineRule="auto"/>
        <w:rPr>
          <w:rFonts w:cs="@仿宋_GB2312" w:asciiTheme="minorEastAsia" w:hAnsiTheme="minorEastAsia" w:eastAsiaTheme="minorEastAsia"/>
          <w:bCs/>
          <w:color w:val="auto"/>
          <w:kern w:val="2"/>
          <w:sz w:val="24"/>
          <w:highlight w:val="none"/>
        </w:rPr>
      </w:pPr>
    </w:p>
    <w:p w14:paraId="54A04228">
      <w:pPr>
        <w:spacing w:line="360" w:lineRule="auto"/>
        <w:rPr>
          <w:rFonts w:cs="@仿宋_GB2312" w:asciiTheme="minorEastAsia" w:hAnsiTheme="minorEastAsia" w:eastAsiaTheme="minorEastAsia"/>
          <w:bCs/>
          <w:color w:val="auto"/>
          <w:kern w:val="2"/>
          <w:sz w:val="24"/>
          <w:highlight w:val="none"/>
        </w:rPr>
      </w:pPr>
    </w:p>
    <w:p w14:paraId="61F5333F">
      <w:pPr>
        <w:spacing w:line="360" w:lineRule="auto"/>
        <w:ind w:firstLine="4320" w:firstLineChars="1800"/>
        <w:rPr>
          <w:rFonts w:cs="@仿宋_GB2312" w:asciiTheme="minorEastAsia" w:hAnsiTheme="minorEastAsia" w:eastAsiaTheme="minorEastAsia"/>
          <w:bCs/>
          <w:color w:val="auto"/>
          <w:kern w:val="2"/>
          <w:sz w:val="24"/>
          <w:highlight w:val="none"/>
          <w:u w:val="single"/>
        </w:rPr>
      </w:pPr>
      <w:r>
        <w:rPr>
          <w:rFonts w:hint="eastAsia" w:cs="@仿宋_GB2312" w:asciiTheme="minorEastAsia" w:hAnsiTheme="minorEastAsia" w:eastAsiaTheme="minorEastAsia"/>
          <w:bCs/>
          <w:color w:val="auto"/>
          <w:kern w:val="2"/>
          <w:sz w:val="24"/>
          <w:highlight w:val="none"/>
          <w:lang w:eastAsia="zh-CN"/>
        </w:rPr>
        <w:t>供应商公章</w:t>
      </w:r>
      <w:r>
        <w:rPr>
          <w:rFonts w:hint="eastAsia" w:cs="@仿宋_GB2312" w:asciiTheme="minorEastAsia" w:hAnsiTheme="minorEastAsia" w:eastAsiaTheme="minorEastAsia"/>
          <w:bCs/>
          <w:color w:val="auto"/>
          <w:kern w:val="2"/>
          <w:sz w:val="24"/>
          <w:highlight w:val="none"/>
        </w:rPr>
        <w:t>：</w:t>
      </w:r>
      <w:r>
        <w:rPr>
          <w:rFonts w:hint="eastAsia" w:cs="@仿宋_GB2312" w:asciiTheme="minorEastAsia" w:hAnsiTheme="minorEastAsia" w:eastAsiaTheme="minorEastAsia"/>
          <w:bCs/>
          <w:color w:val="auto"/>
          <w:kern w:val="2"/>
          <w:sz w:val="24"/>
          <w:highlight w:val="none"/>
          <w:u w:val="single"/>
        </w:rPr>
        <w:t xml:space="preserve">     </w:t>
      </w:r>
      <w:r>
        <w:rPr>
          <w:rFonts w:cs="@仿宋_GB2312" w:asciiTheme="minorEastAsia" w:hAnsiTheme="minorEastAsia" w:eastAsiaTheme="minorEastAsia"/>
          <w:bCs/>
          <w:color w:val="auto"/>
          <w:kern w:val="2"/>
          <w:sz w:val="24"/>
          <w:highlight w:val="none"/>
          <w:u w:val="single"/>
        </w:rPr>
        <w:t xml:space="preserve">    </w:t>
      </w:r>
      <w:r>
        <w:rPr>
          <w:rFonts w:hint="eastAsia" w:cs="@仿宋_GB2312" w:asciiTheme="minorEastAsia" w:hAnsiTheme="minorEastAsia" w:eastAsiaTheme="minorEastAsia"/>
          <w:bCs/>
          <w:color w:val="auto"/>
          <w:kern w:val="2"/>
          <w:sz w:val="24"/>
          <w:highlight w:val="none"/>
          <w:u w:val="single"/>
        </w:rPr>
        <w:t xml:space="preserve">    </w:t>
      </w:r>
    </w:p>
    <w:p w14:paraId="3E17E952">
      <w:pPr>
        <w:spacing w:line="360" w:lineRule="auto"/>
        <w:ind w:firstLine="4320" w:firstLineChars="1800"/>
        <w:rPr>
          <w:rFonts w:asciiTheme="minorEastAsia" w:hAnsiTheme="minorEastAsia" w:eastAsiaTheme="minorEastAsia"/>
          <w:b/>
          <w:color w:val="auto"/>
          <w:sz w:val="24"/>
          <w:highlight w:val="none"/>
        </w:rPr>
      </w:pPr>
      <w:r>
        <w:rPr>
          <w:rFonts w:hint="eastAsia" w:cs="@仿宋_GB2312" w:asciiTheme="minorEastAsia" w:hAnsiTheme="minorEastAsia" w:eastAsiaTheme="minorEastAsia"/>
          <w:bCs/>
          <w:color w:val="auto"/>
          <w:kern w:val="2"/>
          <w:sz w:val="24"/>
          <w:highlight w:val="none"/>
        </w:rPr>
        <w:t>日      期：</w:t>
      </w:r>
      <w:r>
        <w:rPr>
          <w:rFonts w:hint="eastAsia" w:cs="@仿宋_GB2312" w:asciiTheme="minorEastAsia" w:hAnsiTheme="minorEastAsia" w:eastAsiaTheme="minorEastAsia"/>
          <w:bCs/>
          <w:color w:val="auto"/>
          <w:kern w:val="2"/>
          <w:sz w:val="24"/>
          <w:highlight w:val="none"/>
          <w:u w:val="single"/>
        </w:rPr>
        <w:t xml:space="preserve">             </w:t>
      </w:r>
    </w:p>
    <w:p w14:paraId="4169828B">
      <w:pPr>
        <w:widowControl/>
        <w:jc w:val="left"/>
        <w:rPr>
          <w:rFonts w:asciiTheme="minorEastAsia" w:hAnsiTheme="minorEastAsia" w:eastAsiaTheme="minorEastAsia"/>
          <w:b/>
          <w:color w:val="auto"/>
          <w:sz w:val="24"/>
          <w:highlight w:val="none"/>
        </w:rPr>
      </w:pPr>
      <w:r>
        <w:rPr>
          <w:rFonts w:asciiTheme="minorEastAsia" w:hAnsiTheme="minorEastAsia" w:eastAsiaTheme="minorEastAsia"/>
          <w:b/>
          <w:color w:val="auto"/>
          <w:sz w:val="24"/>
          <w:highlight w:val="none"/>
        </w:rPr>
        <w:br w:type="page"/>
      </w:r>
    </w:p>
    <w:bookmarkEnd w:id="701"/>
    <w:p w14:paraId="36542E32">
      <w:pPr>
        <w:spacing w:line="360" w:lineRule="auto"/>
        <w:jc w:val="center"/>
        <w:outlineLvl w:val="1"/>
        <w:rPr>
          <w:rFonts w:asciiTheme="minorEastAsia" w:hAnsiTheme="minorEastAsia" w:eastAsiaTheme="minorEastAsia"/>
          <w:b/>
          <w:color w:val="auto"/>
          <w:sz w:val="24"/>
          <w:highlight w:val="none"/>
        </w:rPr>
      </w:pPr>
      <w:bookmarkStart w:id="702" w:name="_Toc22005"/>
      <w:bookmarkStart w:id="703" w:name="_Toc6061"/>
      <w:bookmarkStart w:id="704" w:name="_Toc13419"/>
      <w:r>
        <w:rPr>
          <w:rFonts w:hint="eastAsia" w:asciiTheme="minorEastAsia" w:hAnsiTheme="minorEastAsia" w:eastAsiaTheme="minorEastAsia"/>
          <w:b/>
          <w:color w:val="auto"/>
          <w:sz w:val="24"/>
          <w:highlight w:val="none"/>
          <w:lang w:val="en-US" w:eastAsia="zh-CN"/>
        </w:rPr>
        <w:t>十</w:t>
      </w:r>
      <w:r>
        <w:rPr>
          <w:rFonts w:hint="eastAsia" w:asciiTheme="minorEastAsia" w:hAnsiTheme="minorEastAsia" w:eastAsiaTheme="minorEastAsia"/>
          <w:b/>
          <w:color w:val="auto"/>
          <w:sz w:val="24"/>
          <w:highlight w:val="none"/>
        </w:rPr>
        <w:t>、其他相关证明材料</w:t>
      </w:r>
      <w:bookmarkEnd w:id="702"/>
      <w:bookmarkEnd w:id="703"/>
      <w:bookmarkEnd w:id="704"/>
    </w:p>
    <w:p w14:paraId="29DA8004">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提供符合</w:t>
      </w:r>
      <w:r>
        <w:rPr>
          <w:rFonts w:hint="eastAsia" w:asciiTheme="minorEastAsia" w:hAnsiTheme="minorEastAsia" w:eastAsiaTheme="minorEastAsia"/>
          <w:color w:val="auto"/>
          <w:sz w:val="24"/>
          <w:highlight w:val="none"/>
          <w:lang w:val="en-US" w:eastAsia="zh-CN"/>
        </w:rPr>
        <w:t>谈判</w:t>
      </w:r>
      <w:r>
        <w:rPr>
          <w:rFonts w:hint="eastAsia" w:asciiTheme="minorEastAsia" w:hAnsiTheme="minorEastAsia" w:eastAsiaTheme="minorEastAsia"/>
          <w:color w:val="auto"/>
          <w:sz w:val="24"/>
          <w:highlight w:val="none"/>
        </w:rPr>
        <w:t>邀请、采购需求及评标方法和标准规定的相关证明文件。</w:t>
      </w:r>
    </w:p>
    <w:p w14:paraId="5781DD11">
      <w:pPr>
        <w:spacing w:line="360" w:lineRule="auto"/>
        <w:ind w:firstLine="480" w:firstLineChars="200"/>
        <w:rPr>
          <w:rFonts w:asciiTheme="minorEastAsia" w:hAnsiTheme="minorEastAsia" w:eastAsiaTheme="minorEastAsia"/>
          <w:color w:val="auto"/>
          <w:sz w:val="24"/>
          <w:highlight w:val="none"/>
        </w:rPr>
      </w:pPr>
    </w:p>
    <w:p w14:paraId="521FA632">
      <w:pPr>
        <w:spacing w:line="360" w:lineRule="auto"/>
        <w:ind w:firstLine="435"/>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特别提示：</w:t>
      </w:r>
    </w:p>
    <w:p w14:paraId="1DE27E24">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供应商在响应文件</w:t>
      </w:r>
      <w:r>
        <w:rPr>
          <w:rFonts w:hint="eastAsia" w:asciiTheme="minorEastAsia" w:hAnsiTheme="minorEastAsia" w:eastAsiaTheme="minorEastAsia"/>
          <w:color w:val="auto"/>
          <w:sz w:val="24"/>
          <w:highlight w:val="none"/>
          <w:lang w:val="en-US" w:eastAsia="zh-CN"/>
        </w:rPr>
        <w:t>制作中</w:t>
      </w:r>
      <w:r>
        <w:rPr>
          <w:rFonts w:hint="eastAsia" w:asciiTheme="minorEastAsia" w:hAnsiTheme="minorEastAsia" w:eastAsiaTheme="minorEastAsia"/>
          <w:color w:val="auto"/>
          <w:sz w:val="24"/>
          <w:highlight w:val="none"/>
        </w:rPr>
        <w:t>，如营业执照</w:t>
      </w:r>
      <w:r>
        <w:rPr>
          <w:rFonts w:hint="eastAsia" w:asciiTheme="minorEastAsia" w:hAnsiTheme="minorEastAsia" w:eastAsiaTheme="minorEastAsia"/>
          <w:color w:val="auto"/>
          <w:sz w:val="24"/>
          <w:highlight w:val="none"/>
          <w:lang w:eastAsia="zh-CN"/>
        </w:rPr>
        <w:t>、</w:t>
      </w:r>
      <w:r>
        <w:rPr>
          <w:rFonts w:hint="eastAsia" w:asciiTheme="minorEastAsia" w:hAnsiTheme="minorEastAsia" w:eastAsiaTheme="minorEastAsia"/>
          <w:color w:val="auto"/>
          <w:sz w:val="24"/>
          <w:highlight w:val="none"/>
        </w:rPr>
        <w:t>证书等</w:t>
      </w:r>
      <w:r>
        <w:rPr>
          <w:rFonts w:hint="eastAsia" w:asciiTheme="minorEastAsia" w:hAnsiTheme="minorEastAsia" w:eastAsiaTheme="minorEastAsia"/>
          <w:color w:val="auto"/>
          <w:sz w:val="24"/>
          <w:highlight w:val="none"/>
          <w:lang w:val="en-US" w:eastAsia="zh-CN"/>
        </w:rPr>
        <w:t>资料提供证明材料</w:t>
      </w:r>
      <w:r>
        <w:rPr>
          <w:rFonts w:hint="eastAsia" w:ascii="宋体" w:hAnsi="宋体" w:eastAsia="宋体" w:cs="宋体"/>
          <w:b/>
          <w:bCs/>
          <w:color w:val="000000"/>
          <w:kern w:val="0"/>
          <w:sz w:val="24"/>
          <w:szCs w:val="24"/>
          <w:highlight w:val="none"/>
          <w:lang w:val="en-US" w:eastAsia="zh-CN" w:bidi="ar"/>
        </w:rPr>
        <w:t>复印件并加盖供应商公章。</w:t>
      </w:r>
    </w:p>
    <w:p w14:paraId="3685EE14">
      <w:pPr>
        <w:pStyle w:val="50"/>
        <w:spacing w:before="0" w:beforeAutospacing="0" w:after="0" w:afterAutospacing="0" w:line="360" w:lineRule="auto"/>
        <w:ind w:firstLine="640"/>
        <w:jc w:val="both"/>
        <w:rPr>
          <w:color w:val="auto"/>
          <w:highlight w:val="none"/>
        </w:rPr>
      </w:pPr>
      <w:r>
        <w:rPr>
          <w:rFonts w:asciiTheme="minorEastAsia" w:hAnsiTheme="minorEastAsia" w:eastAsiaTheme="minorEastAsia"/>
          <w:color w:val="auto"/>
          <w:sz w:val="24"/>
          <w:highlight w:val="none"/>
        </w:rPr>
        <w:br w:type="page"/>
      </w:r>
    </w:p>
    <w:p w14:paraId="73180FEE">
      <w:pPr>
        <w:widowControl/>
        <w:jc w:val="left"/>
        <w:rPr>
          <w:bCs/>
          <w:color w:val="auto"/>
          <w:sz w:val="24"/>
          <w:highlight w:val="none"/>
        </w:rPr>
      </w:pPr>
    </w:p>
    <w:p w14:paraId="771869F2">
      <w:pPr>
        <w:spacing w:line="360" w:lineRule="auto"/>
        <w:jc w:val="center"/>
        <w:outlineLvl w:val="0"/>
        <w:rPr>
          <w:b/>
          <w:bCs/>
          <w:color w:val="auto"/>
          <w:sz w:val="28"/>
          <w:highlight w:val="none"/>
        </w:rPr>
      </w:pPr>
      <w:bookmarkStart w:id="705" w:name="_Toc9928"/>
      <w:bookmarkStart w:id="706" w:name="_Toc921"/>
      <w:bookmarkStart w:id="707" w:name="_Toc7675"/>
      <w:r>
        <w:rPr>
          <w:rFonts w:hint="eastAsia"/>
          <w:b/>
          <w:bCs/>
          <w:color w:val="auto"/>
          <w:sz w:val="28"/>
          <w:highlight w:val="none"/>
        </w:rPr>
        <w:t>第</w:t>
      </w:r>
      <w:r>
        <w:rPr>
          <w:rFonts w:hint="eastAsia"/>
          <w:b/>
          <w:bCs/>
          <w:color w:val="auto"/>
          <w:sz w:val="28"/>
          <w:highlight w:val="none"/>
          <w:lang w:val="en-US" w:eastAsia="zh-CN"/>
        </w:rPr>
        <w:t>七</w:t>
      </w:r>
      <w:r>
        <w:rPr>
          <w:rFonts w:hint="eastAsia"/>
          <w:b/>
          <w:bCs/>
          <w:color w:val="auto"/>
          <w:sz w:val="28"/>
          <w:highlight w:val="none"/>
        </w:rPr>
        <w:t>章  政府采购</w:t>
      </w:r>
      <w:r>
        <w:rPr>
          <w:rFonts w:hint="eastAsia" w:asciiTheme="minorEastAsia" w:hAnsiTheme="minorEastAsia" w:eastAsiaTheme="minorEastAsia"/>
          <w:b/>
          <w:color w:val="auto"/>
          <w:sz w:val="28"/>
          <w:highlight w:val="none"/>
        </w:rPr>
        <w:t>供应</w:t>
      </w:r>
      <w:r>
        <w:rPr>
          <w:rFonts w:hint="eastAsia"/>
          <w:b/>
          <w:bCs/>
          <w:color w:val="auto"/>
          <w:sz w:val="28"/>
          <w:highlight w:val="none"/>
        </w:rPr>
        <w:t>商询问函和质疑函范本</w:t>
      </w:r>
      <w:bookmarkEnd w:id="705"/>
      <w:bookmarkEnd w:id="706"/>
      <w:bookmarkEnd w:id="707"/>
    </w:p>
    <w:p w14:paraId="35311331">
      <w:pPr>
        <w:spacing w:line="360" w:lineRule="auto"/>
        <w:jc w:val="center"/>
        <w:outlineLvl w:val="1"/>
        <w:rPr>
          <w:rFonts w:ascii="仿宋" w:hAnsi="仿宋" w:eastAsia="仿宋" w:cs="仿宋"/>
          <w:b/>
          <w:bCs/>
          <w:color w:val="auto"/>
          <w:sz w:val="32"/>
          <w:szCs w:val="44"/>
          <w:highlight w:val="none"/>
        </w:rPr>
      </w:pPr>
      <w:bookmarkStart w:id="708" w:name="_Toc30776"/>
      <w:bookmarkStart w:id="709" w:name="_Toc372"/>
      <w:bookmarkStart w:id="710" w:name="_Toc7450"/>
      <w:r>
        <w:rPr>
          <w:rFonts w:hint="eastAsia" w:ascii="仿宋" w:hAnsi="仿宋" w:eastAsia="仿宋" w:cs="仿宋"/>
          <w:b/>
          <w:bCs/>
          <w:color w:val="auto"/>
          <w:sz w:val="32"/>
          <w:szCs w:val="44"/>
          <w:highlight w:val="none"/>
        </w:rPr>
        <w:t>询问函范本</w:t>
      </w:r>
      <w:bookmarkEnd w:id="708"/>
      <w:bookmarkEnd w:id="709"/>
      <w:bookmarkEnd w:id="710"/>
    </w:p>
    <w:p w14:paraId="1B7B7E86">
      <w:pPr>
        <w:adjustRightInd w:val="0"/>
        <w:snapToGrid w:val="0"/>
        <w:spacing w:line="360" w:lineRule="auto"/>
        <w:rPr>
          <w:rFonts w:hint="eastAsia" w:cs="仿宋" w:asciiTheme="minorEastAsia" w:hAnsiTheme="minorEastAsia" w:eastAsiaTheme="minorEastAsia"/>
          <w:color w:val="auto"/>
          <w:sz w:val="24"/>
          <w:szCs w:val="24"/>
          <w:lang w:eastAsia="zh-CN"/>
        </w:rPr>
      </w:pPr>
      <w:r>
        <w:rPr>
          <w:rFonts w:hint="eastAsia" w:cs="仿宋" w:asciiTheme="minorEastAsia" w:hAnsiTheme="minorEastAsia" w:eastAsiaTheme="minorEastAsia"/>
          <w:color w:val="auto"/>
          <w:sz w:val="24"/>
          <w:szCs w:val="24"/>
          <w:highlight w:val="none"/>
          <w:lang w:val="en-US" w:eastAsia="zh-CN"/>
        </w:rPr>
        <w:t>致：</w:t>
      </w:r>
      <w:r>
        <w:rPr>
          <w:rFonts w:hint="eastAsia" w:cs="仿宋" w:asciiTheme="minorEastAsia" w:hAnsiTheme="minorEastAsia" w:eastAsiaTheme="minorEastAsia"/>
          <w:color w:val="auto"/>
          <w:sz w:val="24"/>
          <w:szCs w:val="24"/>
          <w:highlight w:val="none"/>
          <w:lang w:eastAsia="zh-CN"/>
        </w:rPr>
        <w:t>采购人</w:t>
      </w:r>
    </w:p>
    <w:p w14:paraId="6175C8FF">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rPr>
        <w:t>我单位拟参与</w:t>
      </w:r>
      <w:r>
        <w:rPr>
          <w:rFonts w:hint="eastAsia" w:cs="仿宋" w:asciiTheme="minorEastAsia" w:hAnsiTheme="minorEastAsia" w:eastAsiaTheme="minorEastAsia"/>
          <w:color w:val="auto"/>
          <w:sz w:val="24"/>
          <w:szCs w:val="24"/>
          <w:u w:val="single"/>
          <w:lang w:val="en-US" w:eastAsia="zh-CN"/>
        </w:rPr>
        <w:t xml:space="preserve">           </w:t>
      </w:r>
      <w:r>
        <w:rPr>
          <w:rFonts w:hint="eastAsia" w:cs="仿宋" w:asciiTheme="minorEastAsia" w:hAnsiTheme="minorEastAsia" w:eastAsiaTheme="minorEastAsia"/>
          <w:color w:val="auto"/>
          <w:sz w:val="24"/>
          <w:szCs w:val="24"/>
          <w:u w:val="none"/>
          <w:lang w:val="en-US" w:eastAsia="zh-CN"/>
        </w:rPr>
        <w:t>（</w:t>
      </w:r>
      <w:r>
        <w:rPr>
          <w:rFonts w:hint="eastAsia" w:cs="仿宋" w:asciiTheme="minorEastAsia" w:hAnsiTheme="minorEastAsia" w:eastAsiaTheme="minorEastAsia"/>
          <w:i/>
          <w:iCs/>
          <w:color w:val="auto"/>
          <w:sz w:val="24"/>
          <w:szCs w:val="24"/>
          <w:u w:val="none"/>
          <w:lang w:val="en-US" w:eastAsia="zh-CN"/>
        </w:rPr>
        <w:t>项目名称、编号</w:t>
      </w:r>
      <w:r>
        <w:rPr>
          <w:rFonts w:hint="eastAsia" w:cs="仿宋" w:asciiTheme="minorEastAsia" w:hAnsiTheme="minorEastAsia" w:eastAsiaTheme="minorEastAsia"/>
          <w:color w:val="auto"/>
          <w:sz w:val="24"/>
          <w:szCs w:val="24"/>
          <w:u w:val="none"/>
          <w:lang w:val="en-US" w:eastAsia="zh-CN"/>
        </w:rPr>
        <w:t>）</w:t>
      </w:r>
      <w:r>
        <w:rPr>
          <w:rFonts w:hint="eastAsia" w:cs="仿宋" w:asciiTheme="minorEastAsia" w:hAnsiTheme="minorEastAsia" w:eastAsiaTheme="minorEastAsia"/>
          <w:color w:val="auto"/>
          <w:sz w:val="24"/>
          <w:szCs w:val="24"/>
        </w:rPr>
        <w:t>的采购活动，现有以下内容(或条款)存在疑问(或无法理解)，</w:t>
      </w:r>
      <w:r>
        <w:rPr>
          <w:rFonts w:hint="eastAsia" w:cs="仿宋" w:asciiTheme="minorEastAsia" w:hAnsiTheme="minorEastAsia" w:eastAsiaTheme="minorEastAsia"/>
          <w:color w:val="auto"/>
          <w:sz w:val="24"/>
          <w:szCs w:val="24"/>
          <w:highlight w:val="none"/>
        </w:rPr>
        <w:t>特提出询问。</w:t>
      </w:r>
    </w:p>
    <w:p w14:paraId="38ED4558">
      <w:pPr>
        <w:adjustRightInd w:val="0"/>
        <w:snapToGrid w:val="0"/>
        <w:spacing w:line="360" w:lineRule="auto"/>
        <w:ind w:firstLine="480" w:firstLineChars="200"/>
        <w:outlineLvl w:val="9"/>
        <w:rPr>
          <w:rFonts w:cs="仿宋" w:asciiTheme="minorEastAsia" w:hAnsiTheme="minorEastAsia" w:eastAsiaTheme="minorEastAsia"/>
          <w:color w:val="auto"/>
          <w:sz w:val="24"/>
          <w:szCs w:val="24"/>
          <w:highlight w:val="none"/>
        </w:rPr>
      </w:pPr>
      <w:bookmarkStart w:id="711" w:name="_Toc13620"/>
      <w:r>
        <w:rPr>
          <w:rFonts w:hint="eastAsia" w:cs="仿宋" w:asciiTheme="minorEastAsia" w:hAnsiTheme="minorEastAsia" w:eastAsiaTheme="minorEastAsia"/>
          <w:color w:val="auto"/>
          <w:sz w:val="24"/>
          <w:szCs w:val="24"/>
          <w:highlight w:val="none"/>
        </w:rPr>
        <w:t>一、(事项一)</w:t>
      </w:r>
      <w:bookmarkEnd w:id="711"/>
    </w:p>
    <w:p w14:paraId="17A47868">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1、(内容或条款)</w:t>
      </w:r>
    </w:p>
    <w:p w14:paraId="7BD7CED1">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2、(说明疑问或无法理解原因)</w:t>
      </w:r>
    </w:p>
    <w:p w14:paraId="444B9B79">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3、(建议)</w:t>
      </w:r>
    </w:p>
    <w:p w14:paraId="536D445A">
      <w:pPr>
        <w:adjustRightInd w:val="0"/>
        <w:snapToGrid w:val="0"/>
        <w:spacing w:line="360" w:lineRule="auto"/>
        <w:ind w:firstLine="480" w:firstLineChars="200"/>
        <w:outlineLvl w:val="9"/>
        <w:rPr>
          <w:rFonts w:cs="仿宋" w:asciiTheme="minorEastAsia" w:hAnsiTheme="minorEastAsia" w:eastAsiaTheme="minorEastAsia"/>
          <w:color w:val="auto"/>
          <w:sz w:val="24"/>
          <w:szCs w:val="24"/>
          <w:highlight w:val="none"/>
        </w:rPr>
      </w:pPr>
      <w:bookmarkStart w:id="712" w:name="_Toc14277"/>
      <w:r>
        <w:rPr>
          <w:rFonts w:hint="eastAsia" w:cs="仿宋" w:asciiTheme="minorEastAsia" w:hAnsiTheme="minorEastAsia" w:eastAsiaTheme="minorEastAsia"/>
          <w:color w:val="auto"/>
          <w:sz w:val="24"/>
          <w:szCs w:val="24"/>
          <w:highlight w:val="none"/>
        </w:rPr>
        <w:t>二、(事项二)</w:t>
      </w:r>
      <w:bookmarkEnd w:id="712"/>
    </w:p>
    <w:p w14:paraId="19646FAD">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w:t>
      </w:r>
    </w:p>
    <w:p w14:paraId="37013094">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 xml:space="preserve">随附相关证明材料如下： </w:t>
      </w:r>
    </w:p>
    <w:p w14:paraId="78EA1A2B">
      <w:pPr>
        <w:spacing w:line="360" w:lineRule="auto"/>
        <w:ind w:firstLine="4228" w:firstLineChars="1762"/>
        <w:rPr>
          <w:rFonts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联 系 人：</w:t>
      </w:r>
      <w:r>
        <w:rPr>
          <w:rFonts w:hint="eastAsia" w:asciiTheme="minorEastAsia" w:hAnsiTheme="minorEastAsia" w:eastAsiaTheme="minorEastAsia"/>
          <w:color w:val="auto"/>
          <w:sz w:val="24"/>
          <w:highlight w:val="none"/>
          <w:u w:val="single"/>
        </w:rPr>
        <w:t xml:space="preserve">              </w:t>
      </w:r>
    </w:p>
    <w:p w14:paraId="5A74CB85">
      <w:pPr>
        <w:spacing w:line="360" w:lineRule="auto"/>
        <w:ind w:firstLine="4228" w:firstLineChars="1762"/>
        <w:rPr>
          <w:rFonts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联系电话：</w:t>
      </w:r>
      <w:r>
        <w:rPr>
          <w:rFonts w:hint="eastAsia" w:asciiTheme="minorEastAsia" w:hAnsiTheme="minorEastAsia" w:eastAsiaTheme="minorEastAsia"/>
          <w:color w:val="auto"/>
          <w:sz w:val="24"/>
          <w:highlight w:val="none"/>
          <w:u w:val="single"/>
        </w:rPr>
        <w:t xml:space="preserve">              </w:t>
      </w:r>
    </w:p>
    <w:p w14:paraId="5FCB3B3E">
      <w:pPr>
        <w:tabs>
          <w:tab w:val="left" w:pos="630"/>
        </w:tabs>
        <w:spacing w:line="360" w:lineRule="auto"/>
        <w:ind w:firstLine="4228" w:firstLineChars="1762"/>
        <w:rPr>
          <w:rFonts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日    期：</w:t>
      </w:r>
      <w:r>
        <w:rPr>
          <w:rFonts w:hint="eastAsia" w:asciiTheme="minorEastAsia" w:hAnsiTheme="minorEastAsia" w:eastAsiaTheme="minorEastAsia"/>
          <w:color w:val="auto"/>
          <w:sz w:val="24"/>
          <w:highlight w:val="none"/>
          <w:u w:val="single"/>
        </w:rPr>
        <w:t xml:space="preserve">       </w:t>
      </w:r>
      <w:r>
        <w:rPr>
          <w:rFonts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u w:val="single"/>
        </w:rPr>
        <w:t xml:space="preserve">    </w:t>
      </w:r>
    </w:p>
    <w:p w14:paraId="7B0D46C8">
      <w:pPr>
        <w:rPr>
          <w:rFonts w:asciiTheme="minorEastAsia" w:hAnsiTheme="minorEastAsia" w:eastAsiaTheme="minorEastAsia"/>
          <w:b/>
          <w:color w:val="auto"/>
          <w:sz w:val="52"/>
          <w:highlight w:val="none"/>
        </w:rPr>
      </w:pPr>
      <w:r>
        <w:rPr>
          <w:rFonts w:hint="eastAsia" w:ascii="仿宋" w:hAnsi="仿宋" w:eastAsia="仿宋" w:cs="仿宋"/>
          <w:b/>
          <w:bCs/>
          <w:color w:val="auto"/>
          <w:sz w:val="32"/>
          <w:szCs w:val="44"/>
          <w:highlight w:val="none"/>
        </w:rPr>
        <w:br w:type="page"/>
      </w:r>
    </w:p>
    <w:p w14:paraId="6BEF0323">
      <w:pPr>
        <w:jc w:val="center"/>
        <w:outlineLvl w:val="1"/>
        <w:rPr>
          <w:rFonts w:ascii="仿宋" w:hAnsi="仿宋" w:eastAsia="仿宋" w:cs="仿宋"/>
          <w:b/>
          <w:bCs/>
          <w:color w:val="auto"/>
          <w:sz w:val="32"/>
          <w:szCs w:val="44"/>
          <w:highlight w:val="none"/>
        </w:rPr>
      </w:pPr>
      <w:bookmarkStart w:id="713" w:name="_Toc16939"/>
      <w:bookmarkStart w:id="714" w:name="_Toc24278"/>
      <w:bookmarkStart w:id="715" w:name="_Toc28125"/>
      <w:r>
        <w:rPr>
          <w:rFonts w:hint="eastAsia" w:ascii="仿宋" w:hAnsi="仿宋" w:eastAsia="仿宋" w:cs="仿宋"/>
          <w:b/>
          <w:bCs/>
          <w:color w:val="auto"/>
          <w:sz w:val="32"/>
          <w:szCs w:val="44"/>
          <w:highlight w:val="none"/>
        </w:rPr>
        <w:t>质疑函范本</w:t>
      </w:r>
      <w:bookmarkEnd w:id="713"/>
      <w:bookmarkEnd w:id="714"/>
      <w:bookmarkEnd w:id="715"/>
    </w:p>
    <w:p w14:paraId="74FB7F13">
      <w:pPr>
        <w:adjustRightInd w:val="0"/>
        <w:snapToGrid w:val="0"/>
        <w:spacing w:before="312" w:beforeLines="100" w:line="360" w:lineRule="auto"/>
        <w:outlineLvl w:val="9"/>
        <w:rPr>
          <w:rFonts w:cs="仿宋" w:asciiTheme="minorEastAsia" w:hAnsiTheme="minorEastAsia" w:eastAsiaTheme="minorEastAsia"/>
          <w:b/>
          <w:bCs/>
          <w:color w:val="auto"/>
          <w:sz w:val="24"/>
          <w:szCs w:val="24"/>
          <w:highlight w:val="none"/>
        </w:rPr>
      </w:pPr>
      <w:bookmarkStart w:id="716" w:name="_Toc21660"/>
      <w:r>
        <w:rPr>
          <w:rFonts w:hint="eastAsia" w:cs="仿宋" w:asciiTheme="minorEastAsia" w:hAnsiTheme="minorEastAsia" w:eastAsiaTheme="minorEastAsia"/>
          <w:b/>
          <w:bCs/>
          <w:color w:val="auto"/>
          <w:sz w:val="24"/>
          <w:szCs w:val="24"/>
          <w:highlight w:val="none"/>
        </w:rPr>
        <w:t>一、质疑供应商基本信息</w:t>
      </w:r>
      <w:bookmarkEnd w:id="716"/>
    </w:p>
    <w:p w14:paraId="083EED0A">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质疑供应商：</w:t>
      </w:r>
      <w:r>
        <w:rPr>
          <w:rFonts w:hint="eastAsia" w:cs="仿宋" w:asciiTheme="minorEastAsia" w:hAnsiTheme="minorEastAsia" w:eastAsiaTheme="minorEastAsia"/>
          <w:color w:val="auto"/>
          <w:sz w:val="24"/>
          <w:szCs w:val="24"/>
          <w:highlight w:val="none"/>
          <w:u w:val="dotted"/>
        </w:rPr>
        <w:t xml:space="preserve">                                        </w:t>
      </w:r>
    </w:p>
    <w:p w14:paraId="322D3BE4">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地址：</w:t>
      </w:r>
      <w:r>
        <w:rPr>
          <w:rFonts w:hint="eastAsia" w:cs="仿宋" w:asciiTheme="minorEastAsia" w:hAnsiTheme="minorEastAsia" w:eastAsiaTheme="minorEastAsia"/>
          <w:color w:val="auto"/>
          <w:sz w:val="24"/>
          <w:szCs w:val="24"/>
          <w:highlight w:val="none"/>
          <w:u w:val="dotted"/>
        </w:rPr>
        <w:t xml:space="preserve">                          </w:t>
      </w:r>
      <w:r>
        <w:rPr>
          <w:rFonts w:hint="eastAsia" w:cs="仿宋" w:asciiTheme="minorEastAsia" w:hAnsiTheme="minorEastAsia" w:eastAsiaTheme="minorEastAsia"/>
          <w:color w:val="auto"/>
          <w:sz w:val="24"/>
          <w:szCs w:val="24"/>
          <w:highlight w:val="none"/>
        </w:rPr>
        <w:t>邮编：</w:t>
      </w:r>
      <w:r>
        <w:rPr>
          <w:rFonts w:hint="eastAsia" w:cs="仿宋" w:asciiTheme="minorEastAsia" w:hAnsiTheme="minorEastAsia" w:eastAsiaTheme="minorEastAsia"/>
          <w:color w:val="auto"/>
          <w:sz w:val="24"/>
          <w:szCs w:val="24"/>
          <w:highlight w:val="none"/>
          <w:u w:val="dotted"/>
        </w:rPr>
        <w:t xml:space="preserve">              </w:t>
      </w:r>
    </w:p>
    <w:p w14:paraId="248A24B3">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联系人：</w:t>
      </w:r>
      <w:r>
        <w:rPr>
          <w:rFonts w:hint="eastAsia" w:cs="仿宋" w:asciiTheme="minorEastAsia" w:hAnsiTheme="minorEastAsia" w:eastAsiaTheme="minorEastAsia"/>
          <w:color w:val="auto"/>
          <w:sz w:val="24"/>
          <w:szCs w:val="24"/>
          <w:highlight w:val="none"/>
          <w:u w:val="dotted"/>
        </w:rPr>
        <w:t xml:space="preserve">                      </w:t>
      </w:r>
      <w:r>
        <w:rPr>
          <w:rFonts w:hint="eastAsia" w:cs="仿宋" w:asciiTheme="minorEastAsia" w:hAnsiTheme="minorEastAsia" w:eastAsiaTheme="minorEastAsia"/>
          <w:color w:val="auto"/>
          <w:sz w:val="24"/>
          <w:szCs w:val="24"/>
          <w:highlight w:val="none"/>
        </w:rPr>
        <w:t>联系电话：</w:t>
      </w:r>
      <w:r>
        <w:rPr>
          <w:rFonts w:hint="eastAsia" w:cs="仿宋" w:asciiTheme="minorEastAsia" w:hAnsiTheme="minorEastAsia" w:eastAsiaTheme="minorEastAsia"/>
          <w:color w:val="auto"/>
          <w:sz w:val="24"/>
          <w:szCs w:val="24"/>
          <w:highlight w:val="none"/>
          <w:u w:val="dotted"/>
        </w:rPr>
        <w:t xml:space="preserve">            </w:t>
      </w:r>
    </w:p>
    <w:p w14:paraId="08D998FB">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授权代表：</w:t>
      </w:r>
      <w:r>
        <w:rPr>
          <w:rFonts w:hint="eastAsia" w:cs="仿宋" w:asciiTheme="minorEastAsia" w:hAnsiTheme="minorEastAsia" w:eastAsiaTheme="minorEastAsia"/>
          <w:color w:val="auto"/>
          <w:sz w:val="24"/>
          <w:szCs w:val="24"/>
          <w:highlight w:val="none"/>
          <w:u w:val="dotted"/>
        </w:rPr>
        <w:t xml:space="preserve">                                          </w:t>
      </w:r>
    </w:p>
    <w:p w14:paraId="1F3E32DC">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联系电话：</w:t>
      </w:r>
      <w:r>
        <w:rPr>
          <w:rFonts w:hint="eastAsia" w:cs="仿宋" w:asciiTheme="minorEastAsia" w:hAnsiTheme="minorEastAsia" w:eastAsiaTheme="minorEastAsia"/>
          <w:color w:val="auto"/>
          <w:sz w:val="24"/>
          <w:szCs w:val="24"/>
          <w:highlight w:val="none"/>
          <w:u w:val="dotted"/>
        </w:rPr>
        <w:t xml:space="preserve">                                          </w:t>
      </w:r>
    </w:p>
    <w:p w14:paraId="4956E42C">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地址：</w:t>
      </w:r>
      <w:r>
        <w:rPr>
          <w:rFonts w:cs="仿宋" w:asciiTheme="minorEastAsia" w:hAnsiTheme="minorEastAsia" w:eastAsiaTheme="minorEastAsia"/>
          <w:color w:val="auto"/>
          <w:sz w:val="24"/>
          <w:szCs w:val="24"/>
          <w:highlight w:val="none"/>
        </w:rPr>
        <w:t xml:space="preserve"> </w:t>
      </w:r>
      <w:r>
        <w:rPr>
          <w:rFonts w:hint="eastAsia" w:cs="仿宋" w:asciiTheme="minorEastAsia" w:hAnsiTheme="minorEastAsia" w:eastAsiaTheme="minorEastAsia"/>
          <w:color w:val="auto"/>
          <w:sz w:val="24"/>
          <w:szCs w:val="24"/>
          <w:highlight w:val="none"/>
          <w:u w:val="dotted"/>
        </w:rPr>
        <w:t xml:space="preserve">                        </w:t>
      </w:r>
      <w:r>
        <w:rPr>
          <w:rFonts w:hint="eastAsia" w:cs="仿宋" w:asciiTheme="minorEastAsia" w:hAnsiTheme="minorEastAsia" w:eastAsiaTheme="minorEastAsia"/>
          <w:color w:val="auto"/>
          <w:sz w:val="24"/>
          <w:szCs w:val="24"/>
          <w:highlight w:val="none"/>
        </w:rPr>
        <w:t>邮编：</w:t>
      </w:r>
      <w:r>
        <w:rPr>
          <w:rFonts w:hint="eastAsia" w:cs="仿宋" w:asciiTheme="minorEastAsia" w:hAnsiTheme="minorEastAsia" w:eastAsiaTheme="minorEastAsia"/>
          <w:color w:val="auto"/>
          <w:sz w:val="24"/>
          <w:szCs w:val="24"/>
          <w:highlight w:val="none"/>
          <w:u w:val="dotted"/>
        </w:rPr>
        <w:t xml:space="preserve">               </w:t>
      </w:r>
    </w:p>
    <w:p w14:paraId="5B578C7B">
      <w:pPr>
        <w:adjustRightInd w:val="0"/>
        <w:snapToGrid w:val="0"/>
        <w:spacing w:line="360" w:lineRule="auto"/>
        <w:outlineLvl w:val="9"/>
        <w:rPr>
          <w:rFonts w:cs="仿宋" w:asciiTheme="minorEastAsia" w:hAnsiTheme="minorEastAsia" w:eastAsiaTheme="minorEastAsia"/>
          <w:b/>
          <w:bCs/>
          <w:color w:val="auto"/>
          <w:sz w:val="24"/>
          <w:szCs w:val="24"/>
          <w:highlight w:val="none"/>
        </w:rPr>
      </w:pPr>
      <w:bookmarkStart w:id="717" w:name="_Toc4238"/>
      <w:r>
        <w:rPr>
          <w:rFonts w:hint="eastAsia" w:cs="仿宋" w:asciiTheme="minorEastAsia" w:hAnsiTheme="minorEastAsia" w:eastAsiaTheme="minorEastAsia"/>
          <w:b/>
          <w:bCs/>
          <w:color w:val="auto"/>
          <w:sz w:val="24"/>
          <w:szCs w:val="24"/>
          <w:highlight w:val="none"/>
        </w:rPr>
        <w:t>二、质疑项目基本情况</w:t>
      </w:r>
      <w:bookmarkEnd w:id="717"/>
    </w:p>
    <w:p w14:paraId="2296DF72">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质疑项目的名称：</w:t>
      </w:r>
      <w:r>
        <w:rPr>
          <w:rFonts w:hint="eastAsia" w:cs="仿宋" w:asciiTheme="minorEastAsia" w:hAnsiTheme="minorEastAsia" w:eastAsiaTheme="minorEastAsia"/>
          <w:color w:val="auto"/>
          <w:sz w:val="24"/>
          <w:szCs w:val="24"/>
          <w:highlight w:val="none"/>
          <w:u w:val="dotted"/>
        </w:rPr>
        <w:t xml:space="preserve">                                    </w:t>
      </w:r>
    </w:p>
    <w:p w14:paraId="0FFB6B39">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质疑项目的编号：</w:t>
      </w:r>
      <w:r>
        <w:rPr>
          <w:rFonts w:hint="eastAsia" w:cs="仿宋" w:asciiTheme="minorEastAsia" w:hAnsiTheme="minorEastAsia" w:eastAsiaTheme="minorEastAsia"/>
          <w:color w:val="auto"/>
          <w:sz w:val="24"/>
          <w:szCs w:val="24"/>
          <w:highlight w:val="none"/>
          <w:u w:val="dotted"/>
        </w:rPr>
        <w:t xml:space="preserve">               </w:t>
      </w:r>
      <w:r>
        <w:rPr>
          <w:rFonts w:hint="eastAsia" w:cs="仿宋" w:asciiTheme="minorEastAsia" w:hAnsiTheme="minorEastAsia" w:eastAsiaTheme="minorEastAsia"/>
          <w:color w:val="auto"/>
          <w:sz w:val="24"/>
          <w:szCs w:val="24"/>
          <w:highlight w:val="none"/>
        </w:rPr>
        <w:t>包号：</w:t>
      </w:r>
      <w:r>
        <w:rPr>
          <w:rFonts w:hint="eastAsia" w:cs="仿宋" w:asciiTheme="minorEastAsia" w:hAnsiTheme="minorEastAsia" w:eastAsiaTheme="minorEastAsia"/>
          <w:color w:val="auto"/>
          <w:sz w:val="24"/>
          <w:szCs w:val="24"/>
          <w:highlight w:val="none"/>
          <w:u w:val="dotted"/>
        </w:rPr>
        <w:t xml:space="preserve">               </w:t>
      </w:r>
    </w:p>
    <w:p w14:paraId="3DC95260">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采购人名称：</w:t>
      </w:r>
      <w:r>
        <w:rPr>
          <w:rFonts w:hint="eastAsia" w:cs="仿宋" w:asciiTheme="minorEastAsia" w:hAnsiTheme="minorEastAsia" w:eastAsiaTheme="minorEastAsia"/>
          <w:color w:val="auto"/>
          <w:sz w:val="24"/>
          <w:szCs w:val="24"/>
          <w:highlight w:val="none"/>
          <w:u w:val="dotted"/>
        </w:rPr>
        <w:t xml:space="preserve">                                        </w:t>
      </w:r>
    </w:p>
    <w:p w14:paraId="3BD84F0B">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采购文件获取日期：</w:t>
      </w:r>
      <w:r>
        <w:rPr>
          <w:rFonts w:hint="eastAsia" w:cs="仿宋" w:asciiTheme="minorEastAsia" w:hAnsiTheme="minorEastAsia" w:eastAsiaTheme="minorEastAsia"/>
          <w:color w:val="auto"/>
          <w:sz w:val="24"/>
          <w:szCs w:val="24"/>
          <w:highlight w:val="none"/>
          <w:u w:val="dotted"/>
        </w:rPr>
        <w:t xml:space="preserve">                                  </w:t>
      </w:r>
    </w:p>
    <w:p w14:paraId="3F7A6757">
      <w:pPr>
        <w:adjustRightInd w:val="0"/>
        <w:snapToGrid w:val="0"/>
        <w:spacing w:line="360" w:lineRule="auto"/>
        <w:outlineLvl w:val="9"/>
        <w:rPr>
          <w:rFonts w:cs="仿宋" w:asciiTheme="minorEastAsia" w:hAnsiTheme="minorEastAsia" w:eastAsiaTheme="minorEastAsia"/>
          <w:b/>
          <w:bCs/>
          <w:color w:val="auto"/>
          <w:sz w:val="24"/>
          <w:szCs w:val="24"/>
          <w:highlight w:val="none"/>
        </w:rPr>
      </w:pPr>
      <w:bookmarkStart w:id="718" w:name="_Toc10846"/>
      <w:r>
        <w:rPr>
          <w:rFonts w:hint="eastAsia" w:cs="仿宋" w:asciiTheme="minorEastAsia" w:hAnsiTheme="minorEastAsia" w:eastAsiaTheme="minorEastAsia"/>
          <w:b/>
          <w:bCs/>
          <w:color w:val="auto"/>
          <w:sz w:val="24"/>
          <w:szCs w:val="24"/>
          <w:highlight w:val="none"/>
        </w:rPr>
        <w:t>三、质疑事项具体内容</w:t>
      </w:r>
      <w:bookmarkEnd w:id="718"/>
    </w:p>
    <w:p w14:paraId="729A4946">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质疑事项1：</w:t>
      </w:r>
      <w:r>
        <w:rPr>
          <w:rFonts w:hint="eastAsia" w:cs="仿宋" w:asciiTheme="minorEastAsia" w:hAnsiTheme="minorEastAsia" w:eastAsiaTheme="minorEastAsia"/>
          <w:color w:val="auto"/>
          <w:sz w:val="24"/>
          <w:szCs w:val="24"/>
          <w:highlight w:val="none"/>
          <w:u w:val="dotted"/>
        </w:rPr>
        <w:t xml:space="preserve">                                         </w:t>
      </w:r>
    </w:p>
    <w:p w14:paraId="5011551C">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事实依据：</w:t>
      </w:r>
      <w:r>
        <w:rPr>
          <w:rFonts w:hint="eastAsia" w:cs="仿宋" w:asciiTheme="minorEastAsia" w:hAnsiTheme="minorEastAsia" w:eastAsiaTheme="minorEastAsia"/>
          <w:color w:val="auto"/>
          <w:sz w:val="24"/>
          <w:szCs w:val="24"/>
          <w:highlight w:val="none"/>
          <w:u w:val="dotted"/>
        </w:rPr>
        <w:t xml:space="preserve">                                          </w:t>
      </w:r>
    </w:p>
    <w:p w14:paraId="210FB734">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u w:val="dotted"/>
        </w:rPr>
        <w:t xml:space="preserve">                                                    </w:t>
      </w:r>
    </w:p>
    <w:p w14:paraId="5BA35B58">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法律依据：</w:t>
      </w:r>
      <w:r>
        <w:rPr>
          <w:rFonts w:hint="eastAsia" w:cs="仿宋" w:asciiTheme="minorEastAsia" w:hAnsiTheme="minorEastAsia" w:eastAsiaTheme="minorEastAsia"/>
          <w:color w:val="auto"/>
          <w:sz w:val="24"/>
          <w:szCs w:val="24"/>
          <w:highlight w:val="none"/>
          <w:u w:val="dotted"/>
        </w:rPr>
        <w:t xml:space="preserve">                                          </w:t>
      </w:r>
    </w:p>
    <w:p w14:paraId="4F05F3D3">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u w:val="dotted"/>
        </w:rPr>
        <w:t xml:space="preserve">                                                    </w:t>
      </w:r>
    </w:p>
    <w:p w14:paraId="53454D05">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质疑事项2</w:t>
      </w:r>
    </w:p>
    <w:p w14:paraId="614D5782">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w:t>
      </w:r>
    </w:p>
    <w:p w14:paraId="091CC21E">
      <w:pPr>
        <w:adjustRightInd w:val="0"/>
        <w:snapToGrid w:val="0"/>
        <w:spacing w:line="360" w:lineRule="auto"/>
        <w:outlineLvl w:val="9"/>
        <w:rPr>
          <w:rFonts w:cs="仿宋" w:asciiTheme="minorEastAsia" w:hAnsiTheme="minorEastAsia" w:eastAsiaTheme="minorEastAsia"/>
          <w:b/>
          <w:bCs/>
          <w:color w:val="auto"/>
          <w:sz w:val="24"/>
          <w:szCs w:val="24"/>
          <w:highlight w:val="none"/>
        </w:rPr>
      </w:pPr>
      <w:bookmarkStart w:id="719" w:name="_Toc15784"/>
      <w:r>
        <w:rPr>
          <w:rFonts w:hint="eastAsia" w:cs="仿宋" w:asciiTheme="minorEastAsia" w:hAnsiTheme="minorEastAsia" w:eastAsiaTheme="minorEastAsia"/>
          <w:b/>
          <w:bCs/>
          <w:color w:val="auto"/>
          <w:sz w:val="24"/>
          <w:szCs w:val="24"/>
          <w:highlight w:val="none"/>
        </w:rPr>
        <w:t>四、与质疑事项相关的质疑请求</w:t>
      </w:r>
      <w:bookmarkEnd w:id="719"/>
    </w:p>
    <w:p w14:paraId="47C7CFF3">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请求：</w:t>
      </w:r>
      <w:r>
        <w:rPr>
          <w:rFonts w:hint="eastAsia" w:cs="仿宋" w:asciiTheme="minorEastAsia" w:hAnsiTheme="minorEastAsia" w:eastAsiaTheme="minorEastAsia"/>
          <w:color w:val="auto"/>
          <w:sz w:val="24"/>
          <w:szCs w:val="24"/>
          <w:highlight w:val="none"/>
          <w:u w:val="dotted"/>
        </w:rPr>
        <w:t xml:space="preserve">                                              </w:t>
      </w:r>
    </w:p>
    <w:p w14:paraId="69F674C9">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 xml:space="preserve">签字(签章)：                   公章：                      </w:t>
      </w:r>
    </w:p>
    <w:p w14:paraId="31955019">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 xml:space="preserve">日期：    </w:t>
      </w:r>
    </w:p>
    <w:p w14:paraId="15455436">
      <w:pPr>
        <w:widowControl/>
        <w:jc w:val="left"/>
        <w:rPr>
          <w:rFonts w:ascii="仿宋" w:hAnsi="仿宋" w:eastAsia="仿宋" w:cs="仿宋"/>
          <w:color w:val="auto"/>
          <w:sz w:val="32"/>
          <w:szCs w:val="32"/>
          <w:highlight w:val="none"/>
        </w:rPr>
      </w:pPr>
      <w:r>
        <w:rPr>
          <w:rFonts w:ascii="仿宋" w:hAnsi="仿宋" w:eastAsia="仿宋" w:cs="仿宋"/>
          <w:color w:val="auto"/>
          <w:sz w:val="32"/>
          <w:szCs w:val="32"/>
          <w:highlight w:val="none"/>
        </w:rPr>
        <w:br w:type="page"/>
      </w:r>
    </w:p>
    <w:p w14:paraId="3F5A3024">
      <w:pPr>
        <w:outlineLvl w:val="0"/>
        <w:rPr>
          <w:rFonts w:asciiTheme="minorEastAsia" w:hAnsiTheme="minorEastAsia" w:eastAsiaTheme="minorEastAsia"/>
          <w:b/>
          <w:color w:val="auto"/>
          <w:sz w:val="28"/>
          <w:szCs w:val="32"/>
          <w:highlight w:val="none"/>
        </w:rPr>
      </w:pPr>
      <w:bookmarkStart w:id="720" w:name="_Toc16379"/>
      <w:bookmarkStart w:id="721" w:name="_Toc222"/>
      <w:bookmarkStart w:id="722" w:name="_Toc23661"/>
      <w:bookmarkStart w:id="723" w:name="_Toc17542"/>
      <w:r>
        <w:rPr>
          <w:rFonts w:hint="eastAsia" w:asciiTheme="minorEastAsia" w:hAnsiTheme="minorEastAsia" w:eastAsiaTheme="minorEastAsia"/>
          <w:b/>
          <w:color w:val="auto"/>
          <w:sz w:val="28"/>
          <w:szCs w:val="32"/>
          <w:highlight w:val="none"/>
        </w:rPr>
        <w:t>质疑函制作说明：</w:t>
      </w:r>
      <w:bookmarkEnd w:id="720"/>
      <w:bookmarkEnd w:id="721"/>
      <w:bookmarkEnd w:id="722"/>
      <w:bookmarkEnd w:id="723"/>
    </w:p>
    <w:p w14:paraId="1C10AEB7">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1.供应商提出质疑时，应提交质疑函和必要的证明材料。</w:t>
      </w:r>
    </w:p>
    <w:p w14:paraId="290ADDFA">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49CF9F93">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3.质疑供应商若对项目的某一分包进行质疑，质疑函中应列明具体分包号。</w:t>
      </w:r>
    </w:p>
    <w:p w14:paraId="70AAACF5">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4.质疑函的质疑事项应具体、明确，并有必要的事实依据和法律依据。</w:t>
      </w:r>
    </w:p>
    <w:p w14:paraId="68144453">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5.质疑函的质疑请求应与质疑事项相关。</w:t>
      </w:r>
    </w:p>
    <w:p w14:paraId="2F45859D">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6.质疑供应商为自然人的，质疑函应由本人签字；质疑供应商为法人或者其他组织的，质疑函应由法定代表人、主要负责人，或者其授权代表签字或者盖章，并加盖公章。</w:t>
      </w:r>
    </w:p>
    <w:sectPr>
      <w:headerReference r:id="rId7" w:type="default"/>
      <w:footerReference r:id="rId8"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简标宋">
    <w:altName w:val="@宋体"/>
    <w:panose1 w:val="00000000000000000000"/>
    <w:charset w:val="86"/>
    <w:family w:val="auto"/>
    <w:pitch w:val="default"/>
    <w:sig w:usb0="00000000" w:usb1="00000000" w:usb2="00000010" w:usb3="00000000" w:csb0="00040000" w:csb1="00000000"/>
  </w:font>
  <w:font w:name="@宋体">
    <w:panose1 w:val="02010600030101010101"/>
    <w:charset w:val="86"/>
    <w:family w:val="auto"/>
    <w:pitch w:val="default"/>
    <w:sig w:usb0="00000203" w:usb1="288F0000" w:usb2="0000000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S Sans Serif">
    <w:altName w:val="Arial"/>
    <w:panose1 w:val="020B0500000000000000"/>
    <w:charset w:val="00"/>
    <w:family w:val="swiss"/>
    <w:pitch w:val="default"/>
    <w:sig w:usb0="00000000" w:usb1="00000000" w:usb2="00000000" w:usb3="00000000" w:csb0="0000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Sylfaen">
    <w:panose1 w:val="010A0502050306030303"/>
    <w:charset w:val="00"/>
    <w:family w:val="roman"/>
    <w:pitch w:val="default"/>
    <w:sig w:usb0="04000687" w:usb1="00000000" w:usb2="00000000" w:usb3="00000000" w:csb0="2000009F"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创艺简黑体">
    <w:altName w:val="黑体"/>
    <w:panose1 w:val="00000000000000000000"/>
    <w:charset w:val="7A"/>
    <w:family w:val="auto"/>
    <w:pitch w:val="default"/>
    <w:sig w:usb0="00000000" w:usb1="00000000" w:usb2="00000010" w:usb3="00000000" w:csb0="0004000A" w:csb1="0000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1938A">
    <w:pPr>
      <w:pStyle w:val="3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C69321">
                          <w:pPr>
                            <w:pStyle w:val="3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DC69321">
                    <w:pPr>
                      <w:pStyle w:val="3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88</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7316F8">
    <w:pPr>
      <w:pStyle w:val="33"/>
      <w:jc w:val="center"/>
      <w:rPr>
        <w:rFonts w:asciiTheme="minorEastAsia" w:hAnsiTheme="minorEastAsia" w:eastAsiaTheme="minorEastAsia"/>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401CAA">
                          <w:pPr>
                            <w:pStyle w:val="3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1401CAA">
                    <w:pPr>
                      <w:pStyle w:val="3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88</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BB2D14">
    <w:pPr>
      <w:spacing w:line="189" w:lineRule="auto"/>
      <w:ind w:left="4430"/>
      <w:rPr>
        <w:rFonts w:ascii="Arial" w:hAnsi="Arial" w:eastAsia="Arial" w:cs="Arial"/>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DD753D">
                          <w:pPr>
                            <w:pStyle w:val="33"/>
                          </w:pPr>
                          <w:r>
                            <w:t xml:space="preserve">第 </w:t>
                          </w:r>
                          <w:r>
                            <w:fldChar w:fldCharType="begin"/>
                          </w:r>
                          <w:r>
                            <w:instrText xml:space="preserve"> PAGE  \* MERGEFORMAT </w:instrText>
                          </w:r>
                          <w:r>
                            <w:fldChar w:fldCharType="separate"/>
                          </w:r>
                          <w:r>
                            <w:t>73</w:t>
                          </w:r>
                          <w:r>
                            <w:fldChar w:fldCharType="end"/>
                          </w:r>
                          <w:r>
                            <w:t xml:space="preserve"> 页 共 </w:t>
                          </w:r>
                          <w:r>
                            <w:fldChar w:fldCharType="begin"/>
                          </w:r>
                          <w:r>
                            <w:instrText xml:space="preserve"> NUMPAGES  \* MERGEFORMAT </w:instrText>
                          </w:r>
                          <w:r>
                            <w:fldChar w:fldCharType="separate"/>
                          </w:r>
                          <w:r>
                            <w:t>88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0DD753D">
                    <w:pPr>
                      <w:pStyle w:val="33"/>
                    </w:pPr>
                    <w:r>
                      <w:t xml:space="preserve">第 </w:t>
                    </w:r>
                    <w:r>
                      <w:fldChar w:fldCharType="begin"/>
                    </w:r>
                    <w:r>
                      <w:instrText xml:space="preserve"> PAGE  \* MERGEFORMAT </w:instrText>
                    </w:r>
                    <w:r>
                      <w:fldChar w:fldCharType="separate"/>
                    </w:r>
                    <w:r>
                      <w:t>73</w:t>
                    </w:r>
                    <w:r>
                      <w:fldChar w:fldCharType="end"/>
                    </w:r>
                    <w:r>
                      <w:t xml:space="preserve"> 页 共 </w:t>
                    </w:r>
                    <w:r>
                      <w:fldChar w:fldCharType="begin"/>
                    </w:r>
                    <w:r>
                      <w:instrText xml:space="preserve"> NUMPAGES  \* MERGEFORMAT </w:instrText>
                    </w:r>
                    <w:r>
                      <w:fldChar w:fldCharType="separate"/>
                    </w:r>
                    <w:r>
                      <w:t>88</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BEE4E">
    <w:pPr>
      <w:pStyle w:val="34"/>
      <w:jc w:val="both"/>
    </w:pPr>
    <w:r>
      <w:rPr>
        <w:rFonts w:hint="eastAsia"/>
        <w:lang w:val="en-US" w:eastAsia="zh-CN"/>
      </w:rPr>
      <w:t>安徽省</w:t>
    </w:r>
    <w:r>
      <w:rPr>
        <w:rFonts w:hint="eastAsia" w:ascii="宋体" w:hAnsi="宋体" w:eastAsia="宋体"/>
      </w:rPr>
      <w:t>政府采购</w:t>
    </w:r>
    <w:r>
      <w:rPr>
        <w:rFonts w:hint="eastAsia" w:ascii="宋体" w:hAnsi="宋体" w:eastAsia="宋体"/>
        <w:lang w:eastAsia="zh-CN"/>
      </w:rPr>
      <w:t>项目</w:t>
    </w:r>
    <w:r>
      <w:rPr>
        <w:rFonts w:hint="eastAsia" w:ascii="宋体" w:hAnsi="宋体" w:eastAsia="宋体"/>
      </w:rPr>
      <w:t>竞争性谈判文件</w:t>
    </w:r>
    <w:r>
      <w:rPr>
        <w:rFonts w:hint="eastAsia" w:ascii="宋体" w:hAnsi="宋体" w:eastAsia="宋体"/>
        <w:lang w:eastAsia="zh-CN"/>
      </w:rPr>
      <w:t>示范文本（</w:t>
    </w:r>
    <w:r>
      <w:rPr>
        <w:rFonts w:hint="eastAsia" w:asciiTheme="minorEastAsia" w:hAnsiTheme="minorEastAsia" w:eastAsiaTheme="minorEastAsia"/>
      </w:rPr>
      <w:t>工程类</w:t>
    </w:r>
    <w:r>
      <w:rPr>
        <w:rFonts w:hint="eastAsia" w:ascii="宋体" w:hAnsi="宋体" w:eastAsia="宋体"/>
        <w:lang w:eastAsia="zh-CN"/>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7582E">
    <w:pPr>
      <w:pStyle w:val="34"/>
      <w:jc w:val="both"/>
    </w:pPr>
    <w:r>
      <w:rPr>
        <w:rFonts w:hint="eastAsia"/>
        <w:lang w:val="en-US" w:eastAsia="zh-CN"/>
      </w:rPr>
      <w:t>安徽省</w:t>
    </w:r>
    <w:r>
      <w:rPr>
        <w:rFonts w:hint="eastAsia" w:ascii="宋体" w:hAnsi="宋体" w:eastAsia="宋体"/>
      </w:rPr>
      <w:t>政府采购</w:t>
    </w:r>
    <w:r>
      <w:rPr>
        <w:rFonts w:hint="eastAsia" w:ascii="宋体" w:hAnsi="宋体" w:eastAsia="宋体"/>
        <w:lang w:eastAsia="zh-CN"/>
      </w:rPr>
      <w:t>项目</w:t>
    </w:r>
    <w:r>
      <w:rPr>
        <w:rFonts w:hint="eastAsia" w:ascii="宋体" w:hAnsi="宋体" w:eastAsia="宋体"/>
      </w:rPr>
      <w:t>竞争性谈判文件</w:t>
    </w:r>
    <w:r>
      <w:rPr>
        <w:rFonts w:hint="eastAsia" w:ascii="宋体" w:hAnsi="宋体" w:eastAsia="宋体"/>
        <w:lang w:eastAsia="zh-CN"/>
      </w:rPr>
      <w:t>示范文本（</w:t>
    </w:r>
    <w:r>
      <w:rPr>
        <w:rFonts w:hint="eastAsia" w:asciiTheme="minorEastAsia" w:hAnsiTheme="minorEastAsia" w:eastAsiaTheme="minorEastAsia"/>
      </w:rPr>
      <w:t>工程类</w:t>
    </w:r>
    <w:r>
      <w:rPr>
        <w:rFonts w:hint="eastAsia" w:ascii="宋体" w:hAnsi="宋体" w:eastAsia="宋体"/>
        <w:lang w:eastAsia="zh-CN"/>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41155">
    <w:pPr>
      <w:pStyle w:val="34"/>
      <w:jc w:val="both"/>
      <w:rPr>
        <w:rFonts w:hint="eastAsia"/>
      </w:rPr>
    </w:pPr>
    <w:r>
      <w:rPr>
        <w:rFonts w:hint="eastAsia"/>
        <w:lang w:val="en-US" w:eastAsia="zh-CN"/>
      </w:rPr>
      <w:t>安徽省</w:t>
    </w:r>
    <w:r>
      <w:rPr>
        <w:rFonts w:hint="eastAsia" w:ascii="宋体" w:hAnsi="宋体" w:eastAsia="宋体"/>
      </w:rPr>
      <w:t>政府采购</w:t>
    </w:r>
    <w:r>
      <w:rPr>
        <w:rFonts w:hint="eastAsia" w:ascii="宋体" w:hAnsi="宋体" w:eastAsia="宋体"/>
        <w:lang w:eastAsia="zh-CN"/>
      </w:rPr>
      <w:t>项目</w:t>
    </w:r>
    <w:r>
      <w:rPr>
        <w:rFonts w:hint="eastAsia" w:ascii="宋体" w:hAnsi="宋体" w:eastAsia="宋体"/>
      </w:rPr>
      <w:t>竞争性谈判文件</w:t>
    </w:r>
    <w:r>
      <w:rPr>
        <w:rFonts w:hint="eastAsia" w:ascii="宋体" w:hAnsi="宋体" w:eastAsia="宋体"/>
        <w:lang w:eastAsia="zh-CN"/>
      </w:rPr>
      <w:t>示范文本（</w:t>
    </w:r>
    <w:r>
      <w:rPr>
        <w:rFonts w:hint="eastAsia" w:asciiTheme="minorEastAsia" w:hAnsiTheme="minorEastAsia" w:eastAsiaTheme="minorEastAsia"/>
      </w:rPr>
      <w:t>工程类</w:t>
    </w:r>
    <w:r>
      <w:rPr>
        <w:rFonts w:hint="eastAsia" w:ascii="宋体" w:hAnsi="宋体" w:eastAsia="宋体"/>
        <w:lang w:eastAsia="zh-C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BF563F"/>
    <w:multiLevelType w:val="singleLevel"/>
    <w:tmpl w:val="97BF563F"/>
    <w:lvl w:ilvl="0" w:tentative="0">
      <w:start w:val="1"/>
      <w:numFmt w:val="decimal"/>
      <w:suff w:val="nothing"/>
      <w:lvlText w:val="（%1）"/>
      <w:lvlJc w:val="left"/>
    </w:lvl>
  </w:abstractNum>
  <w:abstractNum w:abstractNumId="1">
    <w:nsid w:val="A6E275FA"/>
    <w:multiLevelType w:val="singleLevel"/>
    <w:tmpl w:val="A6E275FA"/>
    <w:lvl w:ilvl="0" w:tentative="0">
      <w:start w:val="2"/>
      <w:numFmt w:val="chineseCounting"/>
      <w:suff w:val="nothing"/>
      <w:lvlText w:val="%1、"/>
      <w:lvlJc w:val="left"/>
      <w:rPr>
        <w:rFonts w:hint="eastAsia"/>
      </w:rPr>
    </w:lvl>
  </w:abstractNum>
  <w:abstractNum w:abstractNumId="2">
    <w:nsid w:val="7F7E5238"/>
    <w:multiLevelType w:val="multilevel"/>
    <w:tmpl w:val="7F7E5238"/>
    <w:lvl w:ilvl="0" w:tentative="0">
      <w:start w:val="1"/>
      <w:numFmt w:val="none"/>
      <w:pStyle w:val="177"/>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174"/>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179"/>
      <w:lvlText w:val="           "/>
      <w:lvlJc w:val="left"/>
      <w:pPr>
        <w:tabs>
          <w:tab w:val="left" w:pos="1440"/>
        </w:tabs>
        <w:ind w:left="1152" w:hanging="1152"/>
      </w:pPr>
      <w:rPr>
        <w:rFonts w:hint="eastAsia"/>
      </w:rPr>
    </w:lvl>
    <w:lvl w:ilvl="6" w:tentative="0">
      <w:start w:val="1"/>
      <w:numFmt w:val="decimal"/>
      <w:pStyle w:val="181"/>
      <w:lvlText w:val="%1.%2.%3.%4.%5.%6.%7"/>
      <w:lvlJc w:val="left"/>
      <w:pPr>
        <w:tabs>
          <w:tab w:val="left" w:pos="2520"/>
        </w:tabs>
        <w:ind w:left="1296" w:hanging="1296"/>
      </w:pPr>
      <w:rPr>
        <w:rFonts w:hint="eastAsia"/>
      </w:rPr>
    </w:lvl>
    <w:lvl w:ilvl="7" w:tentative="0">
      <w:start w:val="1"/>
      <w:numFmt w:val="decimal"/>
      <w:pStyle w:val="183"/>
      <w:lvlText w:val="%1.%2.%3.%4.%5.%6.%7.%8"/>
      <w:lvlJc w:val="left"/>
      <w:pPr>
        <w:tabs>
          <w:tab w:val="left" w:pos="1440"/>
        </w:tabs>
        <w:ind w:left="1440" w:hanging="1440"/>
      </w:pPr>
      <w:rPr>
        <w:rFonts w:hint="eastAsia"/>
      </w:rPr>
    </w:lvl>
    <w:lvl w:ilvl="8" w:tentative="0">
      <w:start w:val="1"/>
      <w:numFmt w:val="decimal"/>
      <w:pStyle w:val="185"/>
      <w:lvlText w:val="%1.%2.%3.%4.%5.%6.%7.%8.%9"/>
      <w:lvlJc w:val="left"/>
      <w:pPr>
        <w:tabs>
          <w:tab w:val="left" w:pos="1584"/>
        </w:tabs>
        <w:ind w:left="1584" w:hanging="1584"/>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lYjQzMDhiYzA3NWZlODA5OTkxMDRiNDU3ZjExNjEifQ=="/>
  </w:docVars>
  <w:rsids>
    <w:rsidRoot w:val="00276BA1"/>
    <w:rsid w:val="0000043F"/>
    <w:rsid w:val="000037F9"/>
    <w:rsid w:val="000049DA"/>
    <w:rsid w:val="000056B7"/>
    <w:rsid w:val="00005914"/>
    <w:rsid w:val="00007D87"/>
    <w:rsid w:val="000131F7"/>
    <w:rsid w:val="00014039"/>
    <w:rsid w:val="00016B6C"/>
    <w:rsid w:val="00020B57"/>
    <w:rsid w:val="00020B6D"/>
    <w:rsid w:val="00022976"/>
    <w:rsid w:val="000323E2"/>
    <w:rsid w:val="00040C25"/>
    <w:rsid w:val="00042139"/>
    <w:rsid w:val="00042B14"/>
    <w:rsid w:val="00044F49"/>
    <w:rsid w:val="000450C3"/>
    <w:rsid w:val="0005061B"/>
    <w:rsid w:val="00050A3F"/>
    <w:rsid w:val="00054AA3"/>
    <w:rsid w:val="00056ECB"/>
    <w:rsid w:val="00057B40"/>
    <w:rsid w:val="000648D2"/>
    <w:rsid w:val="00066AD7"/>
    <w:rsid w:val="00070E0E"/>
    <w:rsid w:val="0007146E"/>
    <w:rsid w:val="0007385B"/>
    <w:rsid w:val="00076DB7"/>
    <w:rsid w:val="00080FEB"/>
    <w:rsid w:val="00084047"/>
    <w:rsid w:val="00094D41"/>
    <w:rsid w:val="00097CB9"/>
    <w:rsid w:val="000A0161"/>
    <w:rsid w:val="000A10A9"/>
    <w:rsid w:val="000A2DA0"/>
    <w:rsid w:val="000A6693"/>
    <w:rsid w:val="000A7403"/>
    <w:rsid w:val="000A7970"/>
    <w:rsid w:val="000A7D94"/>
    <w:rsid w:val="000B1511"/>
    <w:rsid w:val="000B6249"/>
    <w:rsid w:val="000B6562"/>
    <w:rsid w:val="000C1068"/>
    <w:rsid w:val="000C1DB1"/>
    <w:rsid w:val="000D3F37"/>
    <w:rsid w:val="000E3C74"/>
    <w:rsid w:val="000E3F9B"/>
    <w:rsid w:val="000E478E"/>
    <w:rsid w:val="000E6689"/>
    <w:rsid w:val="000E69B9"/>
    <w:rsid w:val="000F0EBF"/>
    <w:rsid w:val="000F172B"/>
    <w:rsid w:val="000F2198"/>
    <w:rsid w:val="000F39B6"/>
    <w:rsid w:val="000F3A94"/>
    <w:rsid w:val="000F6B7B"/>
    <w:rsid w:val="000F6F95"/>
    <w:rsid w:val="0010021F"/>
    <w:rsid w:val="00100B0F"/>
    <w:rsid w:val="00101448"/>
    <w:rsid w:val="0010187C"/>
    <w:rsid w:val="0010219C"/>
    <w:rsid w:val="001037E3"/>
    <w:rsid w:val="00107022"/>
    <w:rsid w:val="0011660B"/>
    <w:rsid w:val="0012143A"/>
    <w:rsid w:val="0012203E"/>
    <w:rsid w:val="001258BA"/>
    <w:rsid w:val="0012753E"/>
    <w:rsid w:val="00130601"/>
    <w:rsid w:val="00130690"/>
    <w:rsid w:val="00130CD3"/>
    <w:rsid w:val="00132F4D"/>
    <w:rsid w:val="00133EA0"/>
    <w:rsid w:val="00140687"/>
    <w:rsid w:val="0014543C"/>
    <w:rsid w:val="00146421"/>
    <w:rsid w:val="00153B20"/>
    <w:rsid w:val="00155F64"/>
    <w:rsid w:val="001571EE"/>
    <w:rsid w:val="00157856"/>
    <w:rsid w:val="00157B7B"/>
    <w:rsid w:val="00160729"/>
    <w:rsid w:val="0016455F"/>
    <w:rsid w:val="00165398"/>
    <w:rsid w:val="00166794"/>
    <w:rsid w:val="00166ED8"/>
    <w:rsid w:val="001714C9"/>
    <w:rsid w:val="00171515"/>
    <w:rsid w:val="00172073"/>
    <w:rsid w:val="001721FA"/>
    <w:rsid w:val="00172B93"/>
    <w:rsid w:val="0018119B"/>
    <w:rsid w:val="001844AB"/>
    <w:rsid w:val="001853C7"/>
    <w:rsid w:val="00192879"/>
    <w:rsid w:val="001944B8"/>
    <w:rsid w:val="00196DA3"/>
    <w:rsid w:val="001971E5"/>
    <w:rsid w:val="001974FD"/>
    <w:rsid w:val="001A0C0F"/>
    <w:rsid w:val="001A68E5"/>
    <w:rsid w:val="001B25BE"/>
    <w:rsid w:val="001B2A54"/>
    <w:rsid w:val="001B2BA4"/>
    <w:rsid w:val="001B5014"/>
    <w:rsid w:val="001B7327"/>
    <w:rsid w:val="001C1E34"/>
    <w:rsid w:val="001D22EA"/>
    <w:rsid w:val="001D503E"/>
    <w:rsid w:val="001D53B4"/>
    <w:rsid w:val="001E1835"/>
    <w:rsid w:val="001E6BA1"/>
    <w:rsid w:val="001F28D2"/>
    <w:rsid w:val="001F2F45"/>
    <w:rsid w:val="001F3023"/>
    <w:rsid w:val="001F35F6"/>
    <w:rsid w:val="001F4AAF"/>
    <w:rsid w:val="001F74CA"/>
    <w:rsid w:val="001F7590"/>
    <w:rsid w:val="002003B6"/>
    <w:rsid w:val="0020244A"/>
    <w:rsid w:val="002049B4"/>
    <w:rsid w:val="0020520B"/>
    <w:rsid w:val="002076AD"/>
    <w:rsid w:val="00213C55"/>
    <w:rsid w:val="0021401C"/>
    <w:rsid w:val="00216DA5"/>
    <w:rsid w:val="00223CF4"/>
    <w:rsid w:val="00224B69"/>
    <w:rsid w:val="00224C4A"/>
    <w:rsid w:val="00231187"/>
    <w:rsid w:val="002329EB"/>
    <w:rsid w:val="0023407E"/>
    <w:rsid w:val="00240B40"/>
    <w:rsid w:val="00244182"/>
    <w:rsid w:val="002544A1"/>
    <w:rsid w:val="00257ECE"/>
    <w:rsid w:val="00260382"/>
    <w:rsid w:val="00260B94"/>
    <w:rsid w:val="0026247F"/>
    <w:rsid w:val="00264F2E"/>
    <w:rsid w:val="00271245"/>
    <w:rsid w:val="00272B17"/>
    <w:rsid w:val="00273F66"/>
    <w:rsid w:val="00274A9E"/>
    <w:rsid w:val="00276BA1"/>
    <w:rsid w:val="00280984"/>
    <w:rsid w:val="002832CF"/>
    <w:rsid w:val="002835E3"/>
    <w:rsid w:val="00284542"/>
    <w:rsid w:val="002856FD"/>
    <w:rsid w:val="002A0EE7"/>
    <w:rsid w:val="002A14D1"/>
    <w:rsid w:val="002A1A1D"/>
    <w:rsid w:val="002A28AD"/>
    <w:rsid w:val="002B04FD"/>
    <w:rsid w:val="002B5318"/>
    <w:rsid w:val="002B6D27"/>
    <w:rsid w:val="002B7A09"/>
    <w:rsid w:val="002C00C4"/>
    <w:rsid w:val="002C060C"/>
    <w:rsid w:val="002C078A"/>
    <w:rsid w:val="002D05DD"/>
    <w:rsid w:val="002D0E4D"/>
    <w:rsid w:val="002D2965"/>
    <w:rsid w:val="002D3D02"/>
    <w:rsid w:val="002D4CB5"/>
    <w:rsid w:val="002D5900"/>
    <w:rsid w:val="002D684B"/>
    <w:rsid w:val="002E003E"/>
    <w:rsid w:val="002E2142"/>
    <w:rsid w:val="002E2D3A"/>
    <w:rsid w:val="002E3B26"/>
    <w:rsid w:val="002E4AB8"/>
    <w:rsid w:val="002E7FC4"/>
    <w:rsid w:val="00310070"/>
    <w:rsid w:val="0031081B"/>
    <w:rsid w:val="003110EC"/>
    <w:rsid w:val="00314289"/>
    <w:rsid w:val="003206A6"/>
    <w:rsid w:val="0032560D"/>
    <w:rsid w:val="00327C92"/>
    <w:rsid w:val="00333292"/>
    <w:rsid w:val="003344E7"/>
    <w:rsid w:val="0033580B"/>
    <w:rsid w:val="003365E7"/>
    <w:rsid w:val="003378D5"/>
    <w:rsid w:val="003473D7"/>
    <w:rsid w:val="00351AC8"/>
    <w:rsid w:val="00353075"/>
    <w:rsid w:val="00363E02"/>
    <w:rsid w:val="00363F8C"/>
    <w:rsid w:val="00370201"/>
    <w:rsid w:val="00373A37"/>
    <w:rsid w:val="00373A96"/>
    <w:rsid w:val="003826C2"/>
    <w:rsid w:val="00383728"/>
    <w:rsid w:val="00384E57"/>
    <w:rsid w:val="003903BB"/>
    <w:rsid w:val="0039195E"/>
    <w:rsid w:val="00392627"/>
    <w:rsid w:val="00394128"/>
    <w:rsid w:val="00394ADC"/>
    <w:rsid w:val="00395235"/>
    <w:rsid w:val="0039561A"/>
    <w:rsid w:val="00397C7D"/>
    <w:rsid w:val="003A004F"/>
    <w:rsid w:val="003A2158"/>
    <w:rsid w:val="003A3AC4"/>
    <w:rsid w:val="003A5521"/>
    <w:rsid w:val="003B25A5"/>
    <w:rsid w:val="003B4130"/>
    <w:rsid w:val="003B715B"/>
    <w:rsid w:val="003C2C62"/>
    <w:rsid w:val="003C5566"/>
    <w:rsid w:val="003C577A"/>
    <w:rsid w:val="003C7E43"/>
    <w:rsid w:val="003D1D14"/>
    <w:rsid w:val="003D6C7C"/>
    <w:rsid w:val="003D6EFB"/>
    <w:rsid w:val="003D7E52"/>
    <w:rsid w:val="003E10B9"/>
    <w:rsid w:val="003E259A"/>
    <w:rsid w:val="003E25C6"/>
    <w:rsid w:val="003E46E1"/>
    <w:rsid w:val="003F7528"/>
    <w:rsid w:val="004011AA"/>
    <w:rsid w:val="0040202C"/>
    <w:rsid w:val="00404A8F"/>
    <w:rsid w:val="00406508"/>
    <w:rsid w:val="004110F6"/>
    <w:rsid w:val="00412755"/>
    <w:rsid w:val="0041456E"/>
    <w:rsid w:val="004148E3"/>
    <w:rsid w:val="00414F7E"/>
    <w:rsid w:val="004164F8"/>
    <w:rsid w:val="00421164"/>
    <w:rsid w:val="00426F05"/>
    <w:rsid w:val="004328E1"/>
    <w:rsid w:val="004427B7"/>
    <w:rsid w:val="0044349F"/>
    <w:rsid w:val="00443AB7"/>
    <w:rsid w:val="0044541D"/>
    <w:rsid w:val="00445F1F"/>
    <w:rsid w:val="00447862"/>
    <w:rsid w:val="00451F60"/>
    <w:rsid w:val="00452BB2"/>
    <w:rsid w:val="00456054"/>
    <w:rsid w:val="0045656D"/>
    <w:rsid w:val="00462D98"/>
    <w:rsid w:val="00463E7D"/>
    <w:rsid w:val="00472498"/>
    <w:rsid w:val="00472A44"/>
    <w:rsid w:val="00473A89"/>
    <w:rsid w:val="00475899"/>
    <w:rsid w:val="00482C78"/>
    <w:rsid w:val="00483ABC"/>
    <w:rsid w:val="0048634A"/>
    <w:rsid w:val="004874AE"/>
    <w:rsid w:val="0049056F"/>
    <w:rsid w:val="0049106C"/>
    <w:rsid w:val="004916E7"/>
    <w:rsid w:val="00491FF7"/>
    <w:rsid w:val="00492217"/>
    <w:rsid w:val="00494D24"/>
    <w:rsid w:val="004951D1"/>
    <w:rsid w:val="004960BB"/>
    <w:rsid w:val="004A1BA3"/>
    <w:rsid w:val="004A27D0"/>
    <w:rsid w:val="004A4D67"/>
    <w:rsid w:val="004B7E79"/>
    <w:rsid w:val="004C13CB"/>
    <w:rsid w:val="004C5B90"/>
    <w:rsid w:val="004D37D7"/>
    <w:rsid w:val="004D3D4B"/>
    <w:rsid w:val="004D4557"/>
    <w:rsid w:val="004D5498"/>
    <w:rsid w:val="004D66A5"/>
    <w:rsid w:val="004D6B00"/>
    <w:rsid w:val="004E1D50"/>
    <w:rsid w:val="004E3266"/>
    <w:rsid w:val="004E38BA"/>
    <w:rsid w:val="004E3EB6"/>
    <w:rsid w:val="004E50CA"/>
    <w:rsid w:val="004F27A0"/>
    <w:rsid w:val="0050027D"/>
    <w:rsid w:val="00501382"/>
    <w:rsid w:val="00502831"/>
    <w:rsid w:val="005048FB"/>
    <w:rsid w:val="00510798"/>
    <w:rsid w:val="005119B5"/>
    <w:rsid w:val="005125F1"/>
    <w:rsid w:val="005150CC"/>
    <w:rsid w:val="00524A11"/>
    <w:rsid w:val="00527768"/>
    <w:rsid w:val="00530EA4"/>
    <w:rsid w:val="005327FB"/>
    <w:rsid w:val="00533251"/>
    <w:rsid w:val="00533FCA"/>
    <w:rsid w:val="005346EF"/>
    <w:rsid w:val="005369F1"/>
    <w:rsid w:val="005470D4"/>
    <w:rsid w:val="0055705E"/>
    <w:rsid w:val="005616B5"/>
    <w:rsid w:val="00566690"/>
    <w:rsid w:val="005679A4"/>
    <w:rsid w:val="00574CE6"/>
    <w:rsid w:val="0059223D"/>
    <w:rsid w:val="0059365B"/>
    <w:rsid w:val="00593ABC"/>
    <w:rsid w:val="00597B15"/>
    <w:rsid w:val="005A044C"/>
    <w:rsid w:val="005A149F"/>
    <w:rsid w:val="005A3A32"/>
    <w:rsid w:val="005B2C9F"/>
    <w:rsid w:val="005B34C9"/>
    <w:rsid w:val="005B3C39"/>
    <w:rsid w:val="005B7D08"/>
    <w:rsid w:val="005C1D52"/>
    <w:rsid w:val="005D0200"/>
    <w:rsid w:val="005D44EF"/>
    <w:rsid w:val="005D5112"/>
    <w:rsid w:val="005D5D67"/>
    <w:rsid w:val="005F34CC"/>
    <w:rsid w:val="005F3914"/>
    <w:rsid w:val="005F3B5A"/>
    <w:rsid w:val="005F6AB4"/>
    <w:rsid w:val="00604549"/>
    <w:rsid w:val="0060572E"/>
    <w:rsid w:val="00606EBA"/>
    <w:rsid w:val="00607471"/>
    <w:rsid w:val="00610A66"/>
    <w:rsid w:val="006119B8"/>
    <w:rsid w:val="00613177"/>
    <w:rsid w:val="00613F7C"/>
    <w:rsid w:val="00614BF2"/>
    <w:rsid w:val="0061557C"/>
    <w:rsid w:val="00623DE2"/>
    <w:rsid w:val="00627601"/>
    <w:rsid w:val="006300D0"/>
    <w:rsid w:val="00632012"/>
    <w:rsid w:val="00634694"/>
    <w:rsid w:val="00634D55"/>
    <w:rsid w:val="00636517"/>
    <w:rsid w:val="00636EE7"/>
    <w:rsid w:val="00637690"/>
    <w:rsid w:val="00637ED5"/>
    <w:rsid w:val="00640E1E"/>
    <w:rsid w:val="00641BA3"/>
    <w:rsid w:val="0064389A"/>
    <w:rsid w:val="00645442"/>
    <w:rsid w:val="006525CD"/>
    <w:rsid w:val="00653F7F"/>
    <w:rsid w:val="006572DE"/>
    <w:rsid w:val="00662DCD"/>
    <w:rsid w:val="00662EE8"/>
    <w:rsid w:val="00663813"/>
    <w:rsid w:val="00664AFD"/>
    <w:rsid w:val="006665DC"/>
    <w:rsid w:val="00667567"/>
    <w:rsid w:val="0067391A"/>
    <w:rsid w:val="00674173"/>
    <w:rsid w:val="0067534F"/>
    <w:rsid w:val="00676A33"/>
    <w:rsid w:val="0067717E"/>
    <w:rsid w:val="00677D87"/>
    <w:rsid w:val="00690DB1"/>
    <w:rsid w:val="00693404"/>
    <w:rsid w:val="006953D9"/>
    <w:rsid w:val="006A1269"/>
    <w:rsid w:val="006A5803"/>
    <w:rsid w:val="006A65F3"/>
    <w:rsid w:val="006A69C3"/>
    <w:rsid w:val="006A7C15"/>
    <w:rsid w:val="006B1242"/>
    <w:rsid w:val="006B1DBC"/>
    <w:rsid w:val="006B1F84"/>
    <w:rsid w:val="006B3712"/>
    <w:rsid w:val="006B7D9A"/>
    <w:rsid w:val="006C06D9"/>
    <w:rsid w:val="006C3E22"/>
    <w:rsid w:val="006C5716"/>
    <w:rsid w:val="006C64B2"/>
    <w:rsid w:val="006C74A9"/>
    <w:rsid w:val="006D07DE"/>
    <w:rsid w:val="006D361A"/>
    <w:rsid w:val="006D4550"/>
    <w:rsid w:val="006D5B6D"/>
    <w:rsid w:val="006D6A81"/>
    <w:rsid w:val="006D7213"/>
    <w:rsid w:val="006E06D9"/>
    <w:rsid w:val="006E1D40"/>
    <w:rsid w:val="006E2E1F"/>
    <w:rsid w:val="006E5059"/>
    <w:rsid w:val="006F4C5B"/>
    <w:rsid w:val="006F5F03"/>
    <w:rsid w:val="006F5FFF"/>
    <w:rsid w:val="006F7F4C"/>
    <w:rsid w:val="00701431"/>
    <w:rsid w:val="00710804"/>
    <w:rsid w:val="00711FC6"/>
    <w:rsid w:val="00712952"/>
    <w:rsid w:val="007130B1"/>
    <w:rsid w:val="00713487"/>
    <w:rsid w:val="00715071"/>
    <w:rsid w:val="007231E9"/>
    <w:rsid w:val="00723731"/>
    <w:rsid w:val="00724F0E"/>
    <w:rsid w:val="007270A6"/>
    <w:rsid w:val="00727C59"/>
    <w:rsid w:val="007328C6"/>
    <w:rsid w:val="00733730"/>
    <w:rsid w:val="00734E5D"/>
    <w:rsid w:val="0073514E"/>
    <w:rsid w:val="00736013"/>
    <w:rsid w:val="00737BF8"/>
    <w:rsid w:val="0074339B"/>
    <w:rsid w:val="00750B60"/>
    <w:rsid w:val="00756245"/>
    <w:rsid w:val="00761662"/>
    <w:rsid w:val="00764043"/>
    <w:rsid w:val="00766A36"/>
    <w:rsid w:val="007757CF"/>
    <w:rsid w:val="007769F6"/>
    <w:rsid w:val="00780F9D"/>
    <w:rsid w:val="0078128F"/>
    <w:rsid w:val="007819D9"/>
    <w:rsid w:val="0078642F"/>
    <w:rsid w:val="0078683C"/>
    <w:rsid w:val="00790EDB"/>
    <w:rsid w:val="00791538"/>
    <w:rsid w:val="0079326E"/>
    <w:rsid w:val="00796E1C"/>
    <w:rsid w:val="00796EDE"/>
    <w:rsid w:val="007A5A58"/>
    <w:rsid w:val="007B1C56"/>
    <w:rsid w:val="007B29AB"/>
    <w:rsid w:val="007C1DD7"/>
    <w:rsid w:val="007C35D3"/>
    <w:rsid w:val="007C3CD5"/>
    <w:rsid w:val="007C4756"/>
    <w:rsid w:val="007C5E88"/>
    <w:rsid w:val="007C61EF"/>
    <w:rsid w:val="007D03DE"/>
    <w:rsid w:val="007D1C0D"/>
    <w:rsid w:val="007D2D23"/>
    <w:rsid w:val="007E27D6"/>
    <w:rsid w:val="007E2B06"/>
    <w:rsid w:val="007E3921"/>
    <w:rsid w:val="00801028"/>
    <w:rsid w:val="00803793"/>
    <w:rsid w:val="00804000"/>
    <w:rsid w:val="00805254"/>
    <w:rsid w:val="008101A2"/>
    <w:rsid w:val="00817A01"/>
    <w:rsid w:val="00820937"/>
    <w:rsid w:val="00825E35"/>
    <w:rsid w:val="00830A4E"/>
    <w:rsid w:val="008334F8"/>
    <w:rsid w:val="00834249"/>
    <w:rsid w:val="00835FFD"/>
    <w:rsid w:val="0084381F"/>
    <w:rsid w:val="00843E35"/>
    <w:rsid w:val="008455A8"/>
    <w:rsid w:val="00845F72"/>
    <w:rsid w:val="0084791E"/>
    <w:rsid w:val="00850A91"/>
    <w:rsid w:val="008524CE"/>
    <w:rsid w:val="00857633"/>
    <w:rsid w:val="00862EAF"/>
    <w:rsid w:val="00863491"/>
    <w:rsid w:val="0086440C"/>
    <w:rsid w:val="008674ED"/>
    <w:rsid w:val="00874EE6"/>
    <w:rsid w:val="00876659"/>
    <w:rsid w:val="0087734C"/>
    <w:rsid w:val="00882141"/>
    <w:rsid w:val="00886BD4"/>
    <w:rsid w:val="00886CA2"/>
    <w:rsid w:val="008876EC"/>
    <w:rsid w:val="008922A8"/>
    <w:rsid w:val="00895BD5"/>
    <w:rsid w:val="008A16C4"/>
    <w:rsid w:val="008A4A27"/>
    <w:rsid w:val="008A649F"/>
    <w:rsid w:val="008A6FED"/>
    <w:rsid w:val="008B0945"/>
    <w:rsid w:val="008B39C5"/>
    <w:rsid w:val="008B51AA"/>
    <w:rsid w:val="008C67F2"/>
    <w:rsid w:val="008C7E63"/>
    <w:rsid w:val="008D064A"/>
    <w:rsid w:val="008D2537"/>
    <w:rsid w:val="008D2B0F"/>
    <w:rsid w:val="008D633C"/>
    <w:rsid w:val="008D76DA"/>
    <w:rsid w:val="008D7DB2"/>
    <w:rsid w:val="008E449E"/>
    <w:rsid w:val="008E4BDD"/>
    <w:rsid w:val="008E770C"/>
    <w:rsid w:val="008F00F4"/>
    <w:rsid w:val="008F187F"/>
    <w:rsid w:val="008F402F"/>
    <w:rsid w:val="008F76E8"/>
    <w:rsid w:val="00904508"/>
    <w:rsid w:val="009078A1"/>
    <w:rsid w:val="00911E9C"/>
    <w:rsid w:val="0091345E"/>
    <w:rsid w:val="00917405"/>
    <w:rsid w:val="00920F7C"/>
    <w:rsid w:val="00922718"/>
    <w:rsid w:val="00924743"/>
    <w:rsid w:val="00932A87"/>
    <w:rsid w:val="00932F92"/>
    <w:rsid w:val="00934CAE"/>
    <w:rsid w:val="0093560E"/>
    <w:rsid w:val="0094257D"/>
    <w:rsid w:val="009443B6"/>
    <w:rsid w:val="00946F68"/>
    <w:rsid w:val="0095467C"/>
    <w:rsid w:val="00954A61"/>
    <w:rsid w:val="00955C6F"/>
    <w:rsid w:val="00956789"/>
    <w:rsid w:val="00966C7B"/>
    <w:rsid w:val="009679A2"/>
    <w:rsid w:val="009701DC"/>
    <w:rsid w:val="009715D8"/>
    <w:rsid w:val="009811A8"/>
    <w:rsid w:val="00985C4F"/>
    <w:rsid w:val="00986E3C"/>
    <w:rsid w:val="00991460"/>
    <w:rsid w:val="009932CF"/>
    <w:rsid w:val="009941BF"/>
    <w:rsid w:val="00995BF9"/>
    <w:rsid w:val="009975CC"/>
    <w:rsid w:val="009A0CAF"/>
    <w:rsid w:val="009A2207"/>
    <w:rsid w:val="009B0EDA"/>
    <w:rsid w:val="009B6C42"/>
    <w:rsid w:val="009C3F38"/>
    <w:rsid w:val="009D2998"/>
    <w:rsid w:val="009D31F7"/>
    <w:rsid w:val="009D32C2"/>
    <w:rsid w:val="009D50DB"/>
    <w:rsid w:val="009E2932"/>
    <w:rsid w:val="009E2DFA"/>
    <w:rsid w:val="009E3A0A"/>
    <w:rsid w:val="009F1936"/>
    <w:rsid w:val="009F3E91"/>
    <w:rsid w:val="009F4E0E"/>
    <w:rsid w:val="00A008DA"/>
    <w:rsid w:val="00A00C93"/>
    <w:rsid w:val="00A0571E"/>
    <w:rsid w:val="00A1397D"/>
    <w:rsid w:val="00A13A27"/>
    <w:rsid w:val="00A1499B"/>
    <w:rsid w:val="00A170D8"/>
    <w:rsid w:val="00A26BC5"/>
    <w:rsid w:val="00A27D73"/>
    <w:rsid w:val="00A30A1B"/>
    <w:rsid w:val="00A314C2"/>
    <w:rsid w:val="00A40B71"/>
    <w:rsid w:val="00A501BF"/>
    <w:rsid w:val="00A519A0"/>
    <w:rsid w:val="00A6249F"/>
    <w:rsid w:val="00A62A2E"/>
    <w:rsid w:val="00A63E86"/>
    <w:rsid w:val="00A75185"/>
    <w:rsid w:val="00A754A0"/>
    <w:rsid w:val="00A757C3"/>
    <w:rsid w:val="00A75E5B"/>
    <w:rsid w:val="00A75F4B"/>
    <w:rsid w:val="00A7684A"/>
    <w:rsid w:val="00A77B8B"/>
    <w:rsid w:val="00A80C58"/>
    <w:rsid w:val="00A83B69"/>
    <w:rsid w:val="00A86533"/>
    <w:rsid w:val="00A91CA2"/>
    <w:rsid w:val="00A9220A"/>
    <w:rsid w:val="00A92FB8"/>
    <w:rsid w:val="00A948F1"/>
    <w:rsid w:val="00AA0BE3"/>
    <w:rsid w:val="00AA18F9"/>
    <w:rsid w:val="00AA1D7D"/>
    <w:rsid w:val="00AA2790"/>
    <w:rsid w:val="00AA3806"/>
    <w:rsid w:val="00AB139D"/>
    <w:rsid w:val="00AB2A35"/>
    <w:rsid w:val="00AB2D05"/>
    <w:rsid w:val="00AB348D"/>
    <w:rsid w:val="00AB3EFB"/>
    <w:rsid w:val="00AC0B05"/>
    <w:rsid w:val="00AC1962"/>
    <w:rsid w:val="00AC7F9D"/>
    <w:rsid w:val="00AD079A"/>
    <w:rsid w:val="00AD1890"/>
    <w:rsid w:val="00AD6588"/>
    <w:rsid w:val="00AD7CCB"/>
    <w:rsid w:val="00AE2149"/>
    <w:rsid w:val="00AE2BF3"/>
    <w:rsid w:val="00AE33AE"/>
    <w:rsid w:val="00AE3F91"/>
    <w:rsid w:val="00AF5B63"/>
    <w:rsid w:val="00B0053D"/>
    <w:rsid w:val="00B039E3"/>
    <w:rsid w:val="00B06D36"/>
    <w:rsid w:val="00B12BC4"/>
    <w:rsid w:val="00B22838"/>
    <w:rsid w:val="00B30C9B"/>
    <w:rsid w:val="00B33E8F"/>
    <w:rsid w:val="00B33E95"/>
    <w:rsid w:val="00B3720B"/>
    <w:rsid w:val="00B372DF"/>
    <w:rsid w:val="00B420C8"/>
    <w:rsid w:val="00B45D0B"/>
    <w:rsid w:val="00B5558A"/>
    <w:rsid w:val="00B56513"/>
    <w:rsid w:val="00B5736B"/>
    <w:rsid w:val="00B576F1"/>
    <w:rsid w:val="00B6167E"/>
    <w:rsid w:val="00B61B64"/>
    <w:rsid w:val="00B64376"/>
    <w:rsid w:val="00B6570C"/>
    <w:rsid w:val="00B7401F"/>
    <w:rsid w:val="00B748E5"/>
    <w:rsid w:val="00B769CF"/>
    <w:rsid w:val="00B806C3"/>
    <w:rsid w:val="00B80D6F"/>
    <w:rsid w:val="00B84FCA"/>
    <w:rsid w:val="00B9089F"/>
    <w:rsid w:val="00B9127B"/>
    <w:rsid w:val="00B91826"/>
    <w:rsid w:val="00B91AEE"/>
    <w:rsid w:val="00B93568"/>
    <w:rsid w:val="00B95F5A"/>
    <w:rsid w:val="00B96EAD"/>
    <w:rsid w:val="00BA4B7C"/>
    <w:rsid w:val="00BA79F5"/>
    <w:rsid w:val="00BA7EA7"/>
    <w:rsid w:val="00BB30B2"/>
    <w:rsid w:val="00BB3AB6"/>
    <w:rsid w:val="00BB766D"/>
    <w:rsid w:val="00BC007B"/>
    <w:rsid w:val="00BC26BA"/>
    <w:rsid w:val="00BC35F8"/>
    <w:rsid w:val="00BC403F"/>
    <w:rsid w:val="00BC481B"/>
    <w:rsid w:val="00BD08DF"/>
    <w:rsid w:val="00BD2D29"/>
    <w:rsid w:val="00BD617C"/>
    <w:rsid w:val="00BE5974"/>
    <w:rsid w:val="00BE746B"/>
    <w:rsid w:val="00BE782C"/>
    <w:rsid w:val="00BF17B4"/>
    <w:rsid w:val="00BF376F"/>
    <w:rsid w:val="00BF426A"/>
    <w:rsid w:val="00BF46A6"/>
    <w:rsid w:val="00BF572F"/>
    <w:rsid w:val="00BF6CAD"/>
    <w:rsid w:val="00BF71FB"/>
    <w:rsid w:val="00C04DBF"/>
    <w:rsid w:val="00C05C07"/>
    <w:rsid w:val="00C05E4C"/>
    <w:rsid w:val="00C06545"/>
    <w:rsid w:val="00C11D8C"/>
    <w:rsid w:val="00C134AF"/>
    <w:rsid w:val="00C13A88"/>
    <w:rsid w:val="00C220FC"/>
    <w:rsid w:val="00C24DFA"/>
    <w:rsid w:val="00C24F9D"/>
    <w:rsid w:val="00C2521C"/>
    <w:rsid w:val="00C30182"/>
    <w:rsid w:val="00C31FC9"/>
    <w:rsid w:val="00C37581"/>
    <w:rsid w:val="00C37A63"/>
    <w:rsid w:val="00C42248"/>
    <w:rsid w:val="00C46A36"/>
    <w:rsid w:val="00C47037"/>
    <w:rsid w:val="00C509E3"/>
    <w:rsid w:val="00C53625"/>
    <w:rsid w:val="00C548BA"/>
    <w:rsid w:val="00C5679D"/>
    <w:rsid w:val="00C57784"/>
    <w:rsid w:val="00C602C1"/>
    <w:rsid w:val="00C63FC0"/>
    <w:rsid w:val="00C66392"/>
    <w:rsid w:val="00C71B9E"/>
    <w:rsid w:val="00C73D09"/>
    <w:rsid w:val="00C74C5E"/>
    <w:rsid w:val="00C768B0"/>
    <w:rsid w:val="00C82558"/>
    <w:rsid w:val="00C827A2"/>
    <w:rsid w:val="00C82965"/>
    <w:rsid w:val="00C82B69"/>
    <w:rsid w:val="00C82C8E"/>
    <w:rsid w:val="00C82CB3"/>
    <w:rsid w:val="00C91B28"/>
    <w:rsid w:val="00C91F3A"/>
    <w:rsid w:val="00C92E1A"/>
    <w:rsid w:val="00C93590"/>
    <w:rsid w:val="00CA4C7F"/>
    <w:rsid w:val="00CA5446"/>
    <w:rsid w:val="00CB123D"/>
    <w:rsid w:val="00CB14E5"/>
    <w:rsid w:val="00CB218D"/>
    <w:rsid w:val="00CB377B"/>
    <w:rsid w:val="00CB5625"/>
    <w:rsid w:val="00CB5797"/>
    <w:rsid w:val="00CC1400"/>
    <w:rsid w:val="00CC1C17"/>
    <w:rsid w:val="00CC4F7F"/>
    <w:rsid w:val="00CD09E1"/>
    <w:rsid w:val="00CE1780"/>
    <w:rsid w:val="00CE4913"/>
    <w:rsid w:val="00CE66BD"/>
    <w:rsid w:val="00CF0671"/>
    <w:rsid w:val="00CF247A"/>
    <w:rsid w:val="00CF44AD"/>
    <w:rsid w:val="00CF4D7C"/>
    <w:rsid w:val="00CF4FC0"/>
    <w:rsid w:val="00CF7486"/>
    <w:rsid w:val="00D1072F"/>
    <w:rsid w:val="00D108A5"/>
    <w:rsid w:val="00D12CF8"/>
    <w:rsid w:val="00D14585"/>
    <w:rsid w:val="00D153C8"/>
    <w:rsid w:val="00D169F2"/>
    <w:rsid w:val="00D20EFF"/>
    <w:rsid w:val="00D236BB"/>
    <w:rsid w:val="00D3019D"/>
    <w:rsid w:val="00D31324"/>
    <w:rsid w:val="00D4386E"/>
    <w:rsid w:val="00D51432"/>
    <w:rsid w:val="00D53ED8"/>
    <w:rsid w:val="00D541A0"/>
    <w:rsid w:val="00D54BB8"/>
    <w:rsid w:val="00D5697F"/>
    <w:rsid w:val="00D64857"/>
    <w:rsid w:val="00D6493A"/>
    <w:rsid w:val="00D649A5"/>
    <w:rsid w:val="00D660EA"/>
    <w:rsid w:val="00D66833"/>
    <w:rsid w:val="00D67875"/>
    <w:rsid w:val="00D71E86"/>
    <w:rsid w:val="00D72F0F"/>
    <w:rsid w:val="00D731C6"/>
    <w:rsid w:val="00D745C5"/>
    <w:rsid w:val="00D75327"/>
    <w:rsid w:val="00D77D6B"/>
    <w:rsid w:val="00D801FE"/>
    <w:rsid w:val="00D80C36"/>
    <w:rsid w:val="00D81A32"/>
    <w:rsid w:val="00D86EE1"/>
    <w:rsid w:val="00D90F82"/>
    <w:rsid w:val="00D945DC"/>
    <w:rsid w:val="00D95E90"/>
    <w:rsid w:val="00D96126"/>
    <w:rsid w:val="00DA2FD5"/>
    <w:rsid w:val="00DB0C86"/>
    <w:rsid w:val="00DB4B1C"/>
    <w:rsid w:val="00DB5085"/>
    <w:rsid w:val="00DB619F"/>
    <w:rsid w:val="00DB7211"/>
    <w:rsid w:val="00DC1062"/>
    <w:rsid w:val="00DC132C"/>
    <w:rsid w:val="00DC181A"/>
    <w:rsid w:val="00DC5727"/>
    <w:rsid w:val="00DD149F"/>
    <w:rsid w:val="00DD43F0"/>
    <w:rsid w:val="00DD44DE"/>
    <w:rsid w:val="00DE09AB"/>
    <w:rsid w:val="00DE352F"/>
    <w:rsid w:val="00DE4A3F"/>
    <w:rsid w:val="00DE5A99"/>
    <w:rsid w:val="00DF4367"/>
    <w:rsid w:val="00DF7291"/>
    <w:rsid w:val="00E03FF0"/>
    <w:rsid w:val="00E0574A"/>
    <w:rsid w:val="00E1243D"/>
    <w:rsid w:val="00E12742"/>
    <w:rsid w:val="00E146D4"/>
    <w:rsid w:val="00E14815"/>
    <w:rsid w:val="00E21D37"/>
    <w:rsid w:val="00E220ED"/>
    <w:rsid w:val="00E22B44"/>
    <w:rsid w:val="00E233AD"/>
    <w:rsid w:val="00E2457D"/>
    <w:rsid w:val="00E26EB1"/>
    <w:rsid w:val="00E30ACD"/>
    <w:rsid w:val="00E32735"/>
    <w:rsid w:val="00E34236"/>
    <w:rsid w:val="00E44B88"/>
    <w:rsid w:val="00E46AD2"/>
    <w:rsid w:val="00E50BFA"/>
    <w:rsid w:val="00E66E36"/>
    <w:rsid w:val="00E702ED"/>
    <w:rsid w:val="00E709A4"/>
    <w:rsid w:val="00E71D4A"/>
    <w:rsid w:val="00E75917"/>
    <w:rsid w:val="00E772DB"/>
    <w:rsid w:val="00E86012"/>
    <w:rsid w:val="00E860CA"/>
    <w:rsid w:val="00E86BAB"/>
    <w:rsid w:val="00E92962"/>
    <w:rsid w:val="00E94E10"/>
    <w:rsid w:val="00E96743"/>
    <w:rsid w:val="00E96A42"/>
    <w:rsid w:val="00E97497"/>
    <w:rsid w:val="00EA046F"/>
    <w:rsid w:val="00EA49C5"/>
    <w:rsid w:val="00EA6279"/>
    <w:rsid w:val="00EB402C"/>
    <w:rsid w:val="00EB5027"/>
    <w:rsid w:val="00EC1836"/>
    <w:rsid w:val="00EC3990"/>
    <w:rsid w:val="00EC484B"/>
    <w:rsid w:val="00EC7E58"/>
    <w:rsid w:val="00ED15FA"/>
    <w:rsid w:val="00ED4BB4"/>
    <w:rsid w:val="00ED5C9F"/>
    <w:rsid w:val="00EE050C"/>
    <w:rsid w:val="00EE2113"/>
    <w:rsid w:val="00EE34D0"/>
    <w:rsid w:val="00EE5730"/>
    <w:rsid w:val="00EE6E9A"/>
    <w:rsid w:val="00EF2AC4"/>
    <w:rsid w:val="00EF397E"/>
    <w:rsid w:val="00F0340C"/>
    <w:rsid w:val="00F04CED"/>
    <w:rsid w:val="00F06F68"/>
    <w:rsid w:val="00F11241"/>
    <w:rsid w:val="00F11D35"/>
    <w:rsid w:val="00F15E9D"/>
    <w:rsid w:val="00F23FA7"/>
    <w:rsid w:val="00F24C2D"/>
    <w:rsid w:val="00F272C4"/>
    <w:rsid w:val="00F27D59"/>
    <w:rsid w:val="00F316E1"/>
    <w:rsid w:val="00F31BE4"/>
    <w:rsid w:val="00F32155"/>
    <w:rsid w:val="00F32A81"/>
    <w:rsid w:val="00F40C82"/>
    <w:rsid w:val="00F4197F"/>
    <w:rsid w:val="00F41F2C"/>
    <w:rsid w:val="00F438EE"/>
    <w:rsid w:val="00F44F2A"/>
    <w:rsid w:val="00F45367"/>
    <w:rsid w:val="00F46998"/>
    <w:rsid w:val="00F5093F"/>
    <w:rsid w:val="00F5382D"/>
    <w:rsid w:val="00F53D9C"/>
    <w:rsid w:val="00F5462B"/>
    <w:rsid w:val="00F54653"/>
    <w:rsid w:val="00F569DE"/>
    <w:rsid w:val="00F57205"/>
    <w:rsid w:val="00F634AD"/>
    <w:rsid w:val="00F63677"/>
    <w:rsid w:val="00F659DA"/>
    <w:rsid w:val="00F671CE"/>
    <w:rsid w:val="00F674DA"/>
    <w:rsid w:val="00F70658"/>
    <w:rsid w:val="00F74B50"/>
    <w:rsid w:val="00F75B81"/>
    <w:rsid w:val="00F761CA"/>
    <w:rsid w:val="00F804C4"/>
    <w:rsid w:val="00F80C7E"/>
    <w:rsid w:val="00F82F83"/>
    <w:rsid w:val="00F90C64"/>
    <w:rsid w:val="00F9210C"/>
    <w:rsid w:val="00F92B30"/>
    <w:rsid w:val="00F933B9"/>
    <w:rsid w:val="00F94674"/>
    <w:rsid w:val="00F94919"/>
    <w:rsid w:val="00F94A59"/>
    <w:rsid w:val="00FA25B6"/>
    <w:rsid w:val="00FA2FAF"/>
    <w:rsid w:val="00FA54F6"/>
    <w:rsid w:val="00FA64B1"/>
    <w:rsid w:val="00FA70F3"/>
    <w:rsid w:val="00FA71CD"/>
    <w:rsid w:val="00FB0453"/>
    <w:rsid w:val="00FB0C07"/>
    <w:rsid w:val="00FB298D"/>
    <w:rsid w:val="00FB3171"/>
    <w:rsid w:val="00FB444E"/>
    <w:rsid w:val="00FB5DC9"/>
    <w:rsid w:val="00FC1439"/>
    <w:rsid w:val="00FC3F65"/>
    <w:rsid w:val="00FC5007"/>
    <w:rsid w:val="00FC724B"/>
    <w:rsid w:val="00FC7910"/>
    <w:rsid w:val="00FD01E0"/>
    <w:rsid w:val="00FD50FC"/>
    <w:rsid w:val="00FE1627"/>
    <w:rsid w:val="00FE2D4E"/>
    <w:rsid w:val="00FE4C3C"/>
    <w:rsid w:val="00FF092F"/>
    <w:rsid w:val="00FF0DA7"/>
    <w:rsid w:val="00FF2DF6"/>
    <w:rsid w:val="00FF44E0"/>
    <w:rsid w:val="00FF6C72"/>
    <w:rsid w:val="015659DA"/>
    <w:rsid w:val="017814AB"/>
    <w:rsid w:val="01E054EB"/>
    <w:rsid w:val="02111F7F"/>
    <w:rsid w:val="02486573"/>
    <w:rsid w:val="02511F45"/>
    <w:rsid w:val="031F3DF1"/>
    <w:rsid w:val="035F40DD"/>
    <w:rsid w:val="03EF075E"/>
    <w:rsid w:val="04643CEC"/>
    <w:rsid w:val="04F512AE"/>
    <w:rsid w:val="05464FE1"/>
    <w:rsid w:val="057535C8"/>
    <w:rsid w:val="05AC0D47"/>
    <w:rsid w:val="05BE5B43"/>
    <w:rsid w:val="062C3E14"/>
    <w:rsid w:val="063B7194"/>
    <w:rsid w:val="06CE52A8"/>
    <w:rsid w:val="06D45B32"/>
    <w:rsid w:val="0726460B"/>
    <w:rsid w:val="074D717F"/>
    <w:rsid w:val="07C16525"/>
    <w:rsid w:val="081D2FF5"/>
    <w:rsid w:val="08275D1C"/>
    <w:rsid w:val="09420285"/>
    <w:rsid w:val="095459D8"/>
    <w:rsid w:val="0A6D6A59"/>
    <w:rsid w:val="0ACB4F8A"/>
    <w:rsid w:val="0AD835BA"/>
    <w:rsid w:val="0AF87D87"/>
    <w:rsid w:val="0B451DA9"/>
    <w:rsid w:val="0B482118"/>
    <w:rsid w:val="0B6D7C36"/>
    <w:rsid w:val="0BA80E28"/>
    <w:rsid w:val="0BCF3D44"/>
    <w:rsid w:val="0BD115F6"/>
    <w:rsid w:val="0BE33FF4"/>
    <w:rsid w:val="0C6852C9"/>
    <w:rsid w:val="0CAD5C6C"/>
    <w:rsid w:val="0CD223C8"/>
    <w:rsid w:val="0E0662D9"/>
    <w:rsid w:val="0E483041"/>
    <w:rsid w:val="0F960BD1"/>
    <w:rsid w:val="10042CED"/>
    <w:rsid w:val="1008578A"/>
    <w:rsid w:val="103D2038"/>
    <w:rsid w:val="1056270F"/>
    <w:rsid w:val="10A342B4"/>
    <w:rsid w:val="10DE709A"/>
    <w:rsid w:val="1106239D"/>
    <w:rsid w:val="115D4691"/>
    <w:rsid w:val="11956312"/>
    <w:rsid w:val="12067E67"/>
    <w:rsid w:val="122E4051"/>
    <w:rsid w:val="1239229F"/>
    <w:rsid w:val="12FC1310"/>
    <w:rsid w:val="14257B28"/>
    <w:rsid w:val="14442136"/>
    <w:rsid w:val="144F6932"/>
    <w:rsid w:val="1581002A"/>
    <w:rsid w:val="15A828EB"/>
    <w:rsid w:val="1625111E"/>
    <w:rsid w:val="162C08A7"/>
    <w:rsid w:val="17750F09"/>
    <w:rsid w:val="1784011D"/>
    <w:rsid w:val="17C074F9"/>
    <w:rsid w:val="18F5648F"/>
    <w:rsid w:val="19AB482C"/>
    <w:rsid w:val="19E155F7"/>
    <w:rsid w:val="19F53DD2"/>
    <w:rsid w:val="1B702C90"/>
    <w:rsid w:val="1C077DEC"/>
    <w:rsid w:val="1C0E2385"/>
    <w:rsid w:val="1C3523E7"/>
    <w:rsid w:val="1C422BD3"/>
    <w:rsid w:val="1CBC1C20"/>
    <w:rsid w:val="1CEA7FA2"/>
    <w:rsid w:val="1D242E44"/>
    <w:rsid w:val="1D543672"/>
    <w:rsid w:val="1DE52AD1"/>
    <w:rsid w:val="1E661151"/>
    <w:rsid w:val="1E711203"/>
    <w:rsid w:val="1EAA2CB1"/>
    <w:rsid w:val="1ECC0E79"/>
    <w:rsid w:val="1F3276F4"/>
    <w:rsid w:val="1F560E6C"/>
    <w:rsid w:val="1F5B3AC8"/>
    <w:rsid w:val="1F6F3219"/>
    <w:rsid w:val="1FA74594"/>
    <w:rsid w:val="1FEE0D9C"/>
    <w:rsid w:val="207356D7"/>
    <w:rsid w:val="20986D11"/>
    <w:rsid w:val="20C11F53"/>
    <w:rsid w:val="20D93916"/>
    <w:rsid w:val="21817CF9"/>
    <w:rsid w:val="22230DB0"/>
    <w:rsid w:val="23086EBB"/>
    <w:rsid w:val="23907598"/>
    <w:rsid w:val="23E06A22"/>
    <w:rsid w:val="242C3F8C"/>
    <w:rsid w:val="2449262D"/>
    <w:rsid w:val="24673AC7"/>
    <w:rsid w:val="246F40D7"/>
    <w:rsid w:val="24774A18"/>
    <w:rsid w:val="24832342"/>
    <w:rsid w:val="24A06DFA"/>
    <w:rsid w:val="24DB55B1"/>
    <w:rsid w:val="24F829C8"/>
    <w:rsid w:val="254C4AC2"/>
    <w:rsid w:val="255B6AB3"/>
    <w:rsid w:val="259C64B2"/>
    <w:rsid w:val="25AE6FE4"/>
    <w:rsid w:val="25B10902"/>
    <w:rsid w:val="25B14925"/>
    <w:rsid w:val="25B6018D"/>
    <w:rsid w:val="264562B9"/>
    <w:rsid w:val="264A4804"/>
    <w:rsid w:val="26D97A21"/>
    <w:rsid w:val="26E33204"/>
    <w:rsid w:val="270311B0"/>
    <w:rsid w:val="27206206"/>
    <w:rsid w:val="272730F1"/>
    <w:rsid w:val="278A787E"/>
    <w:rsid w:val="27AA76B5"/>
    <w:rsid w:val="27D0449F"/>
    <w:rsid w:val="27E85AF1"/>
    <w:rsid w:val="28090FC9"/>
    <w:rsid w:val="28CC25CB"/>
    <w:rsid w:val="293D53F0"/>
    <w:rsid w:val="296333CC"/>
    <w:rsid w:val="297406FE"/>
    <w:rsid w:val="29A053DC"/>
    <w:rsid w:val="29B368CB"/>
    <w:rsid w:val="29C966E1"/>
    <w:rsid w:val="2A18755E"/>
    <w:rsid w:val="2ACB0984"/>
    <w:rsid w:val="2B465B0F"/>
    <w:rsid w:val="2B806CA3"/>
    <w:rsid w:val="2B9B0870"/>
    <w:rsid w:val="2BED6E09"/>
    <w:rsid w:val="2BF1310D"/>
    <w:rsid w:val="2C486C71"/>
    <w:rsid w:val="2C736DD8"/>
    <w:rsid w:val="2C7A6F87"/>
    <w:rsid w:val="2CE1610E"/>
    <w:rsid w:val="2D1633EB"/>
    <w:rsid w:val="2D29131A"/>
    <w:rsid w:val="2D595FCE"/>
    <w:rsid w:val="2DFA27F2"/>
    <w:rsid w:val="2E0F48DF"/>
    <w:rsid w:val="2E3D3BD6"/>
    <w:rsid w:val="2F041965"/>
    <w:rsid w:val="2F4714B5"/>
    <w:rsid w:val="302E5052"/>
    <w:rsid w:val="30522E72"/>
    <w:rsid w:val="305953C1"/>
    <w:rsid w:val="308E41E1"/>
    <w:rsid w:val="30A06B8B"/>
    <w:rsid w:val="30C614DB"/>
    <w:rsid w:val="30E016AE"/>
    <w:rsid w:val="3131460A"/>
    <w:rsid w:val="3167117C"/>
    <w:rsid w:val="31E85C7B"/>
    <w:rsid w:val="321F6DA8"/>
    <w:rsid w:val="322F2A2C"/>
    <w:rsid w:val="325A081E"/>
    <w:rsid w:val="32847649"/>
    <w:rsid w:val="32D94B0D"/>
    <w:rsid w:val="32FA3DAF"/>
    <w:rsid w:val="3321791E"/>
    <w:rsid w:val="34D523DE"/>
    <w:rsid w:val="350E7D08"/>
    <w:rsid w:val="351C625F"/>
    <w:rsid w:val="355359F9"/>
    <w:rsid w:val="361D268E"/>
    <w:rsid w:val="3676199F"/>
    <w:rsid w:val="36864E20"/>
    <w:rsid w:val="36A7772F"/>
    <w:rsid w:val="3701395E"/>
    <w:rsid w:val="377E398B"/>
    <w:rsid w:val="37A20F4B"/>
    <w:rsid w:val="37A37610"/>
    <w:rsid w:val="388F4F35"/>
    <w:rsid w:val="38AF2CB3"/>
    <w:rsid w:val="39766CC7"/>
    <w:rsid w:val="397A3CF9"/>
    <w:rsid w:val="3A086314"/>
    <w:rsid w:val="3A190B5C"/>
    <w:rsid w:val="3A610753"/>
    <w:rsid w:val="3A88267B"/>
    <w:rsid w:val="3ABC17A9"/>
    <w:rsid w:val="3AF61300"/>
    <w:rsid w:val="3B201ED9"/>
    <w:rsid w:val="3B92336A"/>
    <w:rsid w:val="3BE9676F"/>
    <w:rsid w:val="3CB44A05"/>
    <w:rsid w:val="3CD127B4"/>
    <w:rsid w:val="3CDE30DD"/>
    <w:rsid w:val="3D412F1E"/>
    <w:rsid w:val="3D464925"/>
    <w:rsid w:val="3D5045E3"/>
    <w:rsid w:val="3D7A7FC6"/>
    <w:rsid w:val="3DAC5CA6"/>
    <w:rsid w:val="3DB01C3A"/>
    <w:rsid w:val="3E654273"/>
    <w:rsid w:val="3E693B97"/>
    <w:rsid w:val="3E8E1868"/>
    <w:rsid w:val="3EA330BF"/>
    <w:rsid w:val="3F3426F2"/>
    <w:rsid w:val="3F406CD4"/>
    <w:rsid w:val="3F5B7E92"/>
    <w:rsid w:val="3F636838"/>
    <w:rsid w:val="3F8F0431"/>
    <w:rsid w:val="3FE61943"/>
    <w:rsid w:val="400D0A24"/>
    <w:rsid w:val="40254DC4"/>
    <w:rsid w:val="40534AFF"/>
    <w:rsid w:val="40587C42"/>
    <w:rsid w:val="407B7BAD"/>
    <w:rsid w:val="40CC5C49"/>
    <w:rsid w:val="40CF687B"/>
    <w:rsid w:val="412D35A2"/>
    <w:rsid w:val="41357067"/>
    <w:rsid w:val="41BB0BAE"/>
    <w:rsid w:val="425202DB"/>
    <w:rsid w:val="42842924"/>
    <w:rsid w:val="43747266"/>
    <w:rsid w:val="442C5D93"/>
    <w:rsid w:val="443A04B0"/>
    <w:rsid w:val="446C618F"/>
    <w:rsid w:val="45246A6A"/>
    <w:rsid w:val="45C83899"/>
    <w:rsid w:val="465C4C5A"/>
    <w:rsid w:val="466C2476"/>
    <w:rsid w:val="46834078"/>
    <w:rsid w:val="469E3992"/>
    <w:rsid w:val="46CD39A5"/>
    <w:rsid w:val="47B3062E"/>
    <w:rsid w:val="47BF14D3"/>
    <w:rsid w:val="47FA40E1"/>
    <w:rsid w:val="481608EC"/>
    <w:rsid w:val="48455675"/>
    <w:rsid w:val="485E6108"/>
    <w:rsid w:val="48665B32"/>
    <w:rsid w:val="48743B3D"/>
    <w:rsid w:val="488129B6"/>
    <w:rsid w:val="48931F3C"/>
    <w:rsid w:val="48C801FD"/>
    <w:rsid w:val="48F503AE"/>
    <w:rsid w:val="49360411"/>
    <w:rsid w:val="49B276EA"/>
    <w:rsid w:val="49B55F4A"/>
    <w:rsid w:val="49BF2A4F"/>
    <w:rsid w:val="4A82747C"/>
    <w:rsid w:val="4B137364"/>
    <w:rsid w:val="4B1A4B97"/>
    <w:rsid w:val="4B3F6A09"/>
    <w:rsid w:val="4BBC7D76"/>
    <w:rsid w:val="4BD5286C"/>
    <w:rsid w:val="4BE342AF"/>
    <w:rsid w:val="4C3D21C3"/>
    <w:rsid w:val="4C871439"/>
    <w:rsid w:val="4CB62884"/>
    <w:rsid w:val="4CCB12D0"/>
    <w:rsid w:val="4CCD17A0"/>
    <w:rsid w:val="4D4759EB"/>
    <w:rsid w:val="4D545FE5"/>
    <w:rsid w:val="4DBC0187"/>
    <w:rsid w:val="4E182E02"/>
    <w:rsid w:val="4E356F32"/>
    <w:rsid w:val="4EA15069"/>
    <w:rsid w:val="4EB64BD7"/>
    <w:rsid w:val="4F0911AA"/>
    <w:rsid w:val="4FC350DF"/>
    <w:rsid w:val="500718A1"/>
    <w:rsid w:val="50D4718B"/>
    <w:rsid w:val="50E0418D"/>
    <w:rsid w:val="51973BEE"/>
    <w:rsid w:val="51CC4711"/>
    <w:rsid w:val="52934B86"/>
    <w:rsid w:val="52CB277F"/>
    <w:rsid w:val="52F06484"/>
    <w:rsid w:val="536C1ECE"/>
    <w:rsid w:val="549B76CF"/>
    <w:rsid w:val="54CD3304"/>
    <w:rsid w:val="55076190"/>
    <w:rsid w:val="55084E98"/>
    <w:rsid w:val="55131DDA"/>
    <w:rsid w:val="556C28C7"/>
    <w:rsid w:val="55C027DF"/>
    <w:rsid w:val="56356D29"/>
    <w:rsid w:val="565B309E"/>
    <w:rsid w:val="56613EA7"/>
    <w:rsid w:val="569C7B41"/>
    <w:rsid w:val="56C66210"/>
    <w:rsid w:val="5809250B"/>
    <w:rsid w:val="58150BC0"/>
    <w:rsid w:val="58170ED4"/>
    <w:rsid w:val="58443253"/>
    <w:rsid w:val="59140E77"/>
    <w:rsid w:val="5A9F6E67"/>
    <w:rsid w:val="5AE425FE"/>
    <w:rsid w:val="5B323837"/>
    <w:rsid w:val="5B4A43E7"/>
    <w:rsid w:val="5BBC0EAA"/>
    <w:rsid w:val="5C1F025F"/>
    <w:rsid w:val="5C391541"/>
    <w:rsid w:val="5C703D3E"/>
    <w:rsid w:val="5CA01A5A"/>
    <w:rsid w:val="5CDF6A99"/>
    <w:rsid w:val="5D1350D5"/>
    <w:rsid w:val="5DF97B87"/>
    <w:rsid w:val="5E444470"/>
    <w:rsid w:val="5E9241C4"/>
    <w:rsid w:val="5EED6E3D"/>
    <w:rsid w:val="5F722862"/>
    <w:rsid w:val="5F926F9A"/>
    <w:rsid w:val="5FC77254"/>
    <w:rsid w:val="5FD41360"/>
    <w:rsid w:val="602B6B61"/>
    <w:rsid w:val="60665609"/>
    <w:rsid w:val="60705C16"/>
    <w:rsid w:val="60B17C07"/>
    <w:rsid w:val="60E92BEA"/>
    <w:rsid w:val="60EC26DA"/>
    <w:rsid w:val="610619ED"/>
    <w:rsid w:val="610C541D"/>
    <w:rsid w:val="618B06FA"/>
    <w:rsid w:val="6295006F"/>
    <w:rsid w:val="62EC6F6D"/>
    <w:rsid w:val="64EA414E"/>
    <w:rsid w:val="652524CF"/>
    <w:rsid w:val="6545060B"/>
    <w:rsid w:val="65C92B13"/>
    <w:rsid w:val="65CB0B10"/>
    <w:rsid w:val="65EC5638"/>
    <w:rsid w:val="66A009FE"/>
    <w:rsid w:val="66AF7314"/>
    <w:rsid w:val="66B141AA"/>
    <w:rsid w:val="6840412D"/>
    <w:rsid w:val="68694660"/>
    <w:rsid w:val="68A71695"/>
    <w:rsid w:val="68FE6526"/>
    <w:rsid w:val="692F6511"/>
    <w:rsid w:val="69900C85"/>
    <w:rsid w:val="69C2626D"/>
    <w:rsid w:val="69DF102E"/>
    <w:rsid w:val="6A3B3D97"/>
    <w:rsid w:val="6A554E4C"/>
    <w:rsid w:val="6A753740"/>
    <w:rsid w:val="6B0F2FA0"/>
    <w:rsid w:val="6B7834E8"/>
    <w:rsid w:val="6BA95B9A"/>
    <w:rsid w:val="6D447E9A"/>
    <w:rsid w:val="6D602485"/>
    <w:rsid w:val="6D674868"/>
    <w:rsid w:val="6D6904D2"/>
    <w:rsid w:val="6DAB4122"/>
    <w:rsid w:val="6E087F44"/>
    <w:rsid w:val="6E511DCE"/>
    <w:rsid w:val="6E672132"/>
    <w:rsid w:val="6E794F8F"/>
    <w:rsid w:val="6EB34681"/>
    <w:rsid w:val="6F5B5C8E"/>
    <w:rsid w:val="701557F7"/>
    <w:rsid w:val="70AE27C1"/>
    <w:rsid w:val="71036B2E"/>
    <w:rsid w:val="7104581E"/>
    <w:rsid w:val="7104645B"/>
    <w:rsid w:val="71193077"/>
    <w:rsid w:val="719170B1"/>
    <w:rsid w:val="71CD20B4"/>
    <w:rsid w:val="72743DB7"/>
    <w:rsid w:val="727447D3"/>
    <w:rsid w:val="72C26334"/>
    <w:rsid w:val="72C62AF2"/>
    <w:rsid w:val="72D91BAA"/>
    <w:rsid w:val="73025D8D"/>
    <w:rsid w:val="730A0F49"/>
    <w:rsid w:val="735859AD"/>
    <w:rsid w:val="736E72E6"/>
    <w:rsid w:val="7376123F"/>
    <w:rsid w:val="73C963C3"/>
    <w:rsid w:val="74A40E4C"/>
    <w:rsid w:val="74AB7FD4"/>
    <w:rsid w:val="74AE38FD"/>
    <w:rsid w:val="74FC2405"/>
    <w:rsid w:val="753F634B"/>
    <w:rsid w:val="756E14B8"/>
    <w:rsid w:val="76402E54"/>
    <w:rsid w:val="765631C5"/>
    <w:rsid w:val="76797C2F"/>
    <w:rsid w:val="76FC1307"/>
    <w:rsid w:val="775678A3"/>
    <w:rsid w:val="77784870"/>
    <w:rsid w:val="782A0DA6"/>
    <w:rsid w:val="785E2585"/>
    <w:rsid w:val="788C05D2"/>
    <w:rsid w:val="78C37D6C"/>
    <w:rsid w:val="795F2373"/>
    <w:rsid w:val="796E35ED"/>
    <w:rsid w:val="799B26EC"/>
    <w:rsid w:val="79AF7ABE"/>
    <w:rsid w:val="79FA090D"/>
    <w:rsid w:val="7A480529"/>
    <w:rsid w:val="7A804167"/>
    <w:rsid w:val="7AA41C13"/>
    <w:rsid w:val="7AD24297"/>
    <w:rsid w:val="7AD61FD9"/>
    <w:rsid w:val="7AFD5272"/>
    <w:rsid w:val="7B021ACD"/>
    <w:rsid w:val="7B1E7CC8"/>
    <w:rsid w:val="7BB3231A"/>
    <w:rsid w:val="7BDA2045"/>
    <w:rsid w:val="7C0D1A2A"/>
    <w:rsid w:val="7C312D2E"/>
    <w:rsid w:val="7CC3640F"/>
    <w:rsid w:val="7CDB3A84"/>
    <w:rsid w:val="7D3B4910"/>
    <w:rsid w:val="7DA8331F"/>
    <w:rsid w:val="7E2B05D7"/>
    <w:rsid w:val="7E2B263C"/>
    <w:rsid w:val="7ECA330F"/>
    <w:rsid w:val="7F285D26"/>
    <w:rsid w:val="7F2C0419"/>
    <w:rsid w:val="7FA206DC"/>
    <w:rsid w:val="7FBA7615"/>
    <w:rsid w:val="7FCC20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0"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iPriority="0" w:semiHidden="0" w:name="footnote text"/>
    <w:lsdException w:qFormat="1" w:unhideWhenUsed="0" w:uiPriority="0" w:semiHidden="0" w:name="annotation text"/>
    <w:lsdException w:qFormat="1" w:uiPriority="99" w:semiHidden="0" w:name="header"/>
    <w:lsdException w:qFormat="1" w:uiPriority="99" w:semiHidden="0" w:name="footer"/>
    <w:lsdException w:qFormat="1" w:unhideWhenUsed="0" w:uiPriority="0"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qFormat="1" w:uiPriority="0" w:semiHidden="0"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0" w:semiHidden="0" w:name="Body Text Indent"/>
    <w:lsdException w:qFormat="1" w:unhideWhenUsed="0" w:uiPriority="0" w:semiHidden="0" w:name="List Continue"/>
    <w:lsdException w:qFormat="1" w:unhideWhenUsed="0" w:uiPriority="0" w:semiHidden="0" w:name="List Continue 2"/>
    <w:lsdException w:uiPriority="99" w:name="List Continue 3"/>
    <w:lsdException w:qFormat="1" w:unhideWhenUsed="0" w:uiPriority="0" w:semiHidden="0"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iPriority="99" w:name="Body Text First Indent"/>
    <w:lsdException w:qFormat="1" w:unhideWhenUsed="0"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nhideWhenUsed="0" w:uiPriority="0" w:semiHidden="0" w:name="HTML Sample"/>
    <w:lsdException w:qFormat="1" w:uiPriority="99" w:name="HTML Typewriter"/>
    <w:lsdException w:qFormat="1"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宋体" w:hAnsi="宋体" w:eastAsia="宋体" w:cstheme="minorBidi"/>
      <w:lang w:val="en-US" w:eastAsia="zh-CN" w:bidi="ar-SA"/>
    </w:rPr>
  </w:style>
  <w:style w:type="paragraph" w:styleId="3">
    <w:name w:val="heading 1"/>
    <w:basedOn w:val="1"/>
    <w:next w:val="1"/>
    <w:link w:val="91"/>
    <w:autoRedefine/>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04"/>
    <w:autoRedefine/>
    <w:unhideWhenUsed/>
    <w:qFormat/>
    <w:uiPriority w:val="0"/>
    <w:pPr>
      <w:keepNext/>
      <w:keepLines/>
      <w:spacing w:before="260" w:after="260" w:line="416" w:lineRule="auto"/>
      <w:outlineLvl w:val="1"/>
    </w:pPr>
    <w:rPr>
      <w:rFonts w:ascii="Cambria" w:hAnsi="Cambria" w:cs="Times New Roman"/>
      <w:b/>
      <w:bCs/>
      <w:kern w:val="2"/>
      <w:sz w:val="32"/>
      <w:szCs w:val="32"/>
      <w:lang w:val="zh-CN"/>
    </w:rPr>
  </w:style>
  <w:style w:type="paragraph" w:styleId="5">
    <w:name w:val="heading 3"/>
    <w:basedOn w:val="1"/>
    <w:next w:val="1"/>
    <w:link w:val="93"/>
    <w:autoRedefine/>
    <w:unhideWhenUsed/>
    <w:qFormat/>
    <w:uiPriority w:val="0"/>
    <w:pPr>
      <w:keepNext/>
      <w:keepLines/>
      <w:spacing w:before="260" w:after="260" w:line="416" w:lineRule="auto"/>
      <w:outlineLvl w:val="2"/>
    </w:pPr>
    <w:rPr>
      <w:b/>
      <w:bCs/>
      <w:sz w:val="32"/>
      <w:szCs w:val="32"/>
    </w:rPr>
  </w:style>
  <w:style w:type="paragraph" w:styleId="6">
    <w:name w:val="heading 4"/>
    <w:basedOn w:val="1"/>
    <w:next w:val="1"/>
    <w:link w:val="98"/>
    <w:autoRedefine/>
    <w:qFormat/>
    <w:uiPriority w:val="0"/>
    <w:pPr>
      <w:keepNext/>
      <w:keepLines/>
      <w:spacing w:before="280" w:after="290" w:line="376" w:lineRule="auto"/>
      <w:outlineLvl w:val="3"/>
    </w:pPr>
    <w:rPr>
      <w:b/>
      <w:bCs/>
      <w:sz w:val="28"/>
      <w:szCs w:val="28"/>
    </w:rPr>
  </w:style>
  <w:style w:type="paragraph" w:styleId="7">
    <w:name w:val="heading 5"/>
    <w:basedOn w:val="1"/>
    <w:next w:val="1"/>
    <w:link w:val="105"/>
    <w:autoRedefine/>
    <w:qFormat/>
    <w:uiPriority w:val="0"/>
    <w:pPr>
      <w:keepNext/>
      <w:keepLines/>
      <w:spacing w:before="280" w:after="290" w:line="376" w:lineRule="auto"/>
      <w:outlineLvl w:val="4"/>
    </w:pPr>
    <w:rPr>
      <w:rFonts w:ascii="Calibri" w:hAnsi="Calibri" w:cs="Times New Roman"/>
      <w:b/>
      <w:bCs/>
      <w:kern w:val="2"/>
      <w:sz w:val="28"/>
      <w:szCs w:val="28"/>
      <w:lang w:val="zh-CN"/>
    </w:rPr>
  </w:style>
  <w:style w:type="paragraph" w:styleId="8">
    <w:name w:val="heading 6"/>
    <w:basedOn w:val="7"/>
    <w:next w:val="1"/>
    <w:link w:val="106"/>
    <w:autoRedefine/>
    <w:qFormat/>
    <w:uiPriority w:val="0"/>
    <w:pPr>
      <w:tabs>
        <w:tab w:val="left" w:pos="1440"/>
      </w:tabs>
      <w:spacing w:before="260" w:after="260" w:line="360" w:lineRule="auto"/>
      <w:ind w:left="1134" w:hanging="1134"/>
      <w:outlineLvl w:val="5"/>
    </w:pPr>
    <w:rPr>
      <w:rFonts w:ascii="Times New Roman" w:hAnsi="Times New Roman"/>
      <w:sz w:val="30"/>
      <w:szCs w:val="18"/>
    </w:rPr>
  </w:style>
  <w:style w:type="paragraph" w:styleId="9">
    <w:name w:val="heading 7"/>
    <w:basedOn w:val="8"/>
    <w:next w:val="1"/>
    <w:link w:val="107"/>
    <w:autoRedefine/>
    <w:qFormat/>
    <w:uiPriority w:val="0"/>
    <w:pPr>
      <w:tabs>
        <w:tab w:val="left" w:pos="1800"/>
        <w:tab w:val="clear" w:pos="1440"/>
      </w:tabs>
      <w:ind w:left="1276" w:hanging="1276"/>
      <w:outlineLvl w:val="6"/>
    </w:pPr>
  </w:style>
  <w:style w:type="paragraph" w:styleId="10">
    <w:name w:val="heading 8"/>
    <w:basedOn w:val="1"/>
    <w:next w:val="1"/>
    <w:link w:val="108"/>
    <w:autoRedefine/>
    <w:qFormat/>
    <w:uiPriority w:val="0"/>
    <w:pPr>
      <w:keepNext/>
      <w:keepLines/>
      <w:spacing w:line="400" w:lineRule="exact"/>
      <w:jc w:val="center"/>
      <w:outlineLvl w:val="7"/>
    </w:pPr>
    <w:rPr>
      <w:rFonts w:eastAsia="黑体" w:cs="Times New Roman"/>
      <w:kern w:val="2"/>
      <w:sz w:val="32"/>
      <w:szCs w:val="32"/>
      <w:lang w:val="zh-CN"/>
    </w:rPr>
  </w:style>
  <w:style w:type="paragraph" w:styleId="11">
    <w:name w:val="heading 9"/>
    <w:basedOn w:val="1"/>
    <w:next w:val="1"/>
    <w:link w:val="109"/>
    <w:autoRedefine/>
    <w:unhideWhenUsed/>
    <w:qFormat/>
    <w:uiPriority w:val="0"/>
    <w:pPr>
      <w:keepNext/>
      <w:keepLines/>
      <w:spacing w:before="240" w:after="64" w:line="320" w:lineRule="auto"/>
      <w:outlineLvl w:val="8"/>
    </w:pPr>
    <w:rPr>
      <w:rFonts w:ascii="Cambria" w:hAnsi="Cambria" w:cs="Times New Roman"/>
      <w:kern w:val="2"/>
      <w:sz w:val="21"/>
      <w:szCs w:val="21"/>
      <w:lang w:val="zh-CN"/>
    </w:rPr>
  </w:style>
  <w:style w:type="character" w:default="1" w:styleId="57">
    <w:name w:val="Default Paragraph Font"/>
    <w:autoRedefine/>
    <w:semiHidden/>
    <w:unhideWhenUsed/>
    <w:qFormat/>
    <w:uiPriority w:val="1"/>
  </w:style>
  <w:style w:type="table" w:default="1" w:styleId="5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link w:val="99"/>
    <w:autoRedefine/>
    <w:qFormat/>
    <w:uiPriority w:val="0"/>
    <w:pPr>
      <w:spacing w:after="120"/>
    </w:pPr>
    <w:rPr>
      <w:rFonts w:ascii="@微软简标宋" w:hAnsi="@微软简标宋" w:eastAsia="@微软简标宋" w:cs="@微软简标宋"/>
      <w:szCs w:val="24"/>
      <w:lang w:val="zh-CN"/>
    </w:rPr>
  </w:style>
  <w:style w:type="paragraph" w:styleId="12">
    <w:name w:val="List 3"/>
    <w:basedOn w:val="1"/>
    <w:autoRedefine/>
    <w:qFormat/>
    <w:uiPriority w:val="0"/>
    <w:pPr>
      <w:ind w:left="100" w:leftChars="400" w:hanging="200" w:hangingChars="200"/>
    </w:pPr>
    <w:rPr>
      <w:rFonts w:ascii="Calibri" w:hAnsi="Calibri" w:cs="Times New Roman"/>
      <w:kern w:val="2"/>
      <w:sz w:val="21"/>
      <w:szCs w:val="22"/>
    </w:rPr>
  </w:style>
  <w:style w:type="paragraph" w:styleId="13">
    <w:name w:val="toc 7"/>
    <w:basedOn w:val="1"/>
    <w:next w:val="1"/>
    <w:autoRedefine/>
    <w:unhideWhenUsed/>
    <w:qFormat/>
    <w:uiPriority w:val="39"/>
    <w:pPr>
      <w:ind w:left="1260"/>
      <w:jc w:val="left"/>
    </w:pPr>
    <w:rPr>
      <w:rFonts w:ascii="Calibri" w:hAnsi="Calibri" w:cs="Calibri"/>
      <w:kern w:val="2"/>
      <w:sz w:val="18"/>
      <w:szCs w:val="18"/>
    </w:rPr>
  </w:style>
  <w:style w:type="paragraph" w:styleId="14">
    <w:name w:val="Normal Indent"/>
    <w:basedOn w:val="1"/>
    <w:autoRedefine/>
    <w:qFormat/>
    <w:uiPriority w:val="0"/>
    <w:pPr>
      <w:autoSpaceDE w:val="0"/>
      <w:autoSpaceDN w:val="0"/>
      <w:adjustRightInd w:val="0"/>
      <w:ind w:firstLine="420"/>
      <w:jc w:val="left"/>
    </w:pPr>
    <w:rPr>
      <w:rFonts w:hAnsi="Times New Roman" w:cs="Times New Roman"/>
      <w:sz w:val="24"/>
    </w:rPr>
  </w:style>
  <w:style w:type="paragraph" w:styleId="15">
    <w:name w:val="caption"/>
    <w:basedOn w:val="1"/>
    <w:next w:val="1"/>
    <w:autoRedefine/>
    <w:qFormat/>
    <w:uiPriority w:val="0"/>
    <w:pPr>
      <w:spacing w:before="152" w:after="160"/>
    </w:pPr>
    <w:rPr>
      <w:rFonts w:ascii="Arial" w:hAnsi="Arial" w:eastAsia="黑体" w:cs="Arial"/>
      <w:kern w:val="2"/>
    </w:rPr>
  </w:style>
  <w:style w:type="paragraph" w:styleId="16">
    <w:name w:val="Document Map"/>
    <w:basedOn w:val="1"/>
    <w:link w:val="154"/>
    <w:autoRedefine/>
    <w:qFormat/>
    <w:uiPriority w:val="0"/>
    <w:pPr>
      <w:shd w:val="clear" w:color="auto" w:fill="000080"/>
    </w:pPr>
    <w:rPr>
      <w:rFonts w:ascii="Calibri" w:hAnsi="Calibri" w:cs="Times New Roman"/>
      <w:bCs/>
      <w:kern w:val="2"/>
      <w:sz w:val="21"/>
      <w:szCs w:val="32"/>
      <w:lang w:val="zh-CN"/>
    </w:rPr>
  </w:style>
  <w:style w:type="paragraph" w:styleId="17">
    <w:name w:val="annotation text"/>
    <w:basedOn w:val="1"/>
    <w:link w:val="90"/>
    <w:autoRedefine/>
    <w:qFormat/>
    <w:uiPriority w:val="0"/>
    <w:pPr>
      <w:jc w:val="left"/>
    </w:pPr>
    <w:rPr>
      <w:rFonts w:ascii="Arial" w:hAnsi="Arial" w:eastAsia="黑体" w:cs="Arial"/>
    </w:rPr>
  </w:style>
  <w:style w:type="paragraph" w:styleId="18">
    <w:name w:val="Salutation"/>
    <w:basedOn w:val="1"/>
    <w:next w:val="1"/>
    <w:link w:val="120"/>
    <w:autoRedefine/>
    <w:qFormat/>
    <w:uiPriority w:val="0"/>
    <w:rPr>
      <w:rFonts w:ascii="仿宋_GB2312" w:hAnsi="Times New Roman" w:eastAsia="仿宋_GB2312" w:cs="Times New Roman"/>
      <w:kern w:val="2"/>
      <w:sz w:val="28"/>
      <w:lang w:val="zh-CN"/>
    </w:rPr>
  </w:style>
  <w:style w:type="paragraph" w:styleId="19">
    <w:name w:val="Body Text 3"/>
    <w:basedOn w:val="1"/>
    <w:link w:val="140"/>
    <w:autoRedefine/>
    <w:qFormat/>
    <w:uiPriority w:val="0"/>
    <w:pPr>
      <w:adjustRightInd w:val="0"/>
      <w:snapToGrid w:val="0"/>
    </w:pPr>
    <w:rPr>
      <w:rFonts w:ascii="仿宋_GB2312" w:eastAsia="仿宋_GB2312" w:cs="Times New Roman"/>
      <w:bCs/>
      <w:color w:val="000000"/>
      <w:kern w:val="2"/>
      <w:sz w:val="24"/>
      <w:szCs w:val="32"/>
      <w:lang w:val="zh-CN"/>
    </w:rPr>
  </w:style>
  <w:style w:type="paragraph" w:styleId="20">
    <w:name w:val="Body Text Indent"/>
    <w:basedOn w:val="1"/>
    <w:next w:val="21"/>
    <w:link w:val="114"/>
    <w:autoRedefine/>
    <w:unhideWhenUsed/>
    <w:qFormat/>
    <w:uiPriority w:val="0"/>
    <w:pPr>
      <w:spacing w:after="120"/>
      <w:ind w:left="420" w:leftChars="200"/>
    </w:pPr>
    <w:rPr>
      <w:rFonts w:asciiTheme="minorHAnsi" w:hAnsiTheme="minorHAnsi"/>
      <w:kern w:val="2"/>
      <w:sz w:val="21"/>
      <w:szCs w:val="22"/>
    </w:rPr>
  </w:style>
  <w:style w:type="paragraph" w:styleId="21">
    <w:name w:val="envelope return"/>
    <w:basedOn w:val="1"/>
    <w:next w:val="13"/>
    <w:qFormat/>
    <w:uiPriority w:val="0"/>
    <w:pPr>
      <w:snapToGrid w:val="0"/>
    </w:pPr>
    <w:rPr>
      <w:rFonts w:ascii="Arial" w:hAnsi="Arial"/>
    </w:rPr>
  </w:style>
  <w:style w:type="paragraph" w:styleId="22">
    <w:name w:val="List 2"/>
    <w:basedOn w:val="1"/>
    <w:autoRedefine/>
    <w:qFormat/>
    <w:uiPriority w:val="0"/>
    <w:pPr>
      <w:ind w:left="100" w:leftChars="200" w:hanging="200" w:hangingChars="200"/>
    </w:pPr>
    <w:rPr>
      <w:rFonts w:ascii="Calibri" w:hAnsi="Calibri" w:cs="Times New Roman"/>
      <w:kern w:val="2"/>
      <w:sz w:val="21"/>
      <w:szCs w:val="22"/>
    </w:rPr>
  </w:style>
  <w:style w:type="paragraph" w:styleId="23">
    <w:name w:val="List Continue"/>
    <w:basedOn w:val="1"/>
    <w:autoRedefine/>
    <w:qFormat/>
    <w:uiPriority w:val="0"/>
    <w:pPr>
      <w:spacing w:after="120"/>
      <w:ind w:left="420" w:leftChars="200"/>
    </w:pPr>
    <w:rPr>
      <w:rFonts w:ascii="Calibri" w:hAnsi="Calibri" w:cs="Times New Roman"/>
      <w:kern w:val="2"/>
      <w:sz w:val="21"/>
      <w:szCs w:val="22"/>
    </w:rPr>
  </w:style>
  <w:style w:type="paragraph" w:styleId="24">
    <w:name w:val="Block Text"/>
    <w:basedOn w:val="1"/>
    <w:autoRedefine/>
    <w:qFormat/>
    <w:uiPriority w:val="0"/>
    <w:pPr>
      <w:autoSpaceDE w:val="0"/>
      <w:autoSpaceDN w:val="0"/>
      <w:adjustRightInd w:val="0"/>
      <w:spacing w:line="1270" w:lineRule="exact"/>
      <w:ind w:left="2160" w:right="-20" w:hanging="2160" w:hangingChars="300"/>
      <w:jc w:val="left"/>
    </w:pPr>
    <w:rPr>
      <w:rFonts w:ascii="Calibri" w:hAnsi="Calibri" w:eastAsia="仿宋_GB2312" w:cs="Times New Roman"/>
      <w:kern w:val="2"/>
      <w:sz w:val="72"/>
    </w:rPr>
  </w:style>
  <w:style w:type="paragraph" w:styleId="25">
    <w:name w:val="index 4"/>
    <w:basedOn w:val="1"/>
    <w:next w:val="1"/>
    <w:autoRedefine/>
    <w:qFormat/>
    <w:uiPriority w:val="0"/>
    <w:pPr>
      <w:ind w:left="600" w:leftChars="600"/>
    </w:pPr>
    <w:rPr>
      <w:rFonts w:ascii="Times New Roman" w:hAnsi="Times New Roman" w:cs="Times New Roman"/>
      <w:kern w:val="2"/>
      <w:sz w:val="21"/>
      <w:szCs w:val="24"/>
    </w:rPr>
  </w:style>
  <w:style w:type="paragraph" w:styleId="26">
    <w:name w:val="toc 5"/>
    <w:basedOn w:val="1"/>
    <w:next w:val="1"/>
    <w:autoRedefine/>
    <w:unhideWhenUsed/>
    <w:qFormat/>
    <w:uiPriority w:val="39"/>
    <w:pPr>
      <w:ind w:left="840"/>
      <w:jc w:val="left"/>
    </w:pPr>
    <w:rPr>
      <w:rFonts w:ascii="Calibri" w:hAnsi="Calibri" w:cs="Calibri"/>
      <w:kern w:val="2"/>
      <w:sz w:val="18"/>
      <w:szCs w:val="18"/>
    </w:rPr>
  </w:style>
  <w:style w:type="paragraph" w:styleId="27">
    <w:name w:val="toc 3"/>
    <w:basedOn w:val="1"/>
    <w:next w:val="1"/>
    <w:autoRedefine/>
    <w:unhideWhenUsed/>
    <w:qFormat/>
    <w:uiPriority w:val="39"/>
    <w:pPr>
      <w:widowControl/>
      <w:spacing w:after="100" w:line="276" w:lineRule="auto"/>
      <w:ind w:left="440"/>
      <w:jc w:val="left"/>
    </w:pPr>
    <w:rPr>
      <w:rFonts w:asciiTheme="minorHAnsi" w:hAnsiTheme="minorHAnsi" w:eastAsiaTheme="minorEastAsia"/>
      <w:sz w:val="22"/>
      <w:szCs w:val="22"/>
    </w:rPr>
  </w:style>
  <w:style w:type="paragraph" w:styleId="28">
    <w:name w:val="Plain Text"/>
    <w:basedOn w:val="1"/>
    <w:link w:val="79"/>
    <w:autoRedefine/>
    <w:qFormat/>
    <w:uiPriority w:val="0"/>
    <w:rPr>
      <w:rFonts w:hAnsi="Courier New" w:eastAsiaTheme="minorEastAsia"/>
      <w:szCs w:val="22"/>
    </w:rPr>
  </w:style>
  <w:style w:type="paragraph" w:styleId="29">
    <w:name w:val="toc 8"/>
    <w:basedOn w:val="1"/>
    <w:next w:val="1"/>
    <w:autoRedefine/>
    <w:unhideWhenUsed/>
    <w:qFormat/>
    <w:uiPriority w:val="39"/>
    <w:pPr>
      <w:ind w:left="1470"/>
      <w:jc w:val="left"/>
    </w:pPr>
    <w:rPr>
      <w:rFonts w:ascii="Calibri" w:hAnsi="Calibri" w:cs="Calibri"/>
      <w:kern w:val="2"/>
      <w:sz w:val="18"/>
      <w:szCs w:val="18"/>
    </w:rPr>
  </w:style>
  <w:style w:type="paragraph" w:styleId="30">
    <w:name w:val="Date"/>
    <w:basedOn w:val="1"/>
    <w:next w:val="1"/>
    <w:link w:val="86"/>
    <w:autoRedefine/>
    <w:qFormat/>
    <w:uiPriority w:val="0"/>
    <w:rPr>
      <w:rFonts w:ascii="Arial" w:hAnsi="Arial" w:cs="Arial"/>
      <w:b/>
      <w:sz w:val="28"/>
    </w:rPr>
  </w:style>
  <w:style w:type="paragraph" w:styleId="31">
    <w:name w:val="Body Text Indent 2"/>
    <w:basedOn w:val="1"/>
    <w:next w:val="1"/>
    <w:link w:val="136"/>
    <w:autoRedefine/>
    <w:qFormat/>
    <w:uiPriority w:val="0"/>
    <w:pPr>
      <w:widowControl/>
      <w:overflowPunct w:val="0"/>
      <w:autoSpaceDE w:val="0"/>
      <w:autoSpaceDN w:val="0"/>
      <w:adjustRightInd w:val="0"/>
      <w:spacing w:line="360" w:lineRule="auto"/>
      <w:ind w:firstLine="555"/>
      <w:textAlignment w:val="baseline"/>
    </w:pPr>
    <w:rPr>
      <w:rFonts w:hAnsi="MS Sans Serif" w:cs="Times New Roman"/>
      <w:bCs/>
      <w:spacing w:val="12"/>
      <w:sz w:val="24"/>
      <w:lang w:val="zh-CN"/>
    </w:rPr>
  </w:style>
  <w:style w:type="paragraph" w:styleId="32">
    <w:name w:val="Balloon Text"/>
    <w:basedOn w:val="1"/>
    <w:link w:val="73"/>
    <w:autoRedefine/>
    <w:unhideWhenUsed/>
    <w:qFormat/>
    <w:uiPriority w:val="0"/>
    <w:rPr>
      <w:sz w:val="18"/>
      <w:szCs w:val="18"/>
    </w:rPr>
  </w:style>
  <w:style w:type="paragraph" w:styleId="33">
    <w:name w:val="footer"/>
    <w:basedOn w:val="1"/>
    <w:link w:val="78"/>
    <w:autoRedefine/>
    <w:unhideWhenUsed/>
    <w:qFormat/>
    <w:uiPriority w:val="99"/>
    <w:pPr>
      <w:tabs>
        <w:tab w:val="center" w:pos="4153"/>
        <w:tab w:val="right" w:pos="8306"/>
      </w:tabs>
      <w:snapToGrid w:val="0"/>
      <w:jc w:val="left"/>
    </w:pPr>
    <w:rPr>
      <w:sz w:val="18"/>
      <w:szCs w:val="18"/>
    </w:rPr>
  </w:style>
  <w:style w:type="paragraph" w:styleId="34">
    <w:name w:val="header"/>
    <w:basedOn w:val="1"/>
    <w:link w:val="7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autoRedefine/>
    <w:unhideWhenUsed/>
    <w:qFormat/>
    <w:uiPriority w:val="39"/>
    <w:pPr>
      <w:widowControl/>
      <w:spacing w:after="100" w:line="276" w:lineRule="auto"/>
      <w:jc w:val="left"/>
    </w:pPr>
    <w:rPr>
      <w:rFonts w:asciiTheme="minorHAnsi" w:hAnsiTheme="minorHAnsi" w:eastAsiaTheme="minorEastAsia"/>
      <w:sz w:val="22"/>
      <w:szCs w:val="22"/>
    </w:rPr>
  </w:style>
  <w:style w:type="paragraph" w:styleId="36">
    <w:name w:val="List Continue 4"/>
    <w:basedOn w:val="1"/>
    <w:autoRedefine/>
    <w:qFormat/>
    <w:uiPriority w:val="0"/>
    <w:pPr>
      <w:spacing w:after="120"/>
      <w:ind w:left="1680" w:leftChars="800"/>
    </w:pPr>
    <w:rPr>
      <w:rFonts w:ascii="Calibri" w:hAnsi="Calibri" w:cs="Times New Roman"/>
      <w:kern w:val="2"/>
      <w:sz w:val="21"/>
      <w:szCs w:val="22"/>
    </w:rPr>
  </w:style>
  <w:style w:type="paragraph" w:styleId="37">
    <w:name w:val="toc 4"/>
    <w:basedOn w:val="1"/>
    <w:next w:val="1"/>
    <w:autoRedefine/>
    <w:unhideWhenUsed/>
    <w:qFormat/>
    <w:uiPriority w:val="39"/>
    <w:pPr>
      <w:ind w:left="630"/>
      <w:jc w:val="left"/>
    </w:pPr>
    <w:rPr>
      <w:rFonts w:ascii="Calibri" w:hAnsi="Calibri" w:cs="Calibri"/>
      <w:kern w:val="2"/>
      <w:sz w:val="18"/>
      <w:szCs w:val="18"/>
    </w:rPr>
  </w:style>
  <w:style w:type="paragraph" w:styleId="38">
    <w:name w:val="index heading"/>
    <w:basedOn w:val="1"/>
    <w:next w:val="39"/>
    <w:autoRedefine/>
    <w:semiHidden/>
    <w:qFormat/>
    <w:uiPriority w:val="0"/>
    <w:rPr>
      <w:rFonts w:ascii="Times New Roman" w:hAnsi="Times New Roman" w:cs="Times New Roman"/>
      <w:kern w:val="2"/>
      <w:sz w:val="21"/>
      <w:szCs w:val="24"/>
    </w:rPr>
  </w:style>
  <w:style w:type="paragraph" w:styleId="39">
    <w:name w:val="index 1"/>
    <w:basedOn w:val="1"/>
    <w:next w:val="1"/>
    <w:autoRedefine/>
    <w:qFormat/>
    <w:uiPriority w:val="0"/>
    <w:pPr>
      <w:jc w:val="center"/>
    </w:pPr>
    <w:rPr>
      <w:rFonts w:ascii="Arial" w:hAnsi="Arial" w:eastAsia="Arial" w:cs="Arial"/>
      <w:b/>
      <w:bCs/>
      <w:sz w:val="28"/>
    </w:rPr>
  </w:style>
  <w:style w:type="paragraph" w:styleId="40">
    <w:name w:val="Subtitle"/>
    <w:basedOn w:val="1"/>
    <w:link w:val="228"/>
    <w:autoRedefine/>
    <w:qFormat/>
    <w:uiPriority w:val="0"/>
    <w:pPr>
      <w:spacing w:before="240" w:after="60" w:line="312" w:lineRule="auto"/>
      <w:jc w:val="center"/>
      <w:outlineLvl w:val="1"/>
    </w:pPr>
    <w:rPr>
      <w:rFonts w:ascii="Arial" w:hAnsi="Arial" w:cs="Times New Roman"/>
      <w:b/>
      <w:bCs/>
      <w:kern w:val="28"/>
      <w:sz w:val="32"/>
      <w:szCs w:val="32"/>
      <w:lang w:val="zh-CN"/>
    </w:rPr>
  </w:style>
  <w:style w:type="paragraph" w:styleId="41">
    <w:name w:val="List"/>
    <w:basedOn w:val="1"/>
    <w:autoRedefine/>
    <w:qFormat/>
    <w:uiPriority w:val="0"/>
    <w:pPr>
      <w:ind w:left="200" w:hanging="200" w:hangingChars="200"/>
    </w:pPr>
    <w:rPr>
      <w:rFonts w:ascii="Calibri" w:hAnsi="Calibri" w:cs="Times New Roman"/>
      <w:kern w:val="2"/>
      <w:sz w:val="21"/>
      <w:szCs w:val="22"/>
    </w:rPr>
  </w:style>
  <w:style w:type="paragraph" w:styleId="42">
    <w:name w:val="footnote text"/>
    <w:basedOn w:val="1"/>
    <w:link w:val="116"/>
    <w:autoRedefine/>
    <w:unhideWhenUsed/>
    <w:qFormat/>
    <w:uiPriority w:val="0"/>
    <w:pPr>
      <w:snapToGrid w:val="0"/>
      <w:jc w:val="left"/>
    </w:pPr>
    <w:rPr>
      <w:rFonts w:ascii="Times New Roman" w:hAnsi="Times New Roman" w:cs="Times New Roman"/>
      <w:kern w:val="2"/>
      <w:sz w:val="18"/>
      <w:szCs w:val="18"/>
      <w:lang w:val="zh-CN"/>
    </w:rPr>
  </w:style>
  <w:style w:type="paragraph" w:styleId="43">
    <w:name w:val="toc 6"/>
    <w:basedOn w:val="1"/>
    <w:next w:val="1"/>
    <w:autoRedefine/>
    <w:unhideWhenUsed/>
    <w:qFormat/>
    <w:uiPriority w:val="39"/>
    <w:pPr>
      <w:ind w:left="1050"/>
      <w:jc w:val="left"/>
    </w:pPr>
    <w:rPr>
      <w:rFonts w:ascii="Calibri" w:hAnsi="Calibri" w:cs="Calibri"/>
      <w:kern w:val="2"/>
      <w:sz w:val="18"/>
      <w:szCs w:val="18"/>
    </w:rPr>
  </w:style>
  <w:style w:type="paragraph" w:styleId="44">
    <w:name w:val="Body Text Indent 3"/>
    <w:basedOn w:val="1"/>
    <w:link w:val="135"/>
    <w:autoRedefine/>
    <w:qFormat/>
    <w:uiPriority w:val="0"/>
    <w:pPr>
      <w:widowControl/>
      <w:overflowPunct w:val="0"/>
      <w:autoSpaceDE w:val="0"/>
      <w:autoSpaceDN w:val="0"/>
      <w:adjustRightInd w:val="0"/>
      <w:spacing w:line="360" w:lineRule="auto"/>
      <w:ind w:firstLine="540"/>
      <w:textAlignment w:val="baseline"/>
    </w:pPr>
    <w:rPr>
      <w:rFonts w:hAnsi="MS Sans Serif" w:cs="Times New Roman"/>
      <w:bCs/>
      <w:color w:val="000000"/>
      <w:sz w:val="24"/>
      <w:lang w:val="zh-CN"/>
    </w:rPr>
  </w:style>
  <w:style w:type="paragraph" w:styleId="45">
    <w:name w:val="toc 2"/>
    <w:basedOn w:val="1"/>
    <w:next w:val="1"/>
    <w:autoRedefine/>
    <w:unhideWhenUsed/>
    <w:qFormat/>
    <w:uiPriority w:val="39"/>
    <w:pPr>
      <w:widowControl/>
      <w:spacing w:after="100" w:line="276" w:lineRule="auto"/>
      <w:ind w:left="220"/>
      <w:jc w:val="left"/>
    </w:pPr>
    <w:rPr>
      <w:rFonts w:asciiTheme="minorHAnsi" w:hAnsiTheme="minorHAnsi" w:eastAsiaTheme="minorEastAsia"/>
      <w:sz w:val="22"/>
      <w:szCs w:val="22"/>
    </w:rPr>
  </w:style>
  <w:style w:type="paragraph" w:styleId="46">
    <w:name w:val="toc 9"/>
    <w:basedOn w:val="1"/>
    <w:next w:val="1"/>
    <w:autoRedefine/>
    <w:unhideWhenUsed/>
    <w:qFormat/>
    <w:uiPriority w:val="39"/>
    <w:pPr>
      <w:ind w:left="1680"/>
      <w:jc w:val="left"/>
    </w:pPr>
    <w:rPr>
      <w:rFonts w:ascii="Calibri" w:hAnsi="Calibri" w:cs="Calibri"/>
      <w:kern w:val="2"/>
      <w:sz w:val="18"/>
      <w:szCs w:val="18"/>
    </w:rPr>
  </w:style>
  <w:style w:type="paragraph" w:styleId="47">
    <w:name w:val="Body Text 2"/>
    <w:basedOn w:val="1"/>
    <w:link w:val="139"/>
    <w:autoRedefine/>
    <w:qFormat/>
    <w:uiPriority w:val="0"/>
    <w:pPr>
      <w:spacing w:line="360" w:lineRule="auto"/>
    </w:pPr>
    <w:rPr>
      <w:rFonts w:hAnsi="Times New Roman" w:cs="Times New Roman"/>
      <w:spacing w:val="-20"/>
      <w:kern w:val="2"/>
      <w:sz w:val="28"/>
      <w:lang w:val="zh-CN"/>
    </w:rPr>
  </w:style>
  <w:style w:type="paragraph" w:styleId="48">
    <w:name w:val="List 4"/>
    <w:basedOn w:val="1"/>
    <w:autoRedefine/>
    <w:qFormat/>
    <w:uiPriority w:val="0"/>
    <w:pPr>
      <w:ind w:left="100" w:leftChars="600" w:hanging="200" w:hangingChars="200"/>
    </w:pPr>
    <w:rPr>
      <w:rFonts w:ascii="Calibri" w:hAnsi="Calibri" w:cs="Times New Roman"/>
      <w:kern w:val="2"/>
      <w:sz w:val="21"/>
      <w:szCs w:val="22"/>
    </w:rPr>
  </w:style>
  <w:style w:type="paragraph" w:styleId="49">
    <w:name w:val="List Continue 2"/>
    <w:basedOn w:val="1"/>
    <w:autoRedefine/>
    <w:qFormat/>
    <w:uiPriority w:val="0"/>
    <w:pPr>
      <w:spacing w:after="120"/>
      <w:ind w:left="840" w:leftChars="400"/>
    </w:pPr>
    <w:rPr>
      <w:rFonts w:ascii="Calibri" w:hAnsi="Calibri" w:cs="Times New Roman"/>
      <w:kern w:val="2"/>
      <w:sz w:val="21"/>
      <w:szCs w:val="22"/>
    </w:rPr>
  </w:style>
  <w:style w:type="paragraph" w:styleId="50">
    <w:name w:val="Normal (Web)"/>
    <w:basedOn w:val="1"/>
    <w:autoRedefine/>
    <w:qFormat/>
    <w:uiPriority w:val="0"/>
    <w:pPr>
      <w:widowControl/>
      <w:spacing w:before="100" w:beforeAutospacing="1" w:after="100" w:afterAutospacing="1"/>
      <w:jc w:val="left"/>
    </w:pPr>
    <w:rPr>
      <w:rFonts w:cs="宋体"/>
      <w:color w:val="0066CC"/>
      <w:sz w:val="24"/>
      <w:szCs w:val="24"/>
    </w:rPr>
  </w:style>
  <w:style w:type="paragraph" w:styleId="51">
    <w:name w:val="Title"/>
    <w:basedOn w:val="4"/>
    <w:next w:val="1"/>
    <w:link w:val="143"/>
    <w:autoRedefine/>
    <w:qFormat/>
    <w:uiPriority w:val="0"/>
    <w:pPr>
      <w:spacing w:before="0" w:after="0" w:line="360" w:lineRule="auto"/>
      <w:jc w:val="center"/>
    </w:pPr>
    <w:rPr>
      <w:rFonts w:ascii="宋体" w:hAnsi="宋体" w:eastAsia="黑体"/>
      <w:bCs w:val="0"/>
      <w:smallCaps/>
      <w:snapToGrid w:val="0"/>
      <w:sz w:val="44"/>
      <w:szCs w:val="24"/>
    </w:rPr>
  </w:style>
  <w:style w:type="paragraph" w:styleId="52">
    <w:name w:val="annotation subject"/>
    <w:basedOn w:val="17"/>
    <w:next w:val="17"/>
    <w:link w:val="101"/>
    <w:autoRedefine/>
    <w:unhideWhenUsed/>
    <w:qFormat/>
    <w:uiPriority w:val="0"/>
    <w:rPr>
      <w:rFonts w:ascii="宋体" w:hAnsi="宋体" w:eastAsia="宋体" w:cstheme="minorBidi"/>
      <w:b/>
      <w:bCs/>
    </w:rPr>
  </w:style>
  <w:style w:type="paragraph" w:styleId="53">
    <w:name w:val="Body Text First Indent"/>
    <w:basedOn w:val="2"/>
    <w:autoRedefine/>
    <w:semiHidden/>
    <w:unhideWhenUsed/>
    <w:qFormat/>
    <w:uiPriority w:val="99"/>
    <w:pPr>
      <w:ind w:firstLine="420" w:firstLineChars="100"/>
    </w:pPr>
  </w:style>
  <w:style w:type="paragraph" w:styleId="54">
    <w:name w:val="Body Text First Indent 2"/>
    <w:basedOn w:val="20"/>
    <w:next w:val="1"/>
    <w:qFormat/>
    <w:uiPriority w:val="99"/>
    <w:pPr>
      <w:ind w:firstLine="420" w:firstLineChars="200"/>
    </w:pPr>
  </w:style>
  <w:style w:type="table" w:styleId="56">
    <w:name w:val="Table Grid"/>
    <w:basedOn w:val="55"/>
    <w:autoRedefine/>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8">
    <w:name w:val="Strong"/>
    <w:autoRedefine/>
    <w:qFormat/>
    <w:uiPriority w:val="0"/>
    <w:rPr>
      <w:b/>
      <w:bCs/>
    </w:rPr>
  </w:style>
  <w:style w:type="character" w:styleId="59">
    <w:name w:val="page number"/>
    <w:basedOn w:val="57"/>
    <w:autoRedefine/>
    <w:qFormat/>
    <w:uiPriority w:val="0"/>
  </w:style>
  <w:style w:type="character" w:styleId="60">
    <w:name w:val="FollowedHyperlink"/>
    <w:basedOn w:val="57"/>
    <w:autoRedefine/>
    <w:semiHidden/>
    <w:unhideWhenUsed/>
    <w:qFormat/>
    <w:uiPriority w:val="99"/>
    <w:rPr>
      <w:color w:val="800080" w:themeColor="followedHyperlink"/>
      <w:u w:val="single"/>
      <w14:textFill>
        <w14:solidFill>
          <w14:schemeClr w14:val="folHlink"/>
        </w14:solidFill>
      </w14:textFill>
    </w:rPr>
  </w:style>
  <w:style w:type="character" w:styleId="61">
    <w:name w:val="Emphasis"/>
    <w:autoRedefine/>
    <w:qFormat/>
    <w:uiPriority w:val="0"/>
    <w:rPr>
      <w:color w:val="CC0033"/>
    </w:rPr>
  </w:style>
  <w:style w:type="character" w:styleId="62">
    <w:name w:val="HTML Definition"/>
    <w:basedOn w:val="57"/>
    <w:semiHidden/>
    <w:unhideWhenUsed/>
    <w:qFormat/>
    <w:uiPriority w:val="99"/>
  </w:style>
  <w:style w:type="character" w:styleId="63">
    <w:name w:val="HTML Typewriter"/>
    <w:basedOn w:val="57"/>
    <w:semiHidden/>
    <w:unhideWhenUsed/>
    <w:qFormat/>
    <w:uiPriority w:val="99"/>
    <w:rPr>
      <w:rFonts w:hint="default" w:ascii="monospace" w:hAnsi="monospace" w:eastAsia="monospace" w:cs="monospace"/>
      <w:sz w:val="20"/>
    </w:rPr>
  </w:style>
  <w:style w:type="character" w:styleId="64">
    <w:name w:val="HTML Acronym"/>
    <w:basedOn w:val="57"/>
    <w:semiHidden/>
    <w:unhideWhenUsed/>
    <w:qFormat/>
    <w:uiPriority w:val="99"/>
  </w:style>
  <w:style w:type="character" w:styleId="65">
    <w:name w:val="HTML Variable"/>
    <w:basedOn w:val="57"/>
    <w:semiHidden/>
    <w:unhideWhenUsed/>
    <w:qFormat/>
    <w:uiPriority w:val="99"/>
  </w:style>
  <w:style w:type="character" w:styleId="66">
    <w:name w:val="Hyperlink"/>
    <w:basedOn w:val="57"/>
    <w:autoRedefine/>
    <w:unhideWhenUsed/>
    <w:qFormat/>
    <w:uiPriority w:val="99"/>
    <w:rPr>
      <w:color w:val="0000FF" w:themeColor="hyperlink"/>
      <w:u w:val="single"/>
      <w14:textFill>
        <w14:solidFill>
          <w14:schemeClr w14:val="hlink"/>
        </w14:solidFill>
      </w14:textFill>
    </w:rPr>
  </w:style>
  <w:style w:type="character" w:styleId="67">
    <w:name w:val="HTML Code"/>
    <w:basedOn w:val="57"/>
    <w:semiHidden/>
    <w:unhideWhenUsed/>
    <w:qFormat/>
    <w:uiPriority w:val="99"/>
    <w:rPr>
      <w:rFonts w:ascii="monospace" w:hAnsi="monospace" w:eastAsia="monospace" w:cs="monospace"/>
      <w:sz w:val="20"/>
    </w:rPr>
  </w:style>
  <w:style w:type="character" w:styleId="68">
    <w:name w:val="annotation reference"/>
    <w:basedOn w:val="57"/>
    <w:autoRedefine/>
    <w:unhideWhenUsed/>
    <w:qFormat/>
    <w:uiPriority w:val="0"/>
    <w:rPr>
      <w:sz w:val="21"/>
      <w:szCs w:val="21"/>
    </w:rPr>
  </w:style>
  <w:style w:type="character" w:styleId="69">
    <w:name w:val="HTML Cite"/>
    <w:basedOn w:val="57"/>
    <w:semiHidden/>
    <w:unhideWhenUsed/>
    <w:qFormat/>
    <w:uiPriority w:val="99"/>
  </w:style>
  <w:style w:type="character" w:styleId="70">
    <w:name w:val="footnote reference"/>
    <w:autoRedefine/>
    <w:unhideWhenUsed/>
    <w:qFormat/>
    <w:uiPriority w:val="0"/>
    <w:rPr>
      <w:vertAlign w:val="superscript"/>
    </w:rPr>
  </w:style>
  <w:style w:type="character" w:styleId="71">
    <w:name w:val="HTML Keyboard"/>
    <w:basedOn w:val="57"/>
    <w:semiHidden/>
    <w:unhideWhenUsed/>
    <w:qFormat/>
    <w:uiPriority w:val="99"/>
    <w:rPr>
      <w:rFonts w:hint="default" w:ascii="monospace" w:hAnsi="monospace" w:eastAsia="monospace" w:cs="monospace"/>
      <w:sz w:val="20"/>
    </w:rPr>
  </w:style>
  <w:style w:type="character" w:styleId="72">
    <w:name w:val="HTML Sample"/>
    <w:autoRedefine/>
    <w:qFormat/>
    <w:uiPriority w:val="0"/>
    <w:rPr>
      <w:rFonts w:hint="default" w:ascii="monospace" w:hAnsi="monospace" w:eastAsia="monospace" w:cs="monospace"/>
      <w:sz w:val="21"/>
      <w:szCs w:val="21"/>
    </w:rPr>
  </w:style>
  <w:style w:type="character" w:customStyle="1" w:styleId="73">
    <w:name w:val="批注框文本 Char"/>
    <w:basedOn w:val="57"/>
    <w:link w:val="32"/>
    <w:autoRedefine/>
    <w:qFormat/>
    <w:uiPriority w:val="0"/>
    <w:rPr>
      <w:rFonts w:ascii="@仿宋_GB2312" w:hAnsi="@仿宋_GB2312" w:eastAsia="@仿宋_GB2312" w:cs="@仿宋_GB2312"/>
      <w:sz w:val="18"/>
      <w:szCs w:val="18"/>
    </w:rPr>
  </w:style>
  <w:style w:type="paragraph" w:customStyle="1" w:styleId="74">
    <w:name w:val="正文（缩进）"/>
    <w:basedOn w:val="1"/>
    <w:autoRedefine/>
    <w:qFormat/>
    <w:uiPriority w:val="0"/>
    <w:pPr>
      <w:widowControl/>
      <w:spacing w:before="156" w:after="156"/>
      <w:ind w:firstLine="480" w:firstLineChars="200"/>
      <w:jc w:val="left"/>
    </w:pPr>
    <w:rPr>
      <w:sz w:val="24"/>
      <w:szCs w:val="24"/>
    </w:rPr>
  </w:style>
  <w:style w:type="paragraph" w:customStyle="1" w:styleId="75">
    <w:name w:val="xl31"/>
    <w:basedOn w:val="1"/>
    <w:autoRedefine/>
    <w:qFormat/>
    <w:uiPriority w:val="0"/>
    <w:pPr>
      <w:widowControl/>
      <w:spacing w:before="100" w:beforeAutospacing="1" w:after="100" w:afterAutospacing="1"/>
      <w:jc w:val="center"/>
    </w:pPr>
    <w:rPr>
      <w:b/>
      <w:bCs/>
      <w:sz w:val="28"/>
      <w:szCs w:val="28"/>
    </w:rPr>
  </w:style>
  <w:style w:type="paragraph" w:customStyle="1" w:styleId="76">
    <w:name w:val="D&amp;L"/>
    <w:basedOn w:val="34"/>
    <w:autoRedefine/>
    <w:qFormat/>
    <w:uiPriority w:val="0"/>
    <w:pPr>
      <w:pBdr>
        <w:bottom w:val="thinThickSmallGap" w:color="auto" w:sz="18" w:space="1"/>
      </w:pBdr>
      <w:adjustRightInd w:val="0"/>
      <w:snapToGrid/>
      <w:spacing w:line="240" w:lineRule="atLeast"/>
      <w:textAlignment w:val="baseline"/>
    </w:pPr>
    <w:rPr>
      <w:sz w:val="24"/>
      <w:szCs w:val="20"/>
    </w:rPr>
  </w:style>
  <w:style w:type="character" w:customStyle="1" w:styleId="77">
    <w:name w:val="页眉 Char"/>
    <w:basedOn w:val="57"/>
    <w:link w:val="34"/>
    <w:autoRedefine/>
    <w:qFormat/>
    <w:uiPriority w:val="99"/>
    <w:rPr>
      <w:rFonts w:ascii="@仿宋_GB2312" w:hAnsi="@仿宋_GB2312" w:eastAsia="@仿宋_GB2312" w:cs="@仿宋_GB2312"/>
      <w:sz w:val="18"/>
      <w:szCs w:val="18"/>
    </w:rPr>
  </w:style>
  <w:style w:type="character" w:customStyle="1" w:styleId="78">
    <w:name w:val="页脚 Char"/>
    <w:basedOn w:val="57"/>
    <w:link w:val="33"/>
    <w:autoRedefine/>
    <w:qFormat/>
    <w:uiPriority w:val="99"/>
    <w:rPr>
      <w:rFonts w:ascii="@仿宋_GB2312" w:hAnsi="@仿宋_GB2312" w:eastAsia="@仿宋_GB2312" w:cs="@仿宋_GB2312"/>
      <w:sz w:val="18"/>
      <w:szCs w:val="18"/>
    </w:rPr>
  </w:style>
  <w:style w:type="character" w:customStyle="1" w:styleId="79">
    <w:name w:val="纯文本 Char"/>
    <w:link w:val="28"/>
    <w:autoRedefine/>
    <w:qFormat/>
    <w:uiPriority w:val="0"/>
    <w:rPr>
      <w:rFonts w:ascii="宋体" w:hAnsi="Courier New"/>
    </w:rPr>
  </w:style>
  <w:style w:type="character" w:customStyle="1" w:styleId="80">
    <w:name w:val="纯文本 字符1"/>
    <w:basedOn w:val="57"/>
    <w:autoRedefine/>
    <w:semiHidden/>
    <w:qFormat/>
    <w:uiPriority w:val="99"/>
    <w:rPr>
      <w:rFonts w:hAnsi="Courier New" w:cs="Courier New" w:asciiTheme="minorEastAsia"/>
      <w:szCs w:val="20"/>
    </w:rPr>
  </w:style>
  <w:style w:type="character" w:customStyle="1" w:styleId="81">
    <w:name w:val="未处理的提及1"/>
    <w:basedOn w:val="57"/>
    <w:autoRedefine/>
    <w:semiHidden/>
    <w:unhideWhenUsed/>
    <w:qFormat/>
    <w:uiPriority w:val="99"/>
    <w:rPr>
      <w:color w:val="605E5C"/>
      <w:shd w:val="clear" w:color="auto" w:fill="E1DFDD"/>
    </w:rPr>
  </w:style>
  <w:style w:type="paragraph" w:styleId="82">
    <w:name w:val="List Paragraph"/>
    <w:basedOn w:val="1"/>
    <w:autoRedefine/>
    <w:qFormat/>
    <w:uiPriority w:val="34"/>
    <w:pPr>
      <w:ind w:firstLine="420" w:firstLineChars="200"/>
    </w:pPr>
  </w:style>
  <w:style w:type="paragraph" w:customStyle="1" w:styleId="83">
    <w:name w:val="Char Char Char Char Char Char Char1 Char"/>
    <w:basedOn w:val="1"/>
    <w:autoRedefine/>
    <w:qFormat/>
    <w:uiPriority w:val="0"/>
    <w:rPr>
      <w:rFonts w:ascii="Arial" w:hAnsi="Arial" w:cs="Arial"/>
      <w:sz w:val="24"/>
    </w:rPr>
  </w:style>
  <w:style w:type="table" w:customStyle="1" w:styleId="84">
    <w:name w:val="网格表 1 浅色1"/>
    <w:basedOn w:val="55"/>
    <w:autoRedefine/>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85">
    <w:name w:val="日期 字符"/>
    <w:basedOn w:val="57"/>
    <w:autoRedefine/>
    <w:semiHidden/>
    <w:qFormat/>
    <w:uiPriority w:val="99"/>
    <w:rPr>
      <w:rFonts w:ascii="@仿宋_GB2312" w:hAnsi="@仿宋_GB2312" w:eastAsia="@仿宋_GB2312" w:cs="@仿宋_GB2312"/>
      <w:szCs w:val="20"/>
    </w:rPr>
  </w:style>
  <w:style w:type="character" w:customStyle="1" w:styleId="86">
    <w:name w:val="日期 Char"/>
    <w:link w:val="30"/>
    <w:autoRedefine/>
    <w:qFormat/>
    <w:uiPriority w:val="0"/>
    <w:rPr>
      <w:rFonts w:ascii="Arial" w:hAnsi="Arial" w:eastAsia="宋体" w:cs="Arial"/>
      <w:b/>
      <w:sz w:val="28"/>
      <w:szCs w:val="20"/>
    </w:rPr>
  </w:style>
  <w:style w:type="character" w:customStyle="1" w:styleId="87">
    <w:name w:val="纯文本 Char1"/>
    <w:link w:val="88"/>
    <w:autoRedefine/>
    <w:qFormat/>
    <w:locked/>
    <w:uiPriority w:val="99"/>
    <w:rPr>
      <w:rFonts w:ascii="Arial" w:hAnsi="Arial" w:eastAsia="Arial"/>
      <w:kern w:val="2"/>
      <w:sz w:val="21"/>
      <w:lang w:val="en-US" w:eastAsia="zh-CN" w:bidi="ar-SA"/>
    </w:rPr>
  </w:style>
  <w:style w:type="paragraph" w:customStyle="1" w:styleId="88">
    <w:name w:val="纯文本1"/>
    <w:basedOn w:val="1"/>
    <w:link w:val="87"/>
    <w:autoRedefine/>
    <w:qFormat/>
    <w:uiPriority w:val="0"/>
    <w:rPr>
      <w:rFonts w:ascii="Arial" w:hAnsi="Arial" w:eastAsia="Arial"/>
    </w:rPr>
  </w:style>
  <w:style w:type="character" w:customStyle="1" w:styleId="89">
    <w:name w:val="批注文字 Char"/>
    <w:basedOn w:val="57"/>
    <w:autoRedefine/>
    <w:qFormat/>
    <w:uiPriority w:val="0"/>
    <w:rPr>
      <w:rFonts w:ascii="@仿宋_GB2312" w:hAnsi="@仿宋_GB2312" w:eastAsia="@仿宋_GB2312" w:cs="@仿宋_GB2312"/>
      <w:szCs w:val="20"/>
    </w:rPr>
  </w:style>
  <w:style w:type="character" w:customStyle="1" w:styleId="90">
    <w:name w:val="批注文字 Char1"/>
    <w:link w:val="17"/>
    <w:autoRedefine/>
    <w:qFormat/>
    <w:uiPriority w:val="99"/>
    <w:rPr>
      <w:rFonts w:ascii="Arial" w:hAnsi="Arial" w:eastAsia="黑体" w:cs="Arial"/>
      <w:szCs w:val="20"/>
    </w:rPr>
  </w:style>
  <w:style w:type="character" w:customStyle="1" w:styleId="91">
    <w:name w:val="标题 1 Char"/>
    <w:basedOn w:val="57"/>
    <w:link w:val="3"/>
    <w:autoRedefine/>
    <w:qFormat/>
    <w:uiPriority w:val="0"/>
    <w:rPr>
      <w:rFonts w:ascii="@仿宋_GB2312" w:hAnsi="@仿宋_GB2312" w:eastAsia="@仿宋_GB2312" w:cs="@仿宋_GB2312"/>
      <w:b/>
      <w:bCs/>
      <w:kern w:val="44"/>
      <w:sz w:val="44"/>
      <w:szCs w:val="44"/>
    </w:rPr>
  </w:style>
  <w:style w:type="paragraph" w:customStyle="1" w:styleId="92">
    <w:name w:val="TOC 标题1"/>
    <w:basedOn w:val="3"/>
    <w:next w:val="1"/>
    <w:autoRedefine/>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93">
    <w:name w:val="标题 3 Char"/>
    <w:basedOn w:val="57"/>
    <w:link w:val="5"/>
    <w:autoRedefine/>
    <w:qFormat/>
    <w:uiPriority w:val="0"/>
    <w:rPr>
      <w:rFonts w:ascii="@仿宋_GB2312" w:hAnsi="@仿宋_GB2312" w:eastAsia="@仿宋_GB2312" w:cs="@仿宋_GB2312"/>
      <w:b/>
      <w:bCs/>
      <w:sz w:val="32"/>
      <w:szCs w:val="32"/>
    </w:rPr>
  </w:style>
  <w:style w:type="character" w:customStyle="1" w:styleId="94">
    <w:name w:val="fontstyle01"/>
    <w:basedOn w:val="57"/>
    <w:autoRedefine/>
    <w:qFormat/>
    <w:uiPriority w:val="0"/>
    <w:rPr>
      <w:rFonts w:hint="eastAsia" w:ascii="宋体" w:hAnsi="宋体" w:eastAsia="宋体"/>
      <w:color w:val="000000"/>
      <w:sz w:val="22"/>
      <w:szCs w:val="22"/>
    </w:rPr>
  </w:style>
  <w:style w:type="character" w:customStyle="1" w:styleId="95">
    <w:name w:val="fontstyle21"/>
    <w:basedOn w:val="57"/>
    <w:autoRedefine/>
    <w:qFormat/>
    <w:uiPriority w:val="0"/>
    <w:rPr>
      <w:rFonts w:hint="default" w:ascii="TimesNewRomanPSMT" w:hAnsi="TimesNewRomanPSMT"/>
      <w:color w:val="000000"/>
      <w:sz w:val="22"/>
      <w:szCs w:val="22"/>
    </w:rPr>
  </w:style>
  <w:style w:type="character" w:customStyle="1" w:styleId="96">
    <w:name w:val="正文文本 (2) + Sylfaen2"/>
    <w:autoRedefine/>
    <w:qFormat/>
    <w:uiPriority w:val="99"/>
    <w:rPr>
      <w:rFonts w:ascii="Sylfaen" w:hAnsi="Sylfaen" w:eastAsia="MingLiU" w:cs="Sylfaen"/>
      <w:spacing w:val="0"/>
      <w:sz w:val="23"/>
      <w:szCs w:val="23"/>
      <w:shd w:val="clear" w:color="auto" w:fill="FFFFFF"/>
      <w:lang w:val="en-US" w:eastAsia="en-US"/>
    </w:rPr>
  </w:style>
  <w:style w:type="character" w:customStyle="1" w:styleId="97">
    <w:name w:val="标题 4 字符"/>
    <w:basedOn w:val="57"/>
    <w:autoRedefine/>
    <w:semiHidden/>
    <w:qFormat/>
    <w:uiPriority w:val="9"/>
    <w:rPr>
      <w:rFonts w:asciiTheme="majorHAnsi" w:hAnsiTheme="majorHAnsi" w:eastAsiaTheme="majorEastAsia" w:cstheme="majorBidi"/>
      <w:b/>
      <w:bCs/>
      <w:sz w:val="28"/>
      <w:szCs w:val="28"/>
    </w:rPr>
  </w:style>
  <w:style w:type="character" w:customStyle="1" w:styleId="98">
    <w:name w:val="标题 4 Char"/>
    <w:link w:val="6"/>
    <w:autoRedefine/>
    <w:qFormat/>
    <w:uiPriority w:val="0"/>
    <w:rPr>
      <w:rFonts w:ascii="@仿宋_GB2312" w:hAnsi="@仿宋_GB2312" w:eastAsia="@仿宋_GB2312" w:cs="@仿宋_GB2312"/>
      <w:b/>
      <w:bCs/>
      <w:sz w:val="28"/>
      <w:szCs w:val="28"/>
    </w:rPr>
  </w:style>
  <w:style w:type="character" w:customStyle="1" w:styleId="99">
    <w:name w:val="正文文本 Char"/>
    <w:basedOn w:val="57"/>
    <w:link w:val="2"/>
    <w:autoRedefine/>
    <w:qFormat/>
    <w:uiPriority w:val="0"/>
    <w:rPr>
      <w:rFonts w:ascii="@微软简标宋" w:hAnsi="@微软简标宋" w:eastAsia="@微软简标宋" w:cs="@微软简标宋"/>
      <w:szCs w:val="24"/>
      <w:lang w:val="zh-CN" w:eastAsia="zh-CN"/>
    </w:rPr>
  </w:style>
  <w:style w:type="table" w:customStyle="1" w:styleId="100">
    <w:name w:val="网格型1"/>
    <w:basedOn w:val="55"/>
    <w:autoRedefine/>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1">
    <w:name w:val="批注主题 Char"/>
    <w:basedOn w:val="90"/>
    <w:link w:val="52"/>
    <w:autoRedefine/>
    <w:qFormat/>
    <w:uiPriority w:val="0"/>
    <w:rPr>
      <w:rFonts w:ascii="Arial" w:hAnsi="Arial" w:eastAsia="黑体" w:cs="Arial"/>
      <w:b/>
      <w:bCs/>
      <w:szCs w:val="20"/>
    </w:rPr>
  </w:style>
  <w:style w:type="paragraph" w:customStyle="1" w:styleId="102">
    <w:name w:val="普通 (Web)"/>
    <w:basedOn w:val="1"/>
    <w:autoRedefine/>
    <w:qFormat/>
    <w:uiPriority w:val="0"/>
    <w:pPr>
      <w:widowControl/>
      <w:spacing w:before="100" w:beforeAutospacing="1" w:after="100" w:afterAutospacing="1"/>
      <w:jc w:val="left"/>
    </w:pPr>
    <w:rPr>
      <w:rFonts w:cs="Times New Roman"/>
      <w:sz w:val="24"/>
      <w:szCs w:val="24"/>
    </w:rPr>
  </w:style>
  <w:style w:type="table" w:customStyle="1" w:styleId="103">
    <w:name w:val="网格型2"/>
    <w:basedOn w:val="55"/>
    <w:autoRedefine/>
    <w:unhideWhenUsed/>
    <w:qFormat/>
    <w:uiPriority w:val="59"/>
    <w:rPr>
      <w:rFonts w:asciiTheme="minorHAnsi" w:hAnsiTheme="minorHAnsi" w:eastAsiaTheme="minorEastAsia"/>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4">
    <w:name w:val="标题 2 Char"/>
    <w:basedOn w:val="57"/>
    <w:link w:val="4"/>
    <w:autoRedefine/>
    <w:qFormat/>
    <w:uiPriority w:val="0"/>
    <w:rPr>
      <w:rFonts w:ascii="Cambria" w:hAnsi="Cambria" w:cs="Times New Roman"/>
      <w:b/>
      <w:bCs/>
      <w:kern w:val="2"/>
      <w:sz w:val="32"/>
      <w:szCs w:val="32"/>
      <w:lang w:val="zh-CN" w:eastAsia="zh-CN"/>
    </w:rPr>
  </w:style>
  <w:style w:type="character" w:customStyle="1" w:styleId="105">
    <w:name w:val="标题 5 Char"/>
    <w:basedOn w:val="57"/>
    <w:link w:val="7"/>
    <w:autoRedefine/>
    <w:qFormat/>
    <w:uiPriority w:val="0"/>
    <w:rPr>
      <w:rFonts w:ascii="Calibri" w:hAnsi="Calibri" w:cs="Times New Roman"/>
      <w:b/>
      <w:bCs/>
      <w:kern w:val="2"/>
      <w:sz w:val="28"/>
      <w:szCs w:val="28"/>
      <w:lang w:val="zh-CN" w:eastAsia="zh-CN"/>
    </w:rPr>
  </w:style>
  <w:style w:type="character" w:customStyle="1" w:styleId="106">
    <w:name w:val="标题 6 Char"/>
    <w:basedOn w:val="57"/>
    <w:link w:val="8"/>
    <w:autoRedefine/>
    <w:qFormat/>
    <w:uiPriority w:val="0"/>
    <w:rPr>
      <w:rFonts w:ascii="Times New Roman" w:hAnsi="Times New Roman" w:cs="Times New Roman"/>
      <w:b/>
      <w:bCs/>
      <w:kern w:val="2"/>
      <w:sz w:val="30"/>
      <w:szCs w:val="18"/>
      <w:lang w:val="zh-CN" w:eastAsia="zh-CN"/>
    </w:rPr>
  </w:style>
  <w:style w:type="character" w:customStyle="1" w:styleId="107">
    <w:name w:val="标题 7 Char"/>
    <w:basedOn w:val="57"/>
    <w:link w:val="9"/>
    <w:autoRedefine/>
    <w:qFormat/>
    <w:uiPriority w:val="0"/>
    <w:rPr>
      <w:rFonts w:ascii="Times New Roman" w:hAnsi="Times New Roman" w:cs="Times New Roman"/>
      <w:b/>
      <w:bCs/>
      <w:kern w:val="2"/>
      <w:sz w:val="30"/>
      <w:szCs w:val="18"/>
      <w:lang w:val="zh-CN" w:eastAsia="zh-CN"/>
    </w:rPr>
  </w:style>
  <w:style w:type="character" w:customStyle="1" w:styleId="108">
    <w:name w:val="标题 8 Char"/>
    <w:basedOn w:val="57"/>
    <w:link w:val="10"/>
    <w:autoRedefine/>
    <w:qFormat/>
    <w:uiPriority w:val="0"/>
    <w:rPr>
      <w:rFonts w:eastAsia="黑体" w:cs="Times New Roman"/>
      <w:kern w:val="2"/>
      <w:sz w:val="32"/>
      <w:szCs w:val="32"/>
      <w:lang w:val="zh-CN" w:eastAsia="zh-CN"/>
    </w:rPr>
  </w:style>
  <w:style w:type="character" w:customStyle="1" w:styleId="109">
    <w:name w:val="标题 9 Char"/>
    <w:basedOn w:val="57"/>
    <w:link w:val="11"/>
    <w:autoRedefine/>
    <w:qFormat/>
    <w:uiPriority w:val="0"/>
    <w:rPr>
      <w:rFonts w:ascii="Cambria" w:hAnsi="Cambria" w:cs="Times New Roman"/>
      <w:kern w:val="2"/>
      <w:sz w:val="21"/>
      <w:szCs w:val="21"/>
      <w:lang w:val="zh-CN" w:eastAsia="zh-CN"/>
    </w:rPr>
  </w:style>
  <w:style w:type="character" w:customStyle="1" w:styleId="110">
    <w:name w:val="纯文本 Char2"/>
    <w:autoRedefine/>
    <w:qFormat/>
    <w:uiPriority w:val="0"/>
    <w:rPr>
      <w:rFonts w:ascii="宋体" w:hAnsi="Courier New"/>
    </w:rPr>
  </w:style>
  <w:style w:type="table" w:customStyle="1" w:styleId="111">
    <w:name w:val="网格型3"/>
    <w:basedOn w:val="55"/>
    <w:autoRedefine/>
    <w:unhideWhenUsed/>
    <w:qFormat/>
    <w:uiPriority w:val="59"/>
    <w:rPr>
      <w:rFonts w:asciiTheme="minorHAnsi" w:hAnsiTheme="minorHAnsi" w:eastAsiaTheme="minorEastAsia"/>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
    <w:name w:val="网格表 1 浅色11"/>
    <w:basedOn w:val="55"/>
    <w:autoRedefine/>
    <w:qFormat/>
    <w:uiPriority w:val="46"/>
    <w:rPr>
      <w:rFonts w:asciiTheme="minorHAnsi" w:hAnsiTheme="minorHAnsi" w:eastAsiaTheme="minorEastAsia"/>
      <w:kern w:val="2"/>
      <w:sz w:val="21"/>
      <w:szCs w:val="22"/>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113">
    <w:name w:val="TOC 标题2"/>
    <w:basedOn w:val="3"/>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114">
    <w:name w:val="正文文本缩进 Char"/>
    <w:basedOn w:val="57"/>
    <w:link w:val="20"/>
    <w:autoRedefine/>
    <w:qFormat/>
    <w:uiPriority w:val="0"/>
    <w:rPr>
      <w:rFonts w:asciiTheme="minorHAnsi" w:hAnsiTheme="minorHAnsi"/>
      <w:kern w:val="2"/>
      <w:sz w:val="21"/>
      <w:szCs w:val="22"/>
    </w:rPr>
  </w:style>
  <w:style w:type="paragraph" w:customStyle="1" w:styleId="115">
    <w:name w:val="Char"/>
    <w:basedOn w:val="1"/>
    <w:autoRedefine/>
    <w:qFormat/>
    <w:uiPriority w:val="0"/>
    <w:rPr>
      <w:rFonts w:ascii="Tahoma" w:hAnsi="Tahoma" w:cs="Times New Roman"/>
      <w:sz w:val="24"/>
    </w:rPr>
  </w:style>
  <w:style w:type="character" w:customStyle="1" w:styleId="116">
    <w:name w:val="脚注文本 Char"/>
    <w:basedOn w:val="57"/>
    <w:link w:val="42"/>
    <w:autoRedefine/>
    <w:qFormat/>
    <w:uiPriority w:val="0"/>
    <w:rPr>
      <w:rFonts w:ascii="Times New Roman" w:hAnsi="Times New Roman" w:cs="Times New Roman"/>
      <w:kern w:val="2"/>
      <w:sz w:val="18"/>
      <w:szCs w:val="18"/>
      <w:lang w:val="zh-CN" w:eastAsia="zh-CN"/>
    </w:rPr>
  </w:style>
  <w:style w:type="paragraph" w:customStyle="1" w:styleId="117">
    <w:name w:val="样式 标题 3 + (中文) 黑体 小四 非加粗 段前: 7.8 磅 段后: 0 磅 行距: 固定值 20 磅"/>
    <w:basedOn w:val="5"/>
    <w:autoRedefine/>
    <w:qFormat/>
    <w:uiPriority w:val="0"/>
    <w:pPr>
      <w:spacing w:before="120" w:after="120" w:line="400" w:lineRule="exact"/>
      <w:jc w:val="left"/>
    </w:pPr>
    <w:rPr>
      <w:rFonts w:ascii="黑体" w:hAnsi="黑体" w:eastAsia="黑体" w:cs="宋体"/>
      <w:bCs w:val="0"/>
      <w:kern w:val="2"/>
      <w:sz w:val="24"/>
      <w:szCs w:val="20"/>
      <w:lang w:val="zh-CN"/>
    </w:rPr>
  </w:style>
  <w:style w:type="paragraph" w:customStyle="1" w:styleId="118">
    <w:name w:val="样式 标题 2 + Times New Roman 四号 非加粗 段前: 5 磅 段后: 0 磅 行距: 固定值 20..."/>
    <w:basedOn w:val="4"/>
    <w:autoRedefine/>
    <w:qFormat/>
    <w:uiPriority w:val="0"/>
    <w:pPr>
      <w:spacing w:before="100" w:after="0" w:line="400" w:lineRule="exact"/>
    </w:pPr>
    <w:rPr>
      <w:rFonts w:ascii="Times New Roman" w:hAnsi="Times New Roman" w:eastAsia="黑体" w:cs="宋体"/>
      <w:b w:val="0"/>
      <w:bCs w:val="0"/>
      <w:sz w:val="28"/>
      <w:szCs w:val="20"/>
    </w:rPr>
  </w:style>
  <w:style w:type="paragraph" w:customStyle="1" w:styleId="119">
    <w:name w:val="Normal_2"/>
    <w:autoRedefine/>
    <w:qFormat/>
    <w:uiPriority w:val="0"/>
    <w:rPr>
      <w:rFonts w:ascii="Times New Roman" w:hAnsi="Times New Roman" w:eastAsia="Times New Roman" w:cs="Times New Roman"/>
      <w:sz w:val="24"/>
      <w:szCs w:val="24"/>
      <w:lang w:val="en-US" w:eastAsia="zh-CN" w:bidi="ar-SA"/>
    </w:rPr>
  </w:style>
  <w:style w:type="character" w:customStyle="1" w:styleId="120">
    <w:name w:val="称呼 Char"/>
    <w:basedOn w:val="57"/>
    <w:link w:val="18"/>
    <w:autoRedefine/>
    <w:qFormat/>
    <w:uiPriority w:val="0"/>
    <w:rPr>
      <w:rFonts w:ascii="仿宋_GB2312" w:hAnsi="Times New Roman" w:eastAsia="仿宋_GB2312" w:cs="Times New Roman"/>
      <w:kern w:val="2"/>
      <w:sz w:val="28"/>
      <w:lang w:val="zh-CN" w:eastAsia="zh-CN"/>
    </w:rPr>
  </w:style>
  <w:style w:type="paragraph" w:customStyle="1" w:styleId="121">
    <w:name w:val="Default"/>
    <w:autoRedefine/>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122">
    <w:name w:val="正文1"/>
    <w:autoRedefine/>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123">
    <w:name w:val="正文_3"/>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4">
    <w:name w:val="正文_2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5">
    <w:name w:val="正文_2_1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6">
    <w:name w:val="Normal_1"/>
    <w:autoRedefine/>
    <w:qFormat/>
    <w:uiPriority w:val="0"/>
    <w:rPr>
      <w:rFonts w:ascii="Times New Roman" w:hAnsi="Times New Roman" w:eastAsia="Times New Roman" w:cs="Times New Roman"/>
      <w:sz w:val="24"/>
      <w:szCs w:val="24"/>
      <w:lang w:val="en-US" w:eastAsia="zh-CN" w:bidi="ar-SA"/>
    </w:rPr>
  </w:style>
  <w:style w:type="paragraph" w:customStyle="1" w:styleId="127">
    <w:name w:val="Normal_3"/>
    <w:autoRedefine/>
    <w:qFormat/>
    <w:uiPriority w:val="0"/>
    <w:rPr>
      <w:rFonts w:ascii="Times New Roman" w:hAnsi="Times New Roman" w:eastAsia="Times New Roman" w:cs="Times New Roman"/>
      <w:sz w:val="24"/>
      <w:szCs w:val="24"/>
      <w:lang w:val="en-US" w:eastAsia="zh-CN" w:bidi="ar-SA"/>
    </w:rPr>
  </w:style>
  <w:style w:type="paragraph" w:customStyle="1" w:styleId="128">
    <w:name w:val="Char Char Char Char Char Char"/>
    <w:basedOn w:val="1"/>
    <w:autoRedefine/>
    <w:qFormat/>
    <w:uiPriority w:val="0"/>
    <w:rPr>
      <w:rFonts w:ascii="Tahoma" w:hAnsi="Tahoma" w:cs="Times New Roman"/>
      <w:kern w:val="2"/>
      <w:sz w:val="24"/>
    </w:rPr>
  </w:style>
  <w:style w:type="paragraph" w:customStyle="1" w:styleId="129">
    <w:name w:val="Blockquote"/>
    <w:basedOn w:val="1"/>
    <w:link w:val="130"/>
    <w:autoRedefine/>
    <w:qFormat/>
    <w:uiPriority w:val="0"/>
    <w:pPr>
      <w:autoSpaceDE w:val="0"/>
      <w:autoSpaceDN w:val="0"/>
      <w:adjustRightInd w:val="0"/>
      <w:spacing w:before="100" w:after="100"/>
      <w:ind w:left="360" w:right="360"/>
      <w:jc w:val="left"/>
    </w:pPr>
    <w:rPr>
      <w:rFonts w:ascii="Times New Roman" w:hAnsi="Times New Roman" w:cs="Times New Roman"/>
      <w:sz w:val="24"/>
      <w:lang w:val="zh-CN"/>
    </w:rPr>
  </w:style>
  <w:style w:type="character" w:customStyle="1" w:styleId="130">
    <w:name w:val="Blockquote Char"/>
    <w:link w:val="129"/>
    <w:autoRedefine/>
    <w:qFormat/>
    <w:uiPriority w:val="0"/>
    <w:rPr>
      <w:rFonts w:ascii="Times New Roman" w:hAnsi="Times New Roman" w:cs="Times New Roman"/>
      <w:sz w:val="24"/>
      <w:lang w:val="zh-CN" w:eastAsia="zh-CN"/>
    </w:rPr>
  </w:style>
  <w:style w:type="paragraph" w:customStyle="1" w:styleId="131">
    <w:name w:val="xl22"/>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Calibri" w:hAnsi="Calibri" w:cs="Times New Roman"/>
      <w:sz w:val="24"/>
      <w:szCs w:val="22"/>
    </w:rPr>
  </w:style>
  <w:style w:type="paragraph" w:customStyle="1" w:styleId="132">
    <w:name w:val="样式1"/>
    <w:basedOn w:val="1"/>
    <w:next w:val="6"/>
    <w:autoRedefine/>
    <w:qFormat/>
    <w:uiPriority w:val="0"/>
    <w:pPr>
      <w:spacing w:line="360" w:lineRule="auto"/>
      <w:ind w:firstLine="420" w:firstLineChars="200"/>
    </w:pPr>
    <w:rPr>
      <w:rFonts w:cs="Times New Roman"/>
      <w:kern w:val="2"/>
      <w:sz w:val="21"/>
      <w:szCs w:val="21"/>
    </w:rPr>
  </w:style>
  <w:style w:type="character" w:customStyle="1" w:styleId="133">
    <w:name w:val="tdrownotice1"/>
    <w:autoRedefine/>
    <w:qFormat/>
    <w:uiPriority w:val="0"/>
    <w:rPr>
      <w:sz w:val="22"/>
    </w:rPr>
  </w:style>
  <w:style w:type="paragraph" w:customStyle="1" w:styleId="134">
    <w:name w:val="段落2"/>
    <w:basedOn w:val="1"/>
    <w:autoRedefine/>
    <w:qFormat/>
    <w:uiPriority w:val="0"/>
    <w:pPr>
      <w:spacing w:line="360" w:lineRule="auto"/>
      <w:ind w:firstLine="480" w:firstLineChars="200"/>
    </w:pPr>
    <w:rPr>
      <w:rFonts w:ascii="Calibri" w:hAnsi="Calibri" w:cs="Courier New"/>
      <w:kern w:val="2"/>
      <w:sz w:val="24"/>
      <w:szCs w:val="21"/>
    </w:rPr>
  </w:style>
  <w:style w:type="character" w:customStyle="1" w:styleId="135">
    <w:name w:val="正文文本缩进 3 Char"/>
    <w:basedOn w:val="57"/>
    <w:link w:val="44"/>
    <w:autoRedefine/>
    <w:qFormat/>
    <w:uiPriority w:val="0"/>
    <w:rPr>
      <w:rFonts w:hAnsi="MS Sans Serif" w:cs="Times New Roman"/>
      <w:bCs/>
      <w:color w:val="000000"/>
      <w:sz w:val="24"/>
      <w:lang w:val="zh-CN" w:eastAsia="zh-CN"/>
    </w:rPr>
  </w:style>
  <w:style w:type="character" w:customStyle="1" w:styleId="136">
    <w:name w:val="正文文本缩进 2 Char"/>
    <w:basedOn w:val="57"/>
    <w:link w:val="31"/>
    <w:autoRedefine/>
    <w:qFormat/>
    <w:uiPriority w:val="0"/>
    <w:rPr>
      <w:rFonts w:hAnsi="MS Sans Serif" w:cs="Times New Roman"/>
      <w:bCs/>
      <w:spacing w:val="12"/>
      <w:sz w:val="24"/>
      <w:lang w:val="zh-CN" w:eastAsia="zh-CN"/>
    </w:rPr>
  </w:style>
  <w:style w:type="paragraph" w:customStyle="1" w:styleId="137">
    <w:name w:val="目录"/>
    <w:basedOn w:val="1"/>
    <w:autoRedefine/>
    <w:qFormat/>
    <w:uiPriority w:val="0"/>
    <w:pPr>
      <w:widowControl/>
      <w:jc w:val="center"/>
    </w:pPr>
    <w:rPr>
      <w:rFonts w:hAnsi="Calibri" w:cs="Times New Roman"/>
      <w:b/>
      <w:sz w:val="36"/>
    </w:rPr>
  </w:style>
  <w:style w:type="paragraph" w:customStyle="1" w:styleId="138">
    <w:name w:val="目录文字"/>
    <w:basedOn w:val="1"/>
    <w:autoRedefine/>
    <w:qFormat/>
    <w:uiPriority w:val="0"/>
    <w:pPr>
      <w:widowControl/>
      <w:spacing w:line="480" w:lineRule="auto"/>
      <w:jc w:val="left"/>
    </w:pPr>
    <w:rPr>
      <w:rFonts w:cs="Times New Roman"/>
      <w:sz w:val="24"/>
    </w:rPr>
  </w:style>
  <w:style w:type="character" w:customStyle="1" w:styleId="139">
    <w:name w:val="正文文本 2 Char"/>
    <w:basedOn w:val="57"/>
    <w:link w:val="47"/>
    <w:autoRedefine/>
    <w:qFormat/>
    <w:uiPriority w:val="0"/>
    <w:rPr>
      <w:rFonts w:hAnsi="Times New Roman" w:cs="Times New Roman"/>
      <w:spacing w:val="-20"/>
      <w:kern w:val="2"/>
      <w:sz w:val="28"/>
      <w:lang w:val="zh-CN" w:eastAsia="zh-CN"/>
    </w:rPr>
  </w:style>
  <w:style w:type="character" w:customStyle="1" w:styleId="140">
    <w:name w:val="正文文本 3 Char"/>
    <w:basedOn w:val="57"/>
    <w:link w:val="19"/>
    <w:autoRedefine/>
    <w:qFormat/>
    <w:uiPriority w:val="0"/>
    <w:rPr>
      <w:rFonts w:ascii="仿宋_GB2312" w:eastAsia="仿宋_GB2312" w:cs="Times New Roman"/>
      <w:bCs/>
      <w:color w:val="000000"/>
      <w:kern w:val="2"/>
      <w:sz w:val="24"/>
      <w:szCs w:val="32"/>
      <w:lang w:val="zh-CN" w:eastAsia="zh-CN"/>
    </w:rPr>
  </w:style>
  <w:style w:type="paragraph" w:customStyle="1" w:styleId="141">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cs="Times New Roman"/>
    </w:rPr>
  </w:style>
  <w:style w:type="paragraph" w:customStyle="1" w:styleId="142">
    <w:name w:val="xl33"/>
    <w:basedOn w:val="1"/>
    <w:autoRedefine/>
    <w:qFormat/>
    <w:uiPriority w:val="0"/>
    <w:pPr>
      <w:widowControl/>
      <w:pBdr>
        <w:left w:val="single" w:color="auto" w:sz="4" w:space="0"/>
      </w:pBdr>
      <w:spacing w:before="100" w:beforeAutospacing="1" w:after="100" w:afterAutospacing="1"/>
      <w:jc w:val="center"/>
      <w:textAlignment w:val="center"/>
    </w:pPr>
    <w:rPr>
      <w:rFonts w:ascii="Arial Unicode MS" w:hAnsi="Arial Unicode MS" w:eastAsia="Arial Unicode MS" w:cs="Arial Unicode MS"/>
      <w:sz w:val="28"/>
      <w:szCs w:val="28"/>
    </w:rPr>
  </w:style>
  <w:style w:type="character" w:customStyle="1" w:styleId="143">
    <w:name w:val="标题 Char"/>
    <w:basedOn w:val="57"/>
    <w:link w:val="51"/>
    <w:autoRedefine/>
    <w:qFormat/>
    <w:uiPriority w:val="0"/>
    <w:rPr>
      <w:rFonts w:eastAsia="黑体" w:cs="Times New Roman"/>
      <w:b/>
      <w:smallCaps/>
      <w:snapToGrid w:val="0"/>
      <w:kern w:val="2"/>
      <w:sz w:val="44"/>
      <w:szCs w:val="24"/>
      <w:lang w:val="zh-CN" w:eastAsia="zh-CN"/>
    </w:rPr>
  </w:style>
  <w:style w:type="paragraph" w:customStyle="1" w:styleId="144">
    <w:name w:val="段落1 Char"/>
    <w:basedOn w:val="28"/>
    <w:autoRedefine/>
    <w:qFormat/>
    <w:uiPriority w:val="0"/>
    <w:pPr>
      <w:spacing w:line="360" w:lineRule="auto"/>
    </w:pPr>
    <w:rPr>
      <w:rFonts w:ascii="Times New Roman" w:hAnsi="Times New Roman" w:eastAsia="宋体" w:cs="Times New Roman"/>
      <w:kern w:val="2"/>
      <w:sz w:val="24"/>
      <w:szCs w:val="21"/>
      <w:lang w:val="zh-CN"/>
    </w:rPr>
  </w:style>
  <w:style w:type="paragraph" w:customStyle="1" w:styleId="145">
    <w:name w:val="样式3"/>
    <w:basedOn w:val="1"/>
    <w:autoRedefine/>
    <w:qFormat/>
    <w:uiPriority w:val="0"/>
    <w:pPr>
      <w:tabs>
        <w:tab w:val="left" w:pos="560"/>
        <w:tab w:val="left" w:pos="1120"/>
      </w:tabs>
      <w:spacing w:line="480" w:lineRule="atLeast"/>
    </w:pPr>
    <w:rPr>
      <w:rFonts w:ascii="Calibri" w:hAnsi="Calibri" w:eastAsia="创艺简黑体" w:cs="Times New Roman"/>
      <w:b/>
      <w:kern w:val="2"/>
      <w:sz w:val="28"/>
    </w:rPr>
  </w:style>
  <w:style w:type="paragraph" w:customStyle="1" w:styleId="146">
    <w:name w:val="简单回函地址"/>
    <w:basedOn w:val="1"/>
    <w:autoRedefine/>
    <w:qFormat/>
    <w:uiPriority w:val="0"/>
    <w:rPr>
      <w:rFonts w:ascii="Calibri" w:hAnsi="Calibri" w:cs="Times New Roman"/>
      <w:kern w:val="2"/>
      <w:sz w:val="21"/>
      <w:szCs w:val="22"/>
    </w:rPr>
  </w:style>
  <w:style w:type="paragraph" w:customStyle="1" w:styleId="147">
    <w:name w:val="Char Char Char Char"/>
    <w:basedOn w:val="1"/>
    <w:autoRedefine/>
    <w:qFormat/>
    <w:uiPriority w:val="0"/>
    <w:pPr>
      <w:snapToGrid w:val="0"/>
      <w:spacing w:line="360" w:lineRule="auto"/>
      <w:ind w:firstLine="200" w:firstLineChars="200"/>
    </w:pPr>
    <w:rPr>
      <w:rFonts w:ascii="Calibri" w:hAnsi="Calibri" w:eastAsia="仿宋_GB2312" w:cs="Times New Roman"/>
      <w:kern w:val="2"/>
      <w:sz w:val="24"/>
      <w:szCs w:val="22"/>
    </w:rPr>
  </w:style>
  <w:style w:type="paragraph" w:customStyle="1" w:styleId="148">
    <w:name w:val="Default Paragraph Char Char Char Char"/>
    <w:basedOn w:val="1"/>
    <w:next w:val="1"/>
    <w:autoRedefine/>
    <w:qFormat/>
    <w:uiPriority w:val="0"/>
    <w:pPr>
      <w:widowControl/>
      <w:spacing w:line="360" w:lineRule="auto"/>
      <w:jc w:val="left"/>
    </w:pPr>
    <w:rPr>
      <w:rFonts w:ascii="Calibri" w:hAnsi="Calibri" w:cs="Times New Roman"/>
      <w:sz w:val="21"/>
      <w:lang w:eastAsia="en-US"/>
    </w:rPr>
  </w:style>
  <w:style w:type="character" w:customStyle="1" w:styleId="149">
    <w:name w:val="t_tag"/>
    <w:basedOn w:val="57"/>
    <w:autoRedefine/>
    <w:qFormat/>
    <w:uiPriority w:val="0"/>
  </w:style>
  <w:style w:type="table" w:customStyle="1" w:styleId="150">
    <w:name w:val="网格型11"/>
    <w:basedOn w:val="55"/>
    <w:autoRedefine/>
    <w:qFormat/>
    <w:uiPriority w:val="59"/>
    <w:rPr>
      <w:rFonts w:ascii="Times New Roman" w:hAnsi="Times New Roman"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151">
    <w:name w:val="批注框文本 Char1"/>
    <w:basedOn w:val="57"/>
    <w:autoRedefine/>
    <w:qFormat/>
    <w:uiPriority w:val="0"/>
    <w:rPr>
      <w:rFonts w:ascii="Times New Roman" w:hAnsi="Times New Roman" w:eastAsia="宋体" w:cs="Times New Roman"/>
      <w:sz w:val="18"/>
      <w:szCs w:val="18"/>
    </w:rPr>
  </w:style>
  <w:style w:type="character" w:customStyle="1" w:styleId="152">
    <w:name w:val="批注主题 Char1"/>
    <w:basedOn w:val="90"/>
    <w:autoRedefine/>
    <w:qFormat/>
    <w:uiPriority w:val="0"/>
    <w:rPr>
      <w:rFonts w:ascii="@仿宋_GB2312" w:hAnsi="@仿宋_GB2312" w:eastAsia="@仿宋_GB2312" w:cs="@仿宋_GB2312"/>
      <w:b/>
      <w:bCs/>
      <w:szCs w:val="20"/>
    </w:rPr>
  </w:style>
  <w:style w:type="paragraph" w:customStyle="1" w:styleId="153">
    <w:name w:val="Char10 Char Char Char Char Char Char Char Char Char"/>
    <w:basedOn w:val="1"/>
    <w:next w:val="1"/>
    <w:autoRedefine/>
    <w:qFormat/>
    <w:uiPriority w:val="0"/>
    <w:rPr>
      <w:rFonts w:ascii="Calibri" w:hAnsi="Calibri" w:cs="Times New Roman"/>
      <w:kern w:val="2"/>
      <w:sz w:val="21"/>
      <w:szCs w:val="22"/>
    </w:rPr>
  </w:style>
  <w:style w:type="character" w:customStyle="1" w:styleId="154">
    <w:name w:val="文档结构图 Char"/>
    <w:basedOn w:val="57"/>
    <w:link w:val="16"/>
    <w:autoRedefine/>
    <w:qFormat/>
    <w:uiPriority w:val="0"/>
    <w:rPr>
      <w:rFonts w:ascii="Calibri" w:hAnsi="Calibri" w:cs="Times New Roman"/>
      <w:bCs/>
      <w:kern w:val="2"/>
      <w:sz w:val="21"/>
      <w:szCs w:val="32"/>
      <w:shd w:val="clear" w:color="auto" w:fill="000080"/>
      <w:lang w:val="zh-CN" w:eastAsia="zh-CN"/>
    </w:rPr>
  </w:style>
  <w:style w:type="character" w:customStyle="1" w:styleId="155">
    <w:name w:val="标题 1 Char1"/>
    <w:autoRedefine/>
    <w:qFormat/>
    <w:uiPriority w:val="0"/>
    <w:rPr>
      <w:rFonts w:ascii="Calibri" w:hAnsi="Calibri" w:eastAsia="宋体"/>
      <w:b/>
      <w:kern w:val="44"/>
      <w:sz w:val="44"/>
      <w:szCs w:val="44"/>
    </w:rPr>
  </w:style>
  <w:style w:type="character" w:customStyle="1" w:styleId="156">
    <w:name w:val="标题 3 Char1"/>
    <w:autoRedefine/>
    <w:semiHidden/>
    <w:qFormat/>
    <w:uiPriority w:val="0"/>
    <w:rPr>
      <w:rFonts w:ascii="Calibri" w:hAnsi="Calibri" w:eastAsia="宋体"/>
      <w:b/>
      <w:kern w:val="2"/>
      <w:sz w:val="32"/>
    </w:rPr>
  </w:style>
  <w:style w:type="character" w:customStyle="1" w:styleId="157">
    <w:name w:val="标题 4 Char1"/>
    <w:autoRedefine/>
    <w:semiHidden/>
    <w:qFormat/>
    <w:uiPriority w:val="0"/>
    <w:rPr>
      <w:rFonts w:ascii="Cambria" w:hAnsi="Cambria" w:eastAsia="宋体"/>
      <w:b/>
      <w:kern w:val="2"/>
      <w:sz w:val="28"/>
      <w:szCs w:val="28"/>
    </w:rPr>
  </w:style>
  <w:style w:type="character" w:customStyle="1" w:styleId="158">
    <w:name w:val="标题 5 Char1"/>
    <w:autoRedefine/>
    <w:semiHidden/>
    <w:qFormat/>
    <w:uiPriority w:val="0"/>
    <w:rPr>
      <w:rFonts w:ascii="Calibri" w:hAnsi="Calibri" w:eastAsia="宋体"/>
      <w:b/>
      <w:kern w:val="2"/>
      <w:sz w:val="28"/>
      <w:szCs w:val="28"/>
    </w:rPr>
  </w:style>
  <w:style w:type="character" w:customStyle="1" w:styleId="159">
    <w:name w:val="标题 6 Char1"/>
    <w:autoRedefine/>
    <w:semiHidden/>
    <w:qFormat/>
    <w:uiPriority w:val="0"/>
    <w:rPr>
      <w:rFonts w:ascii="Cambria" w:hAnsi="Cambria" w:eastAsia="宋体"/>
      <w:b/>
      <w:kern w:val="2"/>
      <w:sz w:val="24"/>
      <w:szCs w:val="24"/>
    </w:rPr>
  </w:style>
  <w:style w:type="character" w:customStyle="1" w:styleId="160">
    <w:name w:val="标题 7 Char1"/>
    <w:autoRedefine/>
    <w:semiHidden/>
    <w:qFormat/>
    <w:uiPriority w:val="0"/>
    <w:rPr>
      <w:rFonts w:ascii="Calibri" w:hAnsi="Calibri" w:eastAsia="宋体"/>
      <w:b/>
      <w:kern w:val="2"/>
      <w:sz w:val="24"/>
      <w:szCs w:val="24"/>
    </w:rPr>
  </w:style>
  <w:style w:type="character" w:customStyle="1" w:styleId="161">
    <w:name w:val="标题 8 Char1"/>
    <w:autoRedefine/>
    <w:semiHidden/>
    <w:qFormat/>
    <w:uiPriority w:val="0"/>
    <w:rPr>
      <w:rFonts w:ascii="Cambria" w:hAnsi="Cambria" w:eastAsia="宋体"/>
      <w:kern w:val="2"/>
      <w:sz w:val="24"/>
      <w:szCs w:val="24"/>
    </w:rPr>
  </w:style>
  <w:style w:type="character" w:customStyle="1" w:styleId="162">
    <w:name w:val="标题 9 Char1"/>
    <w:autoRedefine/>
    <w:semiHidden/>
    <w:qFormat/>
    <w:uiPriority w:val="0"/>
    <w:rPr>
      <w:rFonts w:ascii="Cambria" w:hAnsi="Cambria" w:eastAsia="宋体"/>
      <w:kern w:val="2"/>
      <w:sz w:val="21"/>
      <w:szCs w:val="21"/>
    </w:rPr>
  </w:style>
  <w:style w:type="paragraph" w:customStyle="1" w:styleId="163">
    <w:name w:val="MsoNormal"/>
    <w:basedOn w:val="164"/>
    <w:autoRedefine/>
    <w:qFormat/>
    <w:uiPriority w:val="0"/>
    <w:rPr>
      <w:rFonts w:ascii="Calibri" w:hAnsi="Calibri" w:eastAsia="Calibri"/>
      <w:sz w:val="21"/>
    </w:rPr>
  </w:style>
  <w:style w:type="paragraph" w:customStyle="1" w:styleId="164">
    <w:name w:val="Normal_0"/>
    <w:autoRedefine/>
    <w:qFormat/>
    <w:uiPriority w:val="0"/>
    <w:rPr>
      <w:rFonts w:ascii="Times New Roman" w:hAnsi="Times New Roman" w:eastAsia="宋体" w:cs="Times New Roman"/>
      <w:sz w:val="24"/>
      <w:szCs w:val="24"/>
      <w:lang w:val="en-US" w:eastAsia="zh-CN" w:bidi="ar-SA"/>
    </w:rPr>
  </w:style>
  <w:style w:type="paragraph" w:customStyle="1" w:styleId="165">
    <w:name w:val="标题 2_0"/>
    <w:basedOn w:val="166"/>
    <w:next w:val="167"/>
    <w:link w:val="168"/>
    <w:autoRedefine/>
    <w:qFormat/>
    <w:uiPriority w:val="0"/>
    <w:pPr>
      <w:keepNext/>
      <w:keepLines/>
      <w:spacing w:before="260" w:after="260" w:line="500" w:lineRule="exact"/>
      <w:jc w:val="center"/>
      <w:outlineLvl w:val="1"/>
    </w:pPr>
    <w:rPr>
      <w:rFonts w:ascii="黑体" w:hAnsi="宋体" w:eastAsia="黑体"/>
      <w:b/>
      <w:smallCaps/>
      <w:snapToGrid w:val="0"/>
      <w:kern w:val="0"/>
      <w:sz w:val="36"/>
      <w:lang w:val="zh-CN"/>
    </w:rPr>
  </w:style>
  <w:style w:type="paragraph" w:customStyle="1" w:styleId="166">
    <w:name w:val="正文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7">
    <w:name w:val="正文_0"/>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68">
    <w:name w:val="标题 2 Char_0"/>
    <w:link w:val="165"/>
    <w:autoRedefine/>
    <w:qFormat/>
    <w:uiPriority w:val="0"/>
    <w:rPr>
      <w:rFonts w:ascii="黑体" w:eastAsia="黑体" w:cs="Times New Roman"/>
      <w:b/>
      <w:smallCaps/>
      <w:snapToGrid w:val="0"/>
      <w:sz w:val="36"/>
      <w:szCs w:val="24"/>
      <w:lang w:val="zh-CN" w:eastAsia="zh-CN"/>
    </w:rPr>
  </w:style>
  <w:style w:type="paragraph" w:customStyle="1" w:styleId="169">
    <w:name w:val="纯文本_0"/>
    <w:basedOn w:val="167"/>
    <w:link w:val="170"/>
    <w:autoRedefine/>
    <w:qFormat/>
    <w:uiPriority w:val="99"/>
    <w:rPr>
      <w:rFonts w:ascii="宋体" w:hAnsi="Courier New"/>
      <w:szCs w:val="21"/>
    </w:rPr>
  </w:style>
  <w:style w:type="character" w:customStyle="1" w:styleId="170">
    <w:name w:val="Texte Char1"/>
    <w:link w:val="169"/>
    <w:autoRedefine/>
    <w:qFormat/>
    <w:uiPriority w:val="99"/>
    <w:rPr>
      <w:rFonts w:hAnsi="Courier New" w:cs="Times New Roman"/>
      <w:kern w:val="2"/>
      <w:sz w:val="21"/>
      <w:szCs w:val="21"/>
    </w:rPr>
  </w:style>
  <w:style w:type="paragraph" w:customStyle="1" w:styleId="171">
    <w:name w:val="纯文本_1"/>
    <w:basedOn w:val="172"/>
    <w:link w:val="173"/>
    <w:autoRedefine/>
    <w:qFormat/>
    <w:uiPriority w:val="0"/>
    <w:rPr>
      <w:rFonts w:ascii="宋体" w:hAnsi="Courier New"/>
      <w:szCs w:val="21"/>
      <w:lang w:val="zh-CN"/>
    </w:rPr>
  </w:style>
  <w:style w:type="paragraph" w:customStyle="1" w:styleId="172">
    <w:name w:val="正文_1"/>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73">
    <w:name w:val="纯文本 Char1_0"/>
    <w:link w:val="171"/>
    <w:autoRedefine/>
    <w:qFormat/>
    <w:uiPriority w:val="0"/>
    <w:rPr>
      <w:rFonts w:hAnsi="Courier New" w:cs="Times New Roman"/>
      <w:kern w:val="2"/>
      <w:sz w:val="21"/>
      <w:szCs w:val="21"/>
      <w:lang w:val="zh-CN" w:eastAsia="zh-CN"/>
    </w:rPr>
  </w:style>
  <w:style w:type="paragraph" w:customStyle="1" w:styleId="174">
    <w:name w:val="标题 3_0"/>
    <w:basedOn w:val="175"/>
    <w:next w:val="176"/>
    <w:link w:val="187"/>
    <w:autoRedefine/>
    <w:qFormat/>
    <w:uiPriority w:val="0"/>
    <w:pPr>
      <w:keepNext/>
      <w:keepLines/>
      <w:widowControl/>
      <w:numPr>
        <w:ilvl w:val="2"/>
        <w:numId w:val="1"/>
      </w:numPr>
      <w:spacing w:before="120" w:after="120" w:line="360" w:lineRule="auto"/>
      <w:jc w:val="center"/>
      <w:outlineLvl w:val="2"/>
    </w:pPr>
    <w:rPr>
      <w:b/>
      <w:kern w:val="0"/>
      <w:sz w:val="32"/>
      <w:szCs w:val="20"/>
      <w:lang w:val="zh-CN"/>
    </w:rPr>
  </w:style>
  <w:style w:type="paragraph" w:customStyle="1" w:styleId="175">
    <w:name w:val="正文_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6">
    <w:name w:val="正文缩进_0"/>
    <w:basedOn w:val="175"/>
    <w:autoRedefine/>
    <w:unhideWhenUsed/>
    <w:qFormat/>
    <w:uiPriority w:val="0"/>
    <w:pPr>
      <w:ind w:firstLine="420" w:firstLineChars="200"/>
    </w:pPr>
    <w:rPr>
      <w:rFonts w:ascii="Calibri" w:hAnsi="Calibri"/>
      <w:bCs/>
      <w:szCs w:val="32"/>
    </w:rPr>
  </w:style>
  <w:style w:type="paragraph" w:customStyle="1" w:styleId="177">
    <w:name w:val="标题 1_0"/>
    <w:basedOn w:val="175"/>
    <w:next w:val="175"/>
    <w:link w:val="178"/>
    <w:autoRedefine/>
    <w:qFormat/>
    <w:uiPriority w:val="0"/>
    <w:pPr>
      <w:keepNext/>
      <w:widowControl/>
      <w:numPr>
        <w:ilvl w:val="0"/>
        <w:numId w:val="1"/>
      </w:numPr>
      <w:jc w:val="center"/>
      <w:outlineLvl w:val="0"/>
    </w:pPr>
    <w:rPr>
      <w:rFonts w:ascii="黑体" w:eastAsia="黑体"/>
      <w:kern w:val="0"/>
      <w:sz w:val="52"/>
      <w:szCs w:val="20"/>
      <w:lang w:val="zh-CN"/>
    </w:rPr>
  </w:style>
  <w:style w:type="character" w:customStyle="1" w:styleId="178">
    <w:name w:val="标题 1 Char_0"/>
    <w:link w:val="177"/>
    <w:autoRedefine/>
    <w:qFormat/>
    <w:uiPriority w:val="0"/>
    <w:rPr>
      <w:rFonts w:ascii="黑体" w:hAnsi="Times New Roman" w:eastAsia="黑体" w:cs="Times New Roman"/>
      <w:sz w:val="52"/>
      <w:lang w:val="zh-CN" w:eastAsia="zh-CN"/>
    </w:rPr>
  </w:style>
  <w:style w:type="paragraph" w:customStyle="1" w:styleId="179">
    <w:name w:val="标题 6_0"/>
    <w:basedOn w:val="175"/>
    <w:next w:val="175"/>
    <w:link w:val="180"/>
    <w:autoRedefine/>
    <w:qFormat/>
    <w:uiPriority w:val="0"/>
    <w:pPr>
      <w:keepNext/>
      <w:keepLines/>
      <w:widowControl/>
      <w:numPr>
        <w:ilvl w:val="5"/>
        <w:numId w:val="1"/>
      </w:numPr>
      <w:spacing w:before="240" w:after="64" w:line="320" w:lineRule="auto"/>
      <w:jc w:val="left"/>
      <w:outlineLvl w:val="5"/>
    </w:pPr>
    <w:rPr>
      <w:rFonts w:ascii="Arial" w:hAnsi="Arial" w:eastAsia="黑体"/>
      <w:b/>
      <w:bCs/>
      <w:kern w:val="0"/>
      <w:sz w:val="24"/>
      <w:lang w:val="zh-CN"/>
    </w:rPr>
  </w:style>
  <w:style w:type="character" w:customStyle="1" w:styleId="180">
    <w:name w:val="标题 6 Char_0"/>
    <w:link w:val="179"/>
    <w:autoRedefine/>
    <w:qFormat/>
    <w:uiPriority w:val="0"/>
    <w:rPr>
      <w:rFonts w:ascii="Arial" w:hAnsi="Arial" w:eastAsia="黑体" w:cs="Times New Roman"/>
      <w:b/>
      <w:bCs/>
      <w:sz w:val="24"/>
      <w:szCs w:val="24"/>
      <w:lang w:val="zh-CN" w:eastAsia="zh-CN"/>
    </w:rPr>
  </w:style>
  <w:style w:type="paragraph" w:customStyle="1" w:styleId="181">
    <w:name w:val="标题 7_0"/>
    <w:basedOn w:val="175"/>
    <w:next w:val="175"/>
    <w:link w:val="182"/>
    <w:autoRedefine/>
    <w:qFormat/>
    <w:uiPriority w:val="0"/>
    <w:pPr>
      <w:keepNext/>
      <w:keepLines/>
      <w:widowControl/>
      <w:numPr>
        <w:ilvl w:val="6"/>
        <w:numId w:val="1"/>
      </w:numPr>
      <w:spacing w:before="240" w:after="64" w:line="320" w:lineRule="auto"/>
      <w:jc w:val="left"/>
      <w:outlineLvl w:val="6"/>
    </w:pPr>
    <w:rPr>
      <w:b/>
      <w:bCs/>
      <w:kern w:val="0"/>
      <w:sz w:val="24"/>
      <w:lang w:val="zh-CN"/>
    </w:rPr>
  </w:style>
  <w:style w:type="character" w:customStyle="1" w:styleId="182">
    <w:name w:val="标题 7 Char_0"/>
    <w:link w:val="181"/>
    <w:autoRedefine/>
    <w:qFormat/>
    <w:uiPriority w:val="0"/>
    <w:rPr>
      <w:rFonts w:ascii="Times New Roman" w:hAnsi="Times New Roman" w:cs="Times New Roman"/>
      <w:b/>
      <w:bCs/>
      <w:sz w:val="24"/>
      <w:szCs w:val="24"/>
      <w:lang w:val="zh-CN" w:eastAsia="zh-CN"/>
    </w:rPr>
  </w:style>
  <w:style w:type="paragraph" w:customStyle="1" w:styleId="183">
    <w:name w:val="标题 8_0"/>
    <w:basedOn w:val="175"/>
    <w:next w:val="175"/>
    <w:link w:val="184"/>
    <w:autoRedefine/>
    <w:qFormat/>
    <w:uiPriority w:val="0"/>
    <w:pPr>
      <w:keepNext/>
      <w:keepLines/>
      <w:widowControl/>
      <w:numPr>
        <w:ilvl w:val="7"/>
        <w:numId w:val="1"/>
      </w:numPr>
      <w:spacing w:before="240" w:after="64" w:line="320" w:lineRule="auto"/>
      <w:jc w:val="left"/>
      <w:outlineLvl w:val="7"/>
    </w:pPr>
    <w:rPr>
      <w:rFonts w:ascii="Arial" w:hAnsi="Arial" w:eastAsia="黑体"/>
      <w:kern w:val="0"/>
      <w:sz w:val="24"/>
      <w:lang w:val="zh-CN"/>
    </w:rPr>
  </w:style>
  <w:style w:type="character" w:customStyle="1" w:styleId="184">
    <w:name w:val="标题 8 Char_0"/>
    <w:link w:val="183"/>
    <w:autoRedefine/>
    <w:qFormat/>
    <w:uiPriority w:val="0"/>
    <w:rPr>
      <w:rFonts w:ascii="Arial" w:hAnsi="Arial" w:eastAsia="黑体" w:cs="Times New Roman"/>
      <w:sz w:val="24"/>
      <w:szCs w:val="24"/>
      <w:lang w:val="zh-CN" w:eastAsia="zh-CN"/>
    </w:rPr>
  </w:style>
  <w:style w:type="paragraph" w:customStyle="1" w:styleId="185">
    <w:name w:val="标题 9_0"/>
    <w:basedOn w:val="175"/>
    <w:next w:val="175"/>
    <w:link w:val="186"/>
    <w:autoRedefine/>
    <w:qFormat/>
    <w:uiPriority w:val="0"/>
    <w:pPr>
      <w:keepNext/>
      <w:keepLines/>
      <w:widowControl/>
      <w:numPr>
        <w:ilvl w:val="8"/>
        <w:numId w:val="1"/>
      </w:numPr>
      <w:spacing w:before="240" w:after="64" w:line="320" w:lineRule="auto"/>
      <w:jc w:val="left"/>
      <w:outlineLvl w:val="8"/>
    </w:pPr>
    <w:rPr>
      <w:rFonts w:ascii="Arial" w:hAnsi="Arial" w:eastAsia="黑体"/>
      <w:kern w:val="0"/>
      <w:szCs w:val="21"/>
      <w:lang w:val="zh-CN"/>
    </w:rPr>
  </w:style>
  <w:style w:type="character" w:customStyle="1" w:styleId="186">
    <w:name w:val="标题 9 Char_0"/>
    <w:link w:val="185"/>
    <w:autoRedefine/>
    <w:qFormat/>
    <w:uiPriority w:val="0"/>
    <w:rPr>
      <w:rFonts w:ascii="Arial" w:hAnsi="Arial" w:eastAsia="黑体" w:cs="Times New Roman"/>
      <w:sz w:val="21"/>
      <w:szCs w:val="21"/>
      <w:lang w:val="zh-CN" w:eastAsia="zh-CN"/>
    </w:rPr>
  </w:style>
  <w:style w:type="character" w:customStyle="1" w:styleId="187">
    <w:name w:val="标题 3 Char_0"/>
    <w:link w:val="174"/>
    <w:autoRedefine/>
    <w:qFormat/>
    <w:uiPriority w:val="0"/>
    <w:rPr>
      <w:rFonts w:ascii="Times New Roman" w:hAnsi="Times New Roman" w:cs="Times New Roman"/>
      <w:b/>
      <w:sz w:val="32"/>
      <w:lang w:val="zh-CN" w:eastAsia="zh-CN"/>
    </w:rPr>
  </w:style>
  <w:style w:type="paragraph" w:customStyle="1" w:styleId="188">
    <w:name w:val="Blockquote_0"/>
    <w:basedOn w:val="175"/>
    <w:link w:val="189"/>
    <w:autoRedefine/>
    <w:qFormat/>
    <w:uiPriority w:val="0"/>
    <w:pPr>
      <w:autoSpaceDE w:val="0"/>
      <w:autoSpaceDN w:val="0"/>
      <w:adjustRightInd w:val="0"/>
      <w:spacing w:before="100" w:after="100"/>
      <w:ind w:left="360" w:right="360"/>
      <w:jc w:val="left"/>
    </w:pPr>
    <w:rPr>
      <w:kern w:val="0"/>
      <w:sz w:val="24"/>
      <w:szCs w:val="20"/>
      <w:lang w:val="zh-CN"/>
    </w:rPr>
  </w:style>
  <w:style w:type="character" w:customStyle="1" w:styleId="189">
    <w:name w:val="Blockquote Char_0"/>
    <w:link w:val="188"/>
    <w:autoRedefine/>
    <w:qFormat/>
    <w:locked/>
    <w:uiPriority w:val="0"/>
    <w:rPr>
      <w:rFonts w:ascii="Times New Roman" w:hAnsi="Times New Roman" w:cs="Times New Roman"/>
      <w:sz w:val="24"/>
      <w:lang w:val="zh-CN" w:eastAsia="zh-CN"/>
    </w:rPr>
  </w:style>
  <w:style w:type="paragraph" w:customStyle="1" w:styleId="190">
    <w:name w:val="标题 4_0"/>
    <w:basedOn w:val="175"/>
    <w:next w:val="175"/>
    <w:link w:val="191"/>
    <w:autoRedefine/>
    <w:qFormat/>
    <w:uiPriority w:val="0"/>
    <w:pPr>
      <w:keepNext/>
      <w:keepLines/>
      <w:widowControl/>
      <w:spacing w:before="120" w:after="120" w:line="360" w:lineRule="auto"/>
      <w:jc w:val="center"/>
      <w:outlineLvl w:val="3"/>
    </w:pPr>
    <w:rPr>
      <w:rFonts w:ascii="Arial" w:hAnsi="Arial" w:eastAsia="黑体"/>
      <w:kern w:val="0"/>
      <w:sz w:val="28"/>
      <w:szCs w:val="20"/>
      <w:lang w:val="zh-CN"/>
    </w:rPr>
  </w:style>
  <w:style w:type="character" w:customStyle="1" w:styleId="191">
    <w:name w:val="标题 4 Char_0"/>
    <w:link w:val="190"/>
    <w:autoRedefine/>
    <w:qFormat/>
    <w:uiPriority w:val="0"/>
    <w:rPr>
      <w:rFonts w:ascii="Arial" w:hAnsi="Arial" w:eastAsia="黑体" w:cs="Times New Roman"/>
      <w:sz w:val="28"/>
      <w:lang w:val="zh-CN" w:eastAsia="zh-CN"/>
    </w:rPr>
  </w:style>
  <w:style w:type="paragraph" w:customStyle="1" w:styleId="192">
    <w:name w:val="纯文本_2"/>
    <w:basedOn w:val="175"/>
    <w:link w:val="193"/>
    <w:autoRedefine/>
    <w:qFormat/>
    <w:uiPriority w:val="0"/>
    <w:rPr>
      <w:rFonts w:ascii="宋体" w:hAnsi="Courier New"/>
      <w:szCs w:val="21"/>
      <w:lang w:val="zh-CN"/>
    </w:rPr>
  </w:style>
  <w:style w:type="character" w:customStyle="1" w:styleId="193">
    <w:name w:val="纯文本 Char1_1"/>
    <w:link w:val="192"/>
    <w:autoRedefine/>
    <w:qFormat/>
    <w:uiPriority w:val="0"/>
    <w:rPr>
      <w:rFonts w:hAnsi="Courier New" w:cs="Times New Roman"/>
      <w:kern w:val="2"/>
      <w:sz w:val="21"/>
      <w:szCs w:val="21"/>
      <w:lang w:val="zh-CN" w:eastAsia="zh-CN"/>
    </w:rPr>
  </w:style>
  <w:style w:type="paragraph" w:customStyle="1" w:styleId="194">
    <w:name w:val="Blockquote_0_1"/>
    <w:basedOn w:val="195"/>
    <w:link w:val="196"/>
    <w:autoRedefine/>
    <w:qFormat/>
    <w:uiPriority w:val="0"/>
    <w:pPr>
      <w:autoSpaceDE w:val="0"/>
      <w:autoSpaceDN w:val="0"/>
      <w:adjustRightInd w:val="0"/>
      <w:spacing w:before="100" w:after="100"/>
      <w:ind w:left="360" w:right="360"/>
      <w:jc w:val="left"/>
    </w:pPr>
    <w:rPr>
      <w:kern w:val="0"/>
      <w:sz w:val="24"/>
      <w:szCs w:val="20"/>
      <w:lang w:val="zh-CN"/>
    </w:rPr>
  </w:style>
  <w:style w:type="paragraph" w:customStyle="1" w:styleId="195">
    <w:name w:val="正文_1_1"/>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6">
    <w:name w:val="Blockquote Char_0_1"/>
    <w:link w:val="194"/>
    <w:autoRedefine/>
    <w:qFormat/>
    <w:locked/>
    <w:uiPriority w:val="0"/>
    <w:rPr>
      <w:rFonts w:ascii="Times New Roman" w:hAnsi="Times New Roman" w:cs="Times New Roman"/>
      <w:sz w:val="24"/>
      <w:lang w:val="zh-CN" w:eastAsia="zh-CN"/>
    </w:rPr>
  </w:style>
  <w:style w:type="paragraph" w:customStyle="1" w:styleId="197">
    <w:name w:val="正文文本_0"/>
    <w:basedOn w:val="175"/>
    <w:link w:val="198"/>
    <w:autoRedefine/>
    <w:qFormat/>
    <w:uiPriority w:val="0"/>
    <w:pPr>
      <w:spacing w:after="120"/>
    </w:pPr>
    <w:rPr>
      <w:lang w:val="zh-CN"/>
    </w:rPr>
  </w:style>
  <w:style w:type="character" w:customStyle="1" w:styleId="198">
    <w:name w:val="正文文本 Char_0"/>
    <w:link w:val="197"/>
    <w:autoRedefine/>
    <w:qFormat/>
    <w:uiPriority w:val="0"/>
    <w:rPr>
      <w:rFonts w:ascii="Times New Roman" w:hAnsi="Times New Roman" w:cs="Times New Roman"/>
      <w:kern w:val="2"/>
      <w:sz w:val="21"/>
      <w:szCs w:val="24"/>
      <w:lang w:val="zh-CN" w:eastAsia="zh-CN"/>
    </w:rPr>
  </w:style>
  <w:style w:type="paragraph" w:customStyle="1" w:styleId="199">
    <w:name w:val="普通(网站)_0"/>
    <w:basedOn w:val="175"/>
    <w:autoRedefine/>
    <w:qFormat/>
    <w:uiPriority w:val="0"/>
    <w:pPr>
      <w:widowControl/>
      <w:spacing w:before="100" w:beforeAutospacing="1" w:after="100" w:afterAutospacing="1"/>
      <w:jc w:val="left"/>
    </w:pPr>
    <w:rPr>
      <w:rFonts w:ascii="宋体" w:hAnsi="宋体"/>
      <w:kern w:val="0"/>
      <w:sz w:val="24"/>
    </w:rPr>
  </w:style>
  <w:style w:type="paragraph" w:customStyle="1" w:styleId="200">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1">
    <w:name w:val="正文_2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02">
    <w:name w:val="脚注文本_0"/>
    <w:basedOn w:val="123"/>
    <w:link w:val="203"/>
    <w:autoRedefine/>
    <w:unhideWhenUsed/>
    <w:qFormat/>
    <w:uiPriority w:val="0"/>
    <w:pPr>
      <w:adjustRightInd w:val="0"/>
      <w:snapToGrid w:val="0"/>
      <w:spacing w:line="420" w:lineRule="atLeast"/>
      <w:ind w:firstLine="454"/>
      <w:jc w:val="left"/>
    </w:pPr>
    <w:rPr>
      <w:rFonts w:ascii="Times New Roman" w:hAnsi="Times New Roman"/>
      <w:kern w:val="0"/>
      <w:sz w:val="18"/>
      <w:szCs w:val="20"/>
      <w:lang w:val="zh-CN"/>
    </w:rPr>
  </w:style>
  <w:style w:type="character" w:customStyle="1" w:styleId="203">
    <w:name w:val="脚注文本 Char_0"/>
    <w:link w:val="202"/>
    <w:autoRedefine/>
    <w:qFormat/>
    <w:uiPriority w:val="0"/>
    <w:rPr>
      <w:rFonts w:ascii="Times New Roman" w:hAnsi="Times New Roman" w:cs="Times New Roman"/>
      <w:sz w:val="18"/>
      <w:lang w:val="zh-CN" w:eastAsia="zh-CN"/>
    </w:rPr>
  </w:style>
  <w:style w:type="paragraph" w:customStyle="1" w:styleId="204">
    <w:name w:val="font5"/>
    <w:basedOn w:val="1"/>
    <w:autoRedefine/>
    <w:qFormat/>
    <w:uiPriority w:val="0"/>
    <w:pPr>
      <w:widowControl/>
      <w:spacing w:before="100" w:beforeAutospacing="1" w:after="100" w:afterAutospacing="1"/>
      <w:jc w:val="left"/>
    </w:pPr>
    <w:rPr>
      <w:rFonts w:hint="eastAsia" w:cs="Times New Roman"/>
      <w:sz w:val="18"/>
      <w:szCs w:val="18"/>
    </w:rPr>
  </w:style>
  <w:style w:type="paragraph" w:customStyle="1" w:styleId="205">
    <w:name w:val="xl2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Times New Roman"/>
      <w:sz w:val="18"/>
      <w:szCs w:val="18"/>
    </w:rPr>
  </w:style>
  <w:style w:type="paragraph" w:customStyle="1" w:styleId="206">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Times New Roman"/>
      <w:sz w:val="18"/>
      <w:szCs w:val="18"/>
    </w:rPr>
  </w:style>
  <w:style w:type="paragraph" w:customStyle="1" w:styleId="207">
    <w:name w:val="xl2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cs="Times New Roman"/>
      <w:sz w:val="24"/>
      <w:szCs w:val="24"/>
    </w:rPr>
  </w:style>
  <w:style w:type="paragraph" w:customStyle="1" w:styleId="208">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cs="Times New Roman"/>
      <w:sz w:val="18"/>
      <w:szCs w:val="18"/>
    </w:rPr>
  </w:style>
  <w:style w:type="paragraph" w:customStyle="1" w:styleId="209">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Times New Roman"/>
      <w:sz w:val="24"/>
      <w:szCs w:val="24"/>
    </w:rPr>
  </w:style>
  <w:style w:type="paragraph" w:customStyle="1" w:styleId="210">
    <w:name w:val="xl29"/>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cs="Times New Roman"/>
      <w:sz w:val="24"/>
      <w:szCs w:val="24"/>
    </w:rPr>
  </w:style>
  <w:style w:type="paragraph" w:customStyle="1" w:styleId="211">
    <w:name w:val="xl3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Times New Roman"/>
      <w:sz w:val="24"/>
      <w:szCs w:val="24"/>
    </w:rPr>
  </w:style>
  <w:style w:type="paragraph" w:customStyle="1" w:styleId="212">
    <w:name w:val="xl3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Times New Roman"/>
      <w:sz w:val="18"/>
      <w:szCs w:val="18"/>
    </w:rPr>
  </w:style>
  <w:style w:type="paragraph" w:customStyle="1" w:styleId="213">
    <w:name w:val="xl3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s="Times New Roman"/>
      <w:sz w:val="18"/>
      <w:szCs w:val="18"/>
    </w:rPr>
  </w:style>
  <w:style w:type="paragraph" w:customStyle="1" w:styleId="214">
    <w:name w:val="xl3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Times New Roman"/>
      <w:sz w:val="18"/>
      <w:szCs w:val="18"/>
    </w:rPr>
  </w:style>
  <w:style w:type="paragraph" w:customStyle="1" w:styleId="215">
    <w:name w:val="xl3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Times New Roman"/>
      <w:sz w:val="22"/>
      <w:szCs w:val="22"/>
    </w:rPr>
  </w:style>
  <w:style w:type="paragraph" w:customStyle="1" w:styleId="216">
    <w:name w:val="xl3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s="Times New Roman"/>
      <w:sz w:val="24"/>
      <w:szCs w:val="24"/>
    </w:rPr>
  </w:style>
  <w:style w:type="paragraph" w:customStyle="1" w:styleId="217">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cs="Times New Roman"/>
      <w:sz w:val="24"/>
      <w:szCs w:val="24"/>
    </w:rPr>
  </w:style>
  <w:style w:type="paragraph" w:customStyle="1" w:styleId="218">
    <w:name w:val="xl3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Times New Roman"/>
      <w:sz w:val="24"/>
      <w:szCs w:val="24"/>
    </w:rPr>
  </w:style>
  <w:style w:type="paragraph" w:customStyle="1" w:styleId="219">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Times New Roman"/>
      <w:sz w:val="24"/>
      <w:szCs w:val="24"/>
    </w:rPr>
  </w:style>
  <w:style w:type="paragraph" w:customStyle="1" w:styleId="220">
    <w:name w:val="xl4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cs="Times New Roman"/>
      <w:sz w:val="24"/>
      <w:szCs w:val="24"/>
    </w:rPr>
  </w:style>
  <w:style w:type="paragraph" w:customStyle="1" w:styleId="221">
    <w:name w:val="xl42"/>
    <w:basedOn w:val="1"/>
    <w:autoRedefine/>
    <w:qFormat/>
    <w:uiPriority w:val="0"/>
    <w:pPr>
      <w:widowControl/>
      <w:spacing w:before="100" w:beforeAutospacing="1" w:after="100" w:afterAutospacing="1"/>
      <w:jc w:val="center"/>
      <w:textAlignment w:val="center"/>
    </w:pPr>
    <w:rPr>
      <w:rFonts w:cs="Times New Roman"/>
      <w:b/>
      <w:bCs/>
      <w:sz w:val="32"/>
      <w:szCs w:val="32"/>
    </w:rPr>
  </w:style>
  <w:style w:type="paragraph" w:customStyle="1" w:styleId="222">
    <w:name w:val="xl43"/>
    <w:basedOn w:val="1"/>
    <w:autoRedefine/>
    <w:qFormat/>
    <w:uiPriority w:val="0"/>
    <w:pPr>
      <w:widowControl/>
      <w:spacing w:before="100" w:beforeAutospacing="1" w:after="100" w:afterAutospacing="1"/>
      <w:jc w:val="left"/>
      <w:textAlignment w:val="top"/>
    </w:pPr>
    <w:rPr>
      <w:rFonts w:cs="Times New Roman"/>
      <w:sz w:val="24"/>
      <w:szCs w:val="24"/>
    </w:rPr>
  </w:style>
  <w:style w:type="paragraph" w:customStyle="1" w:styleId="223">
    <w:name w:val="xl44"/>
    <w:basedOn w:val="1"/>
    <w:autoRedefine/>
    <w:qFormat/>
    <w:uiPriority w:val="0"/>
    <w:pPr>
      <w:widowControl/>
      <w:spacing w:before="100" w:beforeAutospacing="1" w:after="100" w:afterAutospacing="1"/>
      <w:jc w:val="center"/>
      <w:textAlignment w:val="center"/>
    </w:pPr>
    <w:rPr>
      <w:rFonts w:cs="Times New Roman"/>
      <w:b/>
      <w:bCs/>
      <w:sz w:val="32"/>
      <w:szCs w:val="32"/>
    </w:rPr>
  </w:style>
  <w:style w:type="paragraph" w:customStyle="1" w:styleId="224">
    <w:name w:val="xl45"/>
    <w:basedOn w:val="1"/>
    <w:autoRedefine/>
    <w:qFormat/>
    <w:uiPriority w:val="0"/>
    <w:pPr>
      <w:widowControl/>
      <w:spacing w:before="100" w:beforeAutospacing="1" w:after="100" w:afterAutospacing="1"/>
      <w:jc w:val="left"/>
      <w:textAlignment w:val="top"/>
    </w:pPr>
    <w:rPr>
      <w:rFonts w:cs="Times New Roman"/>
      <w:sz w:val="24"/>
      <w:szCs w:val="24"/>
    </w:rPr>
  </w:style>
  <w:style w:type="paragraph" w:customStyle="1" w:styleId="225">
    <w:name w:val="font6"/>
    <w:basedOn w:val="1"/>
    <w:autoRedefine/>
    <w:qFormat/>
    <w:uiPriority w:val="0"/>
    <w:pPr>
      <w:widowControl/>
      <w:spacing w:before="100" w:beforeAutospacing="1" w:after="100" w:afterAutospacing="1"/>
      <w:jc w:val="left"/>
    </w:pPr>
    <w:rPr>
      <w:rFonts w:ascii="Times New Roman" w:hAnsi="Times New Roman" w:cs="Times New Roman"/>
      <w:sz w:val="18"/>
      <w:szCs w:val="18"/>
    </w:rPr>
  </w:style>
  <w:style w:type="paragraph" w:customStyle="1" w:styleId="226">
    <w:name w:val="Char Char Char Char Char"/>
    <w:basedOn w:val="1"/>
    <w:autoRedefine/>
    <w:qFormat/>
    <w:uiPriority w:val="0"/>
    <w:rPr>
      <w:rFonts w:ascii="Tahoma" w:hAnsi="Tahoma" w:cs="Times New Roman"/>
      <w:kern w:val="2"/>
      <w:sz w:val="24"/>
    </w:rPr>
  </w:style>
  <w:style w:type="paragraph" w:customStyle="1" w:styleId="227">
    <w:name w:val="范本目录"/>
    <w:basedOn w:val="1"/>
    <w:autoRedefine/>
    <w:qFormat/>
    <w:uiPriority w:val="0"/>
    <w:pPr>
      <w:adjustRightInd w:val="0"/>
      <w:snapToGrid w:val="0"/>
      <w:spacing w:before="48" w:beforeLines="20" w:after="48" w:afterLines="20" w:line="540" w:lineRule="exact"/>
      <w:jc w:val="center"/>
    </w:pPr>
    <w:rPr>
      <w:rFonts w:ascii="Times New Roman" w:cs="Times New Roman"/>
      <w:b/>
      <w:bCs/>
      <w:kern w:val="2"/>
      <w:sz w:val="36"/>
      <w:szCs w:val="24"/>
    </w:rPr>
  </w:style>
  <w:style w:type="character" w:customStyle="1" w:styleId="228">
    <w:name w:val="副标题 Char"/>
    <w:basedOn w:val="57"/>
    <w:link w:val="40"/>
    <w:autoRedefine/>
    <w:qFormat/>
    <w:uiPriority w:val="0"/>
    <w:rPr>
      <w:rFonts w:ascii="Arial" w:hAnsi="Arial" w:cs="Times New Roman"/>
      <w:b/>
      <w:bCs/>
      <w:kern w:val="28"/>
      <w:sz w:val="32"/>
      <w:szCs w:val="32"/>
      <w:lang w:val="zh-CN" w:eastAsia="zh-CN"/>
    </w:rPr>
  </w:style>
  <w:style w:type="character" w:customStyle="1" w:styleId="229">
    <w:name w:val="Char Char"/>
    <w:autoRedefine/>
    <w:qFormat/>
    <w:uiPriority w:val="0"/>
    <w:rPr>
      <w:rFonts w:ascii="宋体" w:hAnsi="Courier New" w:eastAsia="宋体" w:cs="Courier New"/>
      <w:kern w:val="2"/>
      <w:sz w:val="21"/>
      <w:szCs w:val="21"/>
      <w:lang w:val="en-US" w:eastAsia="zh-CN" w:bidi="ar-SA"/>
    </w:rPr>
  </w:style>
  <w:style w:type="character" w:customStyle="1" w:styleId="230">
    <w:name w:val="标题4 Char Char"/>
    <w:link w:val="231"/>
    <w:autoRedefine/>
    <w:qFormat/>
    <w:uiPriority w:val="0"/>
    <w:rPr>
      <w:rFonts w:ascii="Arial" w:hAnsi="Arial"/>
      <w:b/>
      <w:bCs/>
      <w:sz w:val="24"/>
      <w:szCs w:val="32"/>
    </w:rPr>
  </w:style>
  <w:style w:type="paragraph" w:customStyle="1" w:styleId="231">
    <w:name w:val="标题4"/>
    <w:basedOn w:val="4"/>
    <w:next w:val="25"/>
    <w:link w:val="230"/>
    <w:autoRedefine/>
    <w:qFormat/>
    <w:uiPriority w:val="0"/>
    <w:pPr>
      <w:spacing w:before="0" w:after="0" w:line="413" w:lineRule="auto"/>
    </w:pPr>
    <w:rPr>
      <w:rFonts w:ascii="Arial" w:hAnsi="Arial" w:cstheme="minorBidi"/>
      <w:kern w:val="0"/>
      <w:sz w:val="24"/>
      <w:lang w:val="en-US"/>
    </w:rPr>
  </w:style>
  <w:style w:type="character" w:customStyle="1" w:styleId="232">
    <w:name w:val="明显引用 Char"/>
    <w:link w:val="233"/>
    <w:autoRedefine/>
    <w:qFormat/>
    <w:uiPriority w:val="0"/>
    <w:rPr>
      <w:b/>
      <w:bCs/>
      <w:i/>
      <w:iCs/>
      <w:color w:val="4F81BD"/>
    </w:rPr>
  </w:style>
  <w:style w:type="paragraph" w:styleId="233">
    <w:name w:val="Intense Quote"/>
    <w:basedOn w:val="1"/>
    <w:next w:val="1"/>
    <w:link w:val="232"/>
    <w:autoRedefine/>
    <w:qFormat/>
    <w:uiPriority w:val="0"/>
    <w:pPr>
      <w:pBdr>
        <w:bottom w:val="single" w:color="4F81BD" w:themeColor="accent1" w:sz="4" w:space="4"/>
      </w:pBdr>
      <w:spacing w:before="200" w:after="280"/>
      <w:ind w:left="936" w:right="936"/>
    </w:pPr>
    <w:rPr>
      <w:b/>
      <w:bCs/>
      <w:i/>
      <w:iCs/>
      <w:color w:val="4F81BD"/>
    </w:rPr>
  </w:style>
  <w:style w:type="paragraph" w:customStyle="1" w:styleId="234">
    <w:name w:val="明显引用1"/>
    <w:basedOn w:val="1"/>
    <w:next w:val="1"/>
    <w:autoRedefine/>
    <w:qFormat/>
    <w:uiPriority w:val="0"/>
    <w:pPr>
      <w:pBdr>
        <w:bottom w:val="single" w:color="4F81BD" w:sz="4" w:space="4"/>
      </w:pBdr>
      <w:spacing w:before="200" w:after="280"/>
      <w:ind w:left="936" w:right="936"/>
    </w:pPr>
    <w:rPr>
      <w:rFonts w:ascii="Calibri" w:hAnsi="Calibri" w:cs="Times New Roman"/>
      <w:b/>
      <w:bCs/>
      <w:i/>
      <w:iCs/>
      <w:color w:val="4F81BD"/>
      <w:kern w:val="2"/>
      <w:sz w:val="21"/>
      <w:szCs w:val="22"/>
    </w:rPr>
  </w:style>
  <w:style w:type="character" w:customStyle="1" w:styleId="235">
    <w:name w:val="明显引用 Char1"/>
    <w:basedOn w:val="57"/>
    <w:autoRedefine/>
    <w:qFormat/>
    <w:uiPriority w:val="30"/>
    <w:rPr>
      <w:rFonts w:ascii="Times New Roman" w:hAnsi="Times New Roman" w:eastAsia="宋体" w:cs="Times New Roman"/>
      <w:i/>
      <w:iCs/>
      <w:color w:val="5B9BD5"/>
      <w:szCs w:val="24"/>
    </w:rPr>
  </w:style>
  <w:style w:type="character" w:customStyle="1" w:styleId="236">
    <w:name w:val="标题5 Char Char"/>
    <w:link w:val="237"/>
    <w:autoRedefine/>
    <w:qFormat/>
    <w:uiPriority w:val="0"/>
    <w:rPr>
      <w:rFonts w:ascii="Arial" w:hAnsi="Arial"/>
      <w:b/>
      <w:bCs/>
      <w:sz w:val="24"/>
      <w:szCs w:val="32"/>
    </w:rPr>
  </w:style>
  <w:style w:type="paragraph" w:customStyle="1" w:styleId="237">
    <w:name w:val="标题5"/>
    <w:basedOn w:val="5"/>
    <w:link w:val="236"/>
    <w:autoRedefine/>
    <w:qFormat/>
    <w:uiPriority w:val="0"/>
    <w:pPr>
      <w:spacing w:line="413" w:lineRule="auto"/>
      <w:jc w:val="left"/>
    </w:pPr>
    <w:rPr>
      <w:rFonts w:ascii="Arial" w:hAnsi="Arial"/>
      <w:sz w:val="24"/>
    </w:rPr>
  </w:style>
  <w:style w:type="character" w:customStyle="1" w:styleId="238">
    <w:name w:val="引用 Char"/>
    <w:link w:val="239"/>
    <w:autoRedefine/>
    <w:qFormat/>
    <w:uiPriority w:val="0"/>
    <w:rPr>
      <w:i/>
      <w:iCs/>
      <w:color w:val="000000"/>
    </w:rPr>
  </w:style>
  <w:style w:type="paragraph" w:styleId="239">
    <w:name w:val="Quote"/>
    <w:basedOn w:val="1"/>
    <w:next w:val="1"/>
    <w:link w:val="238"/>
    <w:autoRedefine/>
    <w:qFormat/>
    <w:uiPriority w:val="0"/>
    <w:rPr>
      <w:i/>
      <w:iCs/>
      <w:color w:val="000000"/>
    </w:rPr>
  </w:style>
  <w:style w:type="paragraph" w:customStyle="1" w:styleId="240">
    <w:name w:val="引用1"/>
    <w:basedOn w:val="1"/>
    <w:next w:val="1"/>
    <w:autoRedefine/>
    <w:qFormat/>
    <w:uiPriority w:val="0"/>
    <w:rPr>
      <w:rFonts w:ascii="Calibri" w:hAnsi="Calibri" w:cs="Times New Roman"/>
      <w:i/>
      <w:iCs/>
      <w:color w:val="000000"/>
      <w:kern w:val="2"/>
      <w:sz w:val="21"/>
      <w:szCs w:val="22"/>
    </w:rPr>
  </w:style>
  <w:style w:type="character" w:customStyle="1" w:styleId="241">
    <w:name w:val="引用 Char1"/>
    <w:basedOn w:val="57"/>
    <w:autoRedefine/>
    <w:qFormat/>
    <w:uiPriority w:val="29"/>
    <w:rPr>
      <w:rFonts w:ascii="Times New Roman" w:hAnsi="Times New Roman" w:eastAsia="宋体" w:cs="Times New Roman"/>
      <w:i/>
      <w:iCs/>
      <w:color w:val="404040"/>
      <w:szCs w:val="24"/>
    </w:rPr>
  </w:style>
  <w:style w:type="character" w:customStyle="1" w:styleId="242">
    <w:name w:val="ask-title2"/>
    <w:autoRedefine/>
    <w:qFormat/>
    <w:uiPriority w:val="0"/>
  </w:style>
  <w:style w:type="character" w:customStyle="1" w:styleId="243">
    <w:name w:val="正文文本 Char1"/>
    <w:autoRedefine/>
    <w:qFormat/>
    <w:uiPriority w:val="0"/>
    <w:rPr>
      <w:kern w:val="2"/>
      <w:sz w:val="21"/>
      <w:szCs w:val="22"/>
    </w:rPr>
  </w:style>
  <w:style w:type="character" w:customStyle="1" w:styleId="244">
    <w:name w:val="不明显强调1"/>
    <w:autoRedefine/>
    <w:qFormat/>
    <w:uiPriority w:val="0"/>
    <w:rPr>
      <w:i/>
      <w:iCs/>
      <w:color w:val="808080"/>
    </w:rPr>
  </w:style>
  <w:style w:type="character" w:customStyle="1" w:styleId="245">
    <w:name w:val="明显参考1"/>
    <w:autoRedefine/>
    <w:qFormat/>
    <w:uiPriority w:val="0"/>
    <w:rPr>
      <w:b/>
      <w:bCs/>
      <w:smallCaps/>
      <w:color w:val="C0504D"/>
      <w:spacing w:val="5"/>
      <w:u w:val="single"/>
    </w:rPr>
  </w:style>
  <w:style w:type="character" w:customStyle="1" w:styleId="246">
    <w:name w:val="书籍标题1"/>
    <w:autoRedefine/>
    <w:qFormat/>
    <w:uiPriority w:val="0"/>
    <w:rPr>
      <w:b/>
      <w:bCs/>
      <w:smallCaps/>
      <w:spacing w:val="5"/>
    </w:rPr>
  </w:style>
  <w:style w:type="character" w:customStyle="1" w:styleId="247">
    <w:name w:val="日期 Char1"/>
    <w:autoRedefine/>
    <w:qFormat/>
    <w:uiPriority w:val="0"/>
    <w:rPr>
      <w:kern w:val="2"/>
      <w:sz w:val="21"/>
      <w:szCs w:val="22"/>
    </w:rPr>
  </w:style>
  <w:style w:type="character" w:customStyle="1" w:styleId="248">
    <w:name w:val="明显强调1"/>
    <w:autoRedefine/>
    <w:qFormat/>
    <w:uiPriority w:val="0"/>
    <w:rPr>
      <w:b/>
      <w:bCs/>
      <w:i/>
      <w:iCs/>
      <w:color w:val="4F81BD"/>
    </w:rPr>
  </w:style>
  <w:style w:type="character" w:customStyle="1" w:styleId="249">
    <w:name w:val="textcontents"/>
    <w:autoRedefine/>
    <w:qFormat/>
    <w:uiPriority w:val="0"/>
    <w:rPr>
      <w:rFonts w:cs="Times New Roman"/>
    </w:rPr>
  </w:style>
  <w:style w:type="character" w:customStyle="1" w:styleId="250">
    <w:name w:val="不明显参考1"/>
    <w:autoRedefine/>
    <w:qFormat/>
    <w:uiPriority w:val="0"/>
    <w:rPr>
      <w:smallCaps/>
      <w:color w:val="C0504D"/>
      <w:u w:val="single"/>
    </w:rPr>
  </w:style>
  <w:style w:type="character" w:customStyle="1" w:styleId="251">
    <w:name w:val="批注文字 Char Char"/>
    <w:autoRedefine/>
    <w:qFormat/>
    <w:uiPriority w:val="0"/>
    <w:rPr>
      <w:rFonts w:ascii="宋体" w:hAnsi="Times New Roman" w:eastAsia="宋体" w:cs="Times New Roman"/>
      <w:sz w:val="28"/>
      <w:szCs w:val="20"/>
    </w:rPr>
  </w:style>
  <w:style w:type="character" w:customStyle="1" w:styleId="252">
    <w:name w:val="文档结构图 Char1"/>
    <w:autoRedefine/>
    <w:qFormat/>
    <w:uiPriority w:val="0"/>
    <w:rPr>
      <w:rFonts w:ascii="宋体"/>
      <w:kern w:val="2"/>
      <w:sz w:val="18"/>
      <w:szCs w:val="18"/>
    </w:rPr>
  </w:style>
  <w:style w:type="paragraph" w:customStyle="1" w:styleId="253">
    <w:name w:val="修订1"/>
    <w:autoRedefine/>
    <w:qFormat/>
    <w:uiPriority w:val="0"/>
    <w:rPr>
      <w:rFonts w:ascii="Times New Roman" w:hAnsi="Times New Roman" w:eastAsia="宋体" w:cs="Times New Roman"/>
      <w:kern w:val="2"/>
      <w:sz w:val="21"/>
      <w:szCs w:val="24"/>
      <w:lang w:val="en-US" w:eastAsia="zh-CN" w:bidi="ar-SA"/>
    </w:rPr>
  </w:style>
  <w:style w:type="character" w:customStyle="1" w:styleId="254">
    <w:name w:val="页脚 Char1"/>
    <w:autoRedefine/>
    <w:semiHidden/>
    <w:qFormat/>
    <w:uiPriority w:val="99"/>
    <w:rPr>
      <w:kern w:val="2"/>
      <w:sz w:val="18"/>
      <w:szCs w:val="18"/>
    </w:rPr>
  </w:style>
  <w:style w:type="character" w:customStyle="1" w:styleId="255">
    <w:name w:val="批注框文本 Char2"/>
    <w:autoRedefine/>
    <w:semiHidden/>
    <w:qFormat/>
    <w:uiPriority w:val="99"/>
    <w:rPr>
      <w:kern w:val="2"/>
      <w:sz w:val="18"/>
      <w:szCs w:val="18"/>
    </w:rPr>
  </w:style>
  <w:style w:type="character" w:customStyle="1" w:styleId="256">
    <w:name w:val="批注主题 Char2"/>
    <w:autoRedefine/>
    <w:semiHidden/>
    <w:qFormat/>
    <w:uiPriority w:val="99"/>
    <w:rPr>
      <w:b/>
      <w:bCs/>
      <w:kern w:val="2"/>
      <w:sz w:val="21"/>
      <w:szCs w:val="22"/>
    </w:rPr>
  </w:style>
  <w:style w:type="character" w:customStyle="1" w:styleId="257">
    <w:name w:val="文档结构图 Char2"/>
    <w:autoRedefine/>
    <w:semiHidden/>
    <w:qFormat/>
    <w:uiPriority w:val="99"/>
    <w:rPr>
      <w:rFonts w:ascii="宋体"/>
      <w:kern w:val="2"/>
      <w:sz w:val="18"/>
      <w:szCs w:val="18"/>
    </w:rPr>
  </w:style>
  <w:style w:type="character" w:customStyle="1" w:styleId="258">
    <w:name w:val="页眉 Char1"/>
    <w:autoRedefine/>
    <w:semiHidden/>
    <w:qFormat/>
    <w:uiPriority w:val="99"/>
    <w:rPr>
      <w:kern w:val="2"/>
      <w:sz w:val="18"/>
      <w:szCs w:val="18"/>
    </w:rPr>
  </w:style>
  <w:style w:type="character" w:customStyle="1" w:styleId="259">
    <w:name w:val="日期 Char2"/>
    <w:autoRedefine/>
    <w:semiHidden/>
    <w:qFormat/>
    <w:uiPriority w:val="99"/>
    <w:rPr>
      <w:kern w:val="2"/>
      <w:sz w:val="21"/>
      <w:szCs w:val="22"/>
    </w:rPr>
  </w:style>
  <w:style w:type="character" w:customStyle="1" w:styleId="260">
    <w:name w:val="正文文本 Char2"/>
    <w:autoRedefine/>
    <w:semiHidden/>
    <w:qFormat/>
    <w:uiPriority w:val="99"/>
    <w:rPr>
      <w:kern w:val="2"/>
      <w:sz w:val="21"/>
      <w:szCs w:val="22"/>
    </w:rPr>
  </w:style>
  <w:style w:type="character" w:customStyle="1" w:styleId="261">
    <w:name w:val="标题 Char1"/>
    <w:autoRedefine/>
    <w:qFormat/>
    <w:uiPriority w:val="10"/>
    <w:rPr>
      <w:rFonts w:ascii="Cambria" w:hAnsi="Cambria" w:cs="Times New Roman"/>
      <w:b/>
      <w:bCs/>
      <w:kern w:val="2"/>
      <w:sz w:val="32"/>
      <w:szCs w:val="32"/>
    </w:rPr>
  </w:style>
  <w:style w:type="character" w:customStyle="1" w:styleId="262">
    <w:name w:val="副标题 Char1"/>
    <w:autoRedefine/>
    <w:qFormat/>
    <w:uiPriority w:val="11"/>
    <w:rPr>
      <w:rFonts w:ascii="Cambria" w:hAnsi="Cambria" w:cs="Times New Roman"/>
      <w:b/>
      <w:bCs/>
      <w:kern w:val="28"/>
      <w:sz w:val="32"/>
      <w:szCs w:val="32"/>
    </w:rPr>
  </w:style>
  <w:style w:type="paragraph" w:customStyle="1" w:styleId="263">
    <w:name w:val="空半行"/>
    <w:basedOn w:val="1"/>
    <w:autoRedefine/>
    <w:qFormat/>
    <w:uiPriority w:val="0"/>
    <w:pPr>
      <w:adjustRightInd w:val="0"/>
      <w:spacing w:line="120" w:lineRule="exact"/>
      <w:textAlignment w:val="baseline"/>
    </w:pPr>
    <w:rPr>
      <w:rFonts w:ascii="Times New Roman" w:hAnsi="Times New Roman" w:eastAsia="仿宋_GB2312" w:cs="Times New Roman"/>
      <w:color w:val="FFFFFF"/>
      <w:sz w:val="30"/>
    </w:rPr>
  </w:style>
  <w:style w:type="paragraph" w:styleId="264">
    <w:name w:val="No Spacing"/>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65">
    <w:name w:val="flNote"/>
    <w:basedOn w:val="1"/>
    <w:autoRedefine/>
    <w:qFormat/>
    <w:uiPriority w:val="0"/>
    <w:pPr>
      <w:adjustRightInd w:val="0"/>
      <w:spacing w:before="320" w:after="160" w:line="360" w:lineRule="atLeast"/>
      <w:jc w:val="center"/>
      <w:textAlignment w:val="baseline"/>
    </w:pPr>
    <w:rPr>
      <w:rFonts w:ascii="Arial" w:hAnsi="Times New Roman" w:eastAsia="黑体" w:cs="Times New Roman"/>
      <w:sz w:val="30"/>
    </w:rPr>
  </w:style>
  <w:style w:type="character" w:customStyle="1" w:styleId="266">
    <w:name w:val="正文2 Char"/>
    <w:link w:val="267"/>
    <w:autoRedefine/>
    <w:qFormat/>
    <w:uiPriority w:val="0"/>
    <w:rPr>
      <w:rFonts w:ascii="楷体" w:eastAsia="楷体"/>
      <w:b/>
      <w:color w:val="0000FF"/>
    </w:rPr>
  </w:style>
  <w:style w:type="paragraph" w:customStyle="1" w:styleId="267">
    <w:name w:val="正文2"/>
    <w:link w:val="266"/>
    <w:autoRedefine/>
    <w:qFormat/>
    <w:uiPriority w:val="0"/>
    <w:pPr>
      <w:widowControl w:val="0"/>
      <w:adjustRightInd w:val="0"/>
      <w:snapToGrid w:val="0"/>
      <w:spacing w:line="360" w:lineRule="auto"/>
      <w:ind w:firstLine="200" w:firstLineChars="200"/>
      <w:jc w:val="both"/>
      <w:textAlignment w:val="baseline"/>
    </w:pPr>
    <w:rPr>
      <w:rFonts w:ascii="楷体" w:hAnsi="宋体" w:eastAsia="楷体" w:cstheme="minorBidi"/>
      <w:b/>
      <w:color w:val="0000FF"/>
      <w:lang w:val="en-US" w:eastAsia="zh-CN" w:bidi="ar-SA"/>
    </w:rPr>
  </w:style>
  <w:style w:type="paragraph" w:customStyle="1" w:styleId="268">
    <w:name w:val="p0"/>
    <w:basedOn w:val="1"/>
    <w:autoRedefine/>
    <w:qFormat/>
    <w:uiPriority w:val="0"/>
    <w:pPr>
      <w:widowControl/>
      <w:spacing w:before="100" w:beforeAutospacing="1" w:after="100" w:afterAutospacing="1"/>
      <w:jc w:val="left"/>
    </w:pPr>
    <w:rPr>
      <w:rFonts w:cs="宋体"/>
      <w:sz w:val="24"/>
      <w:szCs w:val="24"/>
    </w:rPr>
  </w:style>
  <w:style w:type="character" w:customStyle="1" w:styleId="269">
    <w:name w:val="正文文本 (2)_"/>
    <w:link w:val="270"/>
    <w:autoRedefine/>
    <w:qFormat/>
    <w:locked/>
    <w:uiPriority w:val="99"/>
    <w:rPr>
      <w:rFonts w:ascii="MingLiU" w:eastAsia="MingLiU" w:cs="MingLiU"/>
      <w:spacing w:val="20"/>
      <w:sz w:val="22"/>
      <w:shd w:val="clear" w:color="auto" w:fill="FFFFFF"/>
    </w:rPr>
  </w:style>
  <w:style w:type="paragraph" w:customStyle="1" w:styleId="270">
    <w:name w:val="正文文本 (2)1"/>
    <w:basedOn w:val="1"/>
    <w:link w:val="269"/>
    <w:autoRedefine/>
    <w:qFormat/>
    <w:uiPriority w:val="99"/>
    <w:pPr>
      <w:shd w:val="clear" w:color="auto" w:fill="FFFFFF"/>
      <w:spacing w:before="300" w:line="439" w:lineRule="exact"/>
      <w:jc w:val="distribute"/>
    </w:pPr>
    <w:rPr>
      <w:rFonts w:ascii="MingLiU" w:eastAsia="MingLiU" w:cs="MingLiU"/>
      <w:spacing w:val="20"/>
      <w:sz w:val="22"/>
    </w:rPr>
  </w:style>
  <w:style w:type="character" w:customStyle="1" w:styleId="271">
    <w:name w:val="正文文本 (2) + 间距 0 pt5"/>
    <w:autoRedefine/>
    <w:qFormat/>
    <w:uiPriority w:val="99"/>
    <w:rPr>
      <w:rFonts w:ascii="MingLiU" w:eastAsia="MingLiU" w:cs="MingLiU"/>
      <w:spacing w:val="0"/>
      <w:sz w:val="22"/>
      <w:shd w:val="clear" w:color="auto" w:fill="FFFFFF"/>
    </w:rPr>
  </w:style>
  <w:style w:type="character" w:customStyle="1" w:styleId="272">
    <w:name w:val="访问过的超链接1"/>
    <w:basedOn w:val="57"/>
    <w:autoRedefine/>
    <w:semiHidden/>
    <w:unhideWhenUsed/>
    <w:qFormat/>
    <w:uiPriority w:val="99"/>
    <w:rPr>
      <w:color w:val="954F72"/>
      <w:u w:val="single"/>
    </w:rPr>
  </w:style>
  <w:style w:type="character" w:customStyle="1" w:styleId="273">
    <w:name w:val="明显引用 Char2"/>
    <w:basedOn w:val="57"/>
    <w:autoRedefine/>
    <w:qFormat/>
    <w:uiPriority w:val="30"/>
    <w:rPr>
      <w:b/>
      <w:bCs/>
      <w:i/>
      <w:iCs/>
      <w:color w:val="4F81BD" w:themeColor="accent1"/>
      <w14:textFill>
        <w14:solidFill>
          <w14:schemeClr w14:val="accent1"/>
        </w14:solidFill>
      </w14:textFill>
    </w:rPr>
  </w:style>
  <w:style w:type="character" w:customStyle="1" w:styleId="274">
    <w:name w:val="引用 Char2"/>
    <w:basedOn w:val="57"/>
    <w:autoRedefine/>
    <w:qFormat/>
    <w:uiPriority w:val="29"/>
    <w:rPr>
      <w:i/>
      <w:iCs/>
      <w:color w:val="000000" w:themeColor="text1"/>
      <w14:textFill>
        <w14:solidFill>
          <w14:schemeClr w14:val="tx1"/>
        </w14:solidFill>
      </w14:textFill>
    </w:rPr>
  </w:style>
  <w:style w:type="table" w:customStyle="1" w:styleId="275">
    <w:name w:val="网格型4"/>
    <w:basedOn w:val="55"/>
    <w:autoRedefine/>
    <w:unhideWhenUsed/>
    <w:qFormat/>
    <w:uiPriority w:val="59"/>
    <w:rPr>
      <w:rFonts w:asciiTheme="minorHAnsi" w:hAnsiTheme="minorHAnsi" w:eastAsiaTheme="minorEastAsia"/>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
    <w:name w:val="Table Normal"/>
    <w:autoRedefine/>
    <w:semiHidden/>
    <w:unhideWhenUsed/>
    <w:qFormat/>
    <w:uiPriority w:val="0"/>
    <w:tblPr>
      <w:tblCellMar>
        <w:top w:w="0" w:type="dxa"/>
        <w:left w:w="0" w:type="dxa"/>
        <w:bottom w:w="0" w:type="dxa"/>
        <w:right w:w="0" w:type="dxa"/>
      </w:tblCellMar>
    </w:tblPr>
  </w:style>
  <w:style w:type="paragraph" w:customStyle="1" w:styleId="277">
    <w:name w:val="Table Text"/>
    <w:basedOn w:val="1"/>
    <w:autoRedefine/>
    <w:semiHidden/>
    <w:qFormat/>
    <w:uiPriority w:val="0"/>
    <w:rPr>
      <w:rFonts w:ascii="Arial" w:hAnsi="Arial" w:eastAsia="Arial" w:cs="Arial"/>
      <w:sz w:val="21"/>
      <w:szCs w:val="21"/>
      <w:lang w:val="en-US" w:eastAsia="en-US" w:bidi="ar-SA"/>
    </w:rPr>
  </w:style>
  <w:style w:type="character" w:customStyle="1" w:styleId="278">
    <w:name w:val="layui-this"/>
    <w:basedOn w:val="57"/>
    <w:qFormat/>
    <w:uiPriority w:val="0"/>
    <w:rPr>
      <w:bdr w:val="single" w:color="EEEEEE" w:sz="6" w:space="0"/>
      <w:shd w:val="clear" w:fill="FFFFFF"/>
    </w:rPr>
  </w:style>
  <w:style w:type="character" w:customStyle="1" w:styleId="279">
    <w:name w:val="first-child"/>
    <w:basedOn w:val="57"/>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akoosky</Company>
  <Pages>87</Pages>
  <Words>1311</Words>
  <Characters>1428</Characters>
  <Lines>445</Lines>
  <Paragraphs>125</Paragraphs>
  <TotalTime>0</TotalTime>
  <ScaleCrop>false</ScaleCrop>
  <LinksUpToDate>false</LinksUpToDate>
  <CharactersWithSpaces>1558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2021-12-20T01:22:00Z</dcterms:created>
  <dc:creator>Anakin</dc:creator>
  <cp:lastModifiedBy>Administrator</cp:lastModifiedBy>
  <cp:lastPrinted>2025-12-02T02:03:00Z</cp:lastPrinted>
  <dcterms:modified xsi:type="dcterms:W3CDTF">2026-04-15T09:30:02Z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BE393E6EDC3845A1908AECFA21276DCE_12</vt:lpwstr>
  </property>
  <property fmtid="{D5CDD505-2E9C-101B-9397-08002B2CF9AE}" pid="4" name="KSOTemplateDocerSaveRecord">
    <vt:lpwstr>eyJoZGlkIjoiZDY3ODEwMDQ4MDQxMTg0Yjk1YjUzZTA3NDI2YzEwMTYifQ==</vt:lpwstr>
  </property>
</Properties>
</file>