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6F24D">
      <w:pPr>
        <w:tabs>
          <w:tab w:val="left" w:pos="315"/>
          <w:tab w:val="left" w:pos="8820"/>
        </w:tabs>
        <w:spacing w:before="240" w:beforeLines="100" w:after="120" w:afterLines="50" w:line="500" w:lineRule="exact"/>
        <w:ind w:right="267" w:rightChars="127"/>
        <w:jc w:val="center"/>
        <w:rPr>
          <w:rFonts w:ascii="宋体" w:hAnsi="宋体" w:eastAsia="宋体"/>
          <w:b/>
          <w:bCs/>
          <w:color w:val="auto"/>
          <w:sz w:val="52"/>
          <w:szCs w:val="52"/>
          <w:highlight w:val="none"/>
        </w:rPr>
      </w:pPr>
    </w:p>
    <w:p w14:paraId="2EF11C86">
      <w:pPr>
        <w:tabs>
          <w:tab w:val="left" w:pos="315"/>
          <w:tab w:val="left" w:pos="8820"/>
        </w:tabs>
        <w:spacing w:before="240" w:beforeLines="100" w:after="120" w:afterLines="50" w:line="500" w:lineRule="exact"/>
        <w:ind w:right="267" w:rightChars="127"/>
        <w:jc w:val="center"/>
        <w:rPr>
          <w:rFonts w:ascii="宋体" w:hAnsi="宋体" w:eastAsia="宋体"/>
          <w:b/>
          <w:bCs/>
          <w:color w:val="auto"/>
          <w:sz w:val="52"/>
          <w:szCs w:val="52"/>
          <w:highlight w:val="none"/>
        </w:rPr>
      </w:pPr>
    </w:p>
    <w:p w14:paraId="39ABE7FE">
      <w:pPr>
        <w:tabs>
          <w:tab w:val="left" w:pos="315"/>
          <w:tab w:val="left" w:pos="8820"/>
        </w:tabs>
        <w:spacing w:before="240" w:beforeLines="100" w:after="120" w:afterLines="50" w:line="500" w:lineRule="exact"/>
        <w:ind w:right="267" w:rightChars="127"/>
        <w:jc w:val="center"/>
        <w:rPr>
          <w:rFonts w:hint="eastAsia" w:ascii="宋体" w:hAnsi="宋体" w:eastAsia="宋体"/>
          <w:b/>
          <w:bCs/>
          <w:color w:val="auto"/>
          <w:sz w:val="52"/>
          <w:szCs w:val="52"/>
          <w:highlight w:val="none"/>
          <w:lang w:eastAsia="zh-CN"/>
        </w:rPr>
      </w:pPr>
      <w:bookmarkStart w:id="0" w:name="_Hlk9544796"/>
      <w:r>
        <w:rPr>
          <w:rFonts w:hint="eastAsia" w:ascii="宋体" w:hAnsi="宋体" w:eastAsia="宋体"/>
          <w:b/>
          <w:bCs/>
          <w:color w:val="auto"/>
          <w:sz w:val="52"/>
          <w:szCs w:val="52"/>
          <w:highlight w:val="none"/>
          <w:lang w:val="en-US" w:eastAsia="zh-CN"/>
        </w:rPr>
        <w:t>安徽省</w:t>
      </w:r>
      <w:r>
        <w:rPr>
          <w:rFonts w:hint="eastAsia" w:ascii="宋体" w:hAnsi="宋体" w:eastAsia="宋体"/>
          <w:b/>
          <w:bCs/>
          <w:color w:val="auto"/>
          <w:sz w:val="52"/>
          <w:szCs w:val="52"/>
          <w:highlight w:val="none"/>
        </w:rPr>
        <w:t>政府采购</w:t>
      </w:r>
      <w:r>
        <w:rPr>
          <w:rFonts w:hint="eastAsia" w:ascii="宋体" w:hAnsi="宋体" w:eastAsia="宋体"/>
          <w:b/>
          <w:bCs/>
          <w:color w:val="auto"/>
          <w:sz w:val="52"/>
          <w:szCs w:val="52"/>
          <w:highlight w:val="none"/>
          <w:lang w:eastAsia="zh-CN"/>
        </w:rPr>
        <w:t>项目</w:t>
      </w:r>
    </w:p>
    <w:p w14:paraId="2EE268EC">
      <w:pPr>
        <w:tabs>
          <w:tab w:val="left" w:pos="315"/>
          <w:tab w:val="left" w:pos="8820"/>
        </w:tabs>
        <w:spacing w:before="240" w:beforeLines="100" w:after="120" w:afterLines="50" w:line="500" w:lineRule="exact"/>
        <w:ind w:right="267" w:rightChars="127"/>
        <w:jc w:val="center"/>
        <w:rPr>
          <w:rFonts w:ascii="宋体" w:hAnsi="宋体" w:eastAsia="宋体"/>
          <w:b/>
          <w:bCs/>
          <w:color w:val="auto"/>
          <w:sz w:val="52"/>
          <w:szCs w:val="52"/>
          <w:highlight w:val="none"/>
        </w:rPr>
      </w:pPr>
      <w:r>
        <w:rPr>
          <w:rFonts w:hint="eastAsia" w:ascii="宋体" w:hAnsi="宋体" w:eastAsia="宋体"/>
          <w:b/>
          <w:bCs/>
          <w:color w:val="auto"/>
          <w:sz w:val="52"/>
          <w:szCs w:val="52"/>
          <w:highlight w:val="none"/>
        </w:rPr>
        <w:t>竞争性磋商文件示范文本（服务类）</w:t>
      </w:r>
    </w:p>
    <w:bookmarkEnd w:id="0"/>
    <w:p w14:paraId="70C7BDF5">
      <w:pPr>
        <w:tabs>
          <w:tab w:val="left" w:pos="315"/>
          <w:tab w:val="left" w:pos="8820"/>
        </w:tabs>
        <w:spacing w:before="240" w:beforeLines="100" w:after="120" w:afterLines="50" w:line="500" w:lineRule="exact"/>
        <w:ind w:right="267" w:rightChars="127"/>
        <w:jc w:val="center"/>
        <w:rPr>
          <w:rFonts w:ascii="宋体" w:hAnsi="宋体" w:eastAsia="宋体"/>
          <w:bCs/>
          <w:color w:val="auto"/>
          <w:sz w:val="44"/>
          <w:szCs w:val="44"/>
          <w:highlight w:val="none"/>
        </w:rPr>
      </w:pPr>
      <w:r>
        <w:rPr>
          <w:rFonts w:hint="eastAsia" w:ascii="宋体" w:hAnsi="宋体" w:eastAsia="宋体"/>
          <w:b/>
          <w:bCs/>
          <w:color w:val="auto"/>
          <w:sz w:val="52"/>
          <w:szCs w:val="52"/>
          <w:highlight w:val="none"/>
          <w:lang w:eastAsia="zh-CN"/>
        </w:rPr>
        <w:t>（</w:t>
      </w:r>
      <w:r>
        <w:rPr>
          <w:rFonts w:hint="eastAsia" w:ascii="宋体" w:hAnsi="宋体" w:eastAsia="宋体"/>
          <w:b/>
          <w:bCs/>
          <w:color w:val="auto"/>
          <w:sz w:val="52"/>
          <w:szCs w:val="52"/>
          <w:highlight w:val="none"/>
          <w:lang w:val="en-US" w:eastAsia="zh-CN"/>
        </w:rPr>
        <w:t>2026版</w:t>
      </w:r>
      <w:r>
        <w:rPr>
          <w:rFonts w:hint="eastAsia" w:ascii="宋体" w:hAnsi="宋体" w:eastAsia="宋体"/>
          <w:b/>
          <w:bCs/>
          <w:color w:val="auto"/>
          <w:sz w:val="52"/>
          <w:szCs w:val="52"/>
          <w:highlight w:val="none"/>
          <w:lang w:eastAsia="zh-CN"/>
        </w:rPr>
        <w:t>）</w:t>
      </w:r>
    </w:p>
    <w:p w14:paraId="3E6FC067">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233C4F85">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7D82991A">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2B850F6F">
      <w:pPr>
        <w:pStyle w:val="8"/>
        <w:rPr>
          <w:rFonts w:ascii="宋体" w:hAnsi="宋体" w:eastAsia="宋体"/>
          <w:b/>
          <w:bCs/>
          <w:color w:val="auto"/>
          <w:sz w:val="44"/>
          <w:szCs w:val="44"/>
          <w:highlight w:val="none"/>
        </w:rPr>
      </w:pPr>
    </w:p>
    <w:p w14:paraId="723B00FD">
      <w:pPr>
        <w:tabs>
          <w:tab w:val="left" w:pos="315"/>
          <w:tab w:val="left" w:pos="8820"/>
        </w:tabs>
        <w:spacing w:before="240" w:beforeLines="100" w:after="120" w:afterLines="50" w:line="500" w:lineRule="exact"/>
        <w:ind w:right="267" w:rightChars="127"/>
        <w:jc w:val="both"/>
        <w:rPr>
          <w:rFonts w:ascii="宋体" w:hAnsi="宋体" w:eastAsia="宋体"/>
          <w:b/>
          <w:bCs/>
          <w:color w:val="auto"/>
          <w:sz w:val="44"/>
          <w:szCs w:val="44"/>
          <w:highlight w:val="none"/>
        </w:rPr>
      </w:pPr>
    </w:p>
    <w:p w14:paraId="3F987B38">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40FF4960">
      <w:pPr>
        <w:keepNext w:val="0"/>
        <w:keepLines w:val="0"/>
        <w:pageBreakBefore w:val="0"/>
        <w:widowControl w:val="0"/>
        <w:tabs>
          <w:tab w:val="left" w:pos="2410"/>
        </w:tabs>
        <w:kinsoku/>
        <w:wordWrap w:val="0"/>
        <w:overflowPunct/>
        <w:topLinePunct/>
        <w:autoSpaceDE/>
        <w:autoSpaceDN/>
        <w:bidi w:val="0"/>
        <w:adjustRightInd w:val="0"/>
        <w:snapToGrid w:val="0"/>
        <w:spacing w:line="360" w:lineRule="auto"/>
        <w:ind w:left="0" w:leftChars="0" w:firstLine="373" w:firstLineChars="116"/>
        <w:textAlignment w:val="auto"/>
        <w:rPr>
          <w:rFonts w:hint="default" w:ascii="宋体" w:hAnsi="宋体" w:eastAsia="宋体"/>
          <w:b/>
          <w:color w:val="auto"/>
          <w:spacing w:val="0"/>
          <w:kern w:val="0"/>
          <w:sz w:val="32"/>
          <w:szCs w:val="32"/>
          <w:highlight w:val="none"/>
          <w:lang w:val="en-US" w:eastAsia="zh-CN"/>
        </w:rPr>
      </w:pPr>
      <w:r>
        <w:rPr>
          <w:rFonts w:hint="eastAsia" w:ascii="宋体" w:hAnsi="宋体" w:eastAsia="宋体"/>
          <w:b/>
          <w:color w:val="auto"/>
          <w:spacing w:val="0"/>
          <w:kern w:val="0"/>
          <w:sz w:val="32"/>
          <w:szCs w:val="32"/>
          <w:highlight w:val="none"/>
        </w:rPr>
        <w:t>项目名称：</w:t>
      </w:r>
      <w:r>
        <w:rPr>
          <w:rFonts w:hint="eastAsia" w:ascii="宋体" w:hAnsi="宋体" w:eastAsia="宋体"/>
          <w:b/>
          <w:color w:val="auto"/>
          <w:spacing w:val="0"/>
          <w:kern w:val="0"/>
          <w:sz w:val="32"/>
          <w:szCs w:val="32"/>
          <w:highlight w:val="none"/>
          <w:u w:val="single"/>
          <w:lang w:val="en-US" w:eastAsia="zh-CN"/>
        </w:rPr>
        <w:t xml:space="preserve"> 定远县中医院电梯维保服务项目 </w:t>
      </w:r>
    </w:p>
    <w:p w14:paraId="475A359B">
      <w:pPr>
        <w:keepNext w:val="0"/>
        <w:keepLines w:val="0"/>
        <w:pageBreakBefore w:val="0"/>
        <w:widowControl w:val="0"/>
        <w:tabs>
          <w:tab w:val="left" w:pos="2410"/>
        </w:tabs>
        <w:kinsoku/>
        <w:wordWrap w:val="0"/>
        <w:overflowPunct/>
        <w:topLinePunct/>
        <w:autoSpaceDE/>
        <w:autoSpaceDN/>
        <w:bidi w:val="0"/>
        <w:adjustRightInd w:val="0"/>
        <w:snapToGrid w:val="0"/>
        <w:spacing w:line="360" w:lineRule="auto"/>
        <w:ind w:left="0" w:leftChars="0" w:firstLine="373" w:firstLineChars="116"/>
        <w:textAlignment w:val="auto"/>
        <w:rPr>
          <w:rFonts w:ascii="宋体" w:hAnsi="宋体" w:eastAsia="宋体"/>
          <w:b/>
          <w:color w:val="auto"/>
          <w:spacing w:val="0"/>
          <w:kern w:val="0"/>
          <w:sz w:val="32"/>
          <w:szCs w:val="32"/>
          <w:highlight w:val="none"/>
        </w:rPr>
      </w:pPr>
      <w:r>
        <w:rPr>
          <w:rFonts w:hint="eastAsia" w:ascii="宋体" w:hAnsi="宋体" w:eastAsia="宋体"/>
          <w:b/>
          <w:color w:val="auto"/>
          <w:spacing w:val="0"/>
          <w:kern w:val="0"/>
          <w:sz w:val="32"/>
          <w:szCs w:val="32"/>
          <w:highlight w:val="none"/>
        </w:rPr>
        <w:t>项目编号：</w:t>
      </w:r>
      <w:r>
        <w:rPr>
          <w:rFonts w:hint="eastAsia" w:ascii="宋体" w:hAnsi="宋体" w:eastAsia="宋体"/>
          <w:b/>
          <w:color w:val="auto"/>
          <w:spacing w:val="0"/>
          <w:kern w:val="0"/>
          <w:sz w:val="32"/>
          <w:szCs w:val="32"/>
          <w:highlight w:val="none"/>
          <w:u w:val="single"/>
          <w:lang w:val="en-US" w:eastAsia="zh-CN"/>
        </w:rPr>
        <w:t xml:space="preserve"> ANSC202604-03 </w:t>
      </w:r>
    </w:p>
    <w:p w14:paraId="5AF2AEAF">
      <w:pPr>
        <w:keepNext w:val="0"/>
        <w:keepLines w:val="0"/>
        <w:pageBreakBefore w:val="0"/>
        <w:widowControl w:val="0"/>
        <w:tabs>
          <w:tab w:val="left" w:pos="2410"/>
        </w:tabs>
        <w:kinsoku/>
        <w:wordWrap w:val="0"/>
        <w:overflowPunct/>
        <w:topLinePunct/>
        <w:autoSpaceDE/>
        <w:autoSpaceDN/>
        <w:bidi w:val="0"/>
        <w:adjustRightInd w:val="0"/>
        <w:snapToGrid w:val="0"/>
        <w:spacing w:line="360" w:lineRule="auto"/>
        <w:ind w:left="0" w:leftChars="0" w:firstLine="373" w:firstLineChars="116"/>
        <w:textAlignment w:val="auto"/>
        <w:rPr>
          <w:rFonts w:ascii="宋体" w:hAnsi="宋体" w:eastAsia="宋体"/>
          <w:b/>
          <w:color w:val="auto"/>
          <w:spacing w:val="0"/>
          <w:kern w:val="0"/>
          <w:sz w:val="32"/>
          <w:szCs w:val="32"/>
          <w:highlight w:val="none"/>
        </w:rPr>
      </w:pPr>
      <w:r>
        <w:rPr>
          <w:rFonts w:hint="eastAsia" w:ascii="宋体" w:hAnsi="宋体" w:eastAsia="宋体"/>
          <w:b/>
          <w:color w:val="auto"/>
          <w:spacing w:val="0"/>
          <w:kern w:val="0"/>
          <w:sz w:val="32"/>
          <w:szCs w:val="32"/>
          <w:highlight w:val="none"/>
        </w:rPr>
        <w:t>采 购 人：</w:t>
      </w:r>
      <w:r>
        <w:rPr>
          <w:rFonts w:hint="eastAsia" w:ascii="宋体" w:hAnsi="宋体" w:eastAsia="宋体"/>
          <w:b/>
          <w:color w:val="auto"/>
          <w:spacing w:val="0"/>
          <w:kern w:val="0"/>
          <w:sz w:val="32"/>
          <w:szCs w:val="32"/>
          <w:highlight w:val="none"/>
          <w:u w:val="single"/>
          <w:lang w:val="en-US" w:eastAsia="zh-CN"/>
        </w:rPr>
        <w:t xml:space="preserve"> 定远县总医院（盖章） </w:t>
      </w:r>
    </w:p>
    <w:p w14:paraId="3AE0158D">
      <w:pPr>
        <w:keepNext w:val="0"/>
        <w:keepLines w:val="0"/>
        <w:pageBreakBefore w:val="0"/>
        <w:widowControl w:val="0"/>
        <w:tabs>
          <w:tab w:val="left" w:pos="2410"/>
        </w:tabs>
        <w:kinsoku/>
        <w:wordWrap w:val="0"/>
        <w:overflowPunct/>
        <w:topLinePunct/>
        <w:autoSpaceDE/>
        <w:autoSpaceDN/>
        <w:bidi w:val="0"/>
        <w:adjustRightInd w:val="0"/>
        <w:snapToGrid w:val="0"/>
        <w:spacing w:line="360" w:lineRule="auto"/>
        <w:ind w:left="0" w:leftChars="0" w:firstLine="373" w:firstLineChars="116"/>
        <w:textAlignment w:val="auto"/>
        <w:rPr>
          <w:rFonts w:hint="eastAsia" w:ascii="宋体" w:hAnsi="宋体" w:eastAsia="宋体"/>
          <w:b/>
          <w:color w:val="auto"/>
          <w:spacing w:val="0"/>
          <w:kern w:val="0"/>
          <w:sz w:val="32"/>
          <w:szCs w:val="32"/>
          <w:highlight w:val="none"/>
          <w:u w:val="single"/>
          <w:lang w:val="en-US" w:eastAsia="zh-CN"/>
        </w:rPr>
      </w:pPr>
      <w:r>
        <w:rPr>
          <w:rFonts w:hint="eastAsia" w:ascii="宋体" w:hAnsi="宋体" w:eastAsia="宋体"/>
          <w:b/>
          <w:color w:val="auto"/>
          <w:spacing w:val="0"/>
          <w:kern w:val="0"/>
          <w:sz w:val="32"/>
          <w:szCs w:val="32"/>
          <w:highlight w:val="none"/>
        </w:rPr>
        <w:t>采购代理机构：</w:t>
      </w:r>
      <w:r>
        <w:rPr>
          <w:rFonts w:hint="eastAsia" w:ascii="宋体" w:hAnsi="宋体" w:eastAsia="宋体"/>
          <w:b/>
          <w:color w:val="auto"/>
          <w:spacing w:val="0"/>
          <w:kern w:val="0"/>
          <w:sz w:val="32"/>
          <w:szCs w:val="32"/>
          <w:highlight w:val="none"/>
          <w:u w:val="single"/>
          <w:lang w:val="en-US" w:eastAsia="zh-CN"/>
        </w:rPr>
        <w:t>安徽三辰工程项目管理有限公司（盖章）</w:t>
      </w:r>
    </w:p>
    <w:p w14:paraId="21E08350">
      <w:pPr>
        <w:pStyle w:val="2"/>
      </w:pPr>
    </w:p>
    <w:p w14:paraId="4A6F678E">
      <w:pPr>
        <w:tabs>
          <w:tab w:val="left" w:pos="2410"/>
        </w:tabs>
        <w:autoSpaceDE w:val="0"/>
        <w:autoSpaceDN w:val="0"/>
        <w:adjustRightInd w:val="0"/>
        <w:snapToGrid w:val="0"/>
        <w:spacing w:line="360" w:lineRule="auto"/>
        <w:jc w:val="center"/>
        <w:rPr>
          <w:rFonts w:hint="default" w:ascii="宋体" w:hAnsi="宋体" w:eastAsia="宋体"/>
          <w:b/>
          <w:color w:val="auto"/>
          <w:sz w:val="36"/>
          <w:highlight w:val="none"/>
          <w:lang w:val="en-US" w:eastAsia="zh-CN"/>
        </w:rPr>
        <w:sectPr>
          <w:headerReference r:id="rId3" w:type="default"/>
          <w:footerReference r:id="rId4" w:type="default"/>
          <w:pgSz w:w="11907" w:h="16840"/>
          <w:pgMar w:top="1474" w:right="1814" w:bottom="1474" w:left="1814" w:header="851" w:footer="992" w:gutter="0"/>
          <w:cols w:space="720" w:num="1"/>
          <w:docGrid w:linePitch="462" w:charSpace="0"/>
        </w:sectPr>
      </w:pPr>
      <w:r>
        <w:rPr>
          <w:rFonts w:hint="eastAsia" w:ascii="宋体" w:hAnsi="宋体" w:eastAsia="宋体"/>
          <w:b/>
          <w:color w:val="auto"/>
          <w:sz w:val="36"/>
          <w:highlight w:val="none"/>
          <w:u w:val="single"/>
        </w:rPr>
        <w:t xml:space="preserve"> </w:t>
      </w:r>
      <w:r>
        <w:rPr>
          <w:rFonts w:hint="eastAsia" w:ascii="宋体" w:hAnsi="宋体" w:eastAsia="宋体"/>
          <w:b/>
          <w:color w:val="auto"/>
          <w:sz w:val="36"/>
          <w:highlight w:val="none"/>
          <w:u w:val="single"/>
          <w:lang w:val="en-US" w:eastAsia="zh-CN"/>
        </w:rPr>
        <w:t>2026</w:t>
      </w:r>
      <w:r>
        <w:rPr>
          <w:rFonts w:hint="eastAsia" w:ascii="宋体" w:hAnsi="宋体" w:eastAsia="宋体"/>
          <w:b/>
          <w:color w:val="auto"/>
          <w:sz w:val="36"/>
          <w:highlight w:val="none"/>
          <w:u w:val="single"/>
        </w:rPr>
        <w:t xml:space="preserve"> </w:t>
      </w:r>
      <w:r>
        <w:rPr>
          <w:rFonts w:hint="eastAsia" w:ascii="宋体" w:hAnsi="宋体" w:eastAsia="宋体"/>
          <w:b/>
          <w:color w:val="auto"/>
          <w:sz w:val="36"/>
          <w:highlight w:val="none"/>
        </w:rPr>
        <w:t>年</w:t>
      </w:r>
      <w:r>
        <w:rPr>
          <w:rFonts w:hint="eastAsia" w:ascii="宋体" w:hAnsi="宋体" w:eastAsia="宋体"/>
          <w:b/>
          <w:color w:val="auto"/>
          <w:sz w:val="36"/>
          <w:highlight w:val="none"/>
          <w:u w:val="single"/>
        </w:rPr>
        <w:t xml:space="preserve"> </w:t>
      </w:r>
      <w:r>
        <w:rPr>
          <w:rFonts w:hint="eastAsia" w:ascii="宋体" w:hAnsi="宋体" w:eastAsia="宋体"/>
          <w:b/>
          <w:color w:val="auto"/>
          <w:sz w:val="36"/>
          <w:highlight w:val="none"/>
          <w:u w:val="single"/>
          <w:lang w:val="en-US" w:eastAsia="zh-CN"/>
        </w:rPr>
        <w:t xml:space="preserve">4 </w:t>
      </w:r>
      <w:r>
        <w:rPr>
          <w:rFonts w:hint="eastAsia" w:ascii="宋体" w:hAnsi="宋体" w:eastAsia="宋体"/>
          <w:b/>
          <w:color w:val="auto"/>
          <w:sz w:val="36"/>
          <w:highlight w:val="none"/>
        </w:rPr>
        <w:t>月</w:t>
      </w:r>
      <w:r>
        <w:rPr>
          <w:rFonts w:hint="eastAsia" w:ascii="宋体" w:hAnsi="宋体" w:eastAsia="宋体"/>
          <w:b/>
          <w:color w:val="auto"/>
          <w:sz w:val="36"/>
          <w:highlight w:val="none"/>
          <w:u w:val="single"/>
          <w:lang w:val="en-US" w:eastAsia="zh-CN"/>
        </w:rPr>
        <w:t xml:space="preserve"> 17 </w:t>
      </w:r>
      <w:r>
        <w:rPr>
          <w:rFonts w:hint="eastAsia" w:ascii="宋体" w:hAnsi="宋体" w:eastAsia="宋体"/>
          <w:b/>
          <w:color w:val="auto"/>
          <w:sz w:val="36"/>
          <w:highlight w:val="none"/>
          <w:lang w:val="en-US" w:eastAsia="zh-CN"/>
        </w:rPr>
        <w:t>日</w:t>
      </w:r>
    </w:p>
    <w:p w14:paraId="775B0170">
      <w:pPr>
        <w:tabs>
          <w:tab w:val="left" w:pos="2410"/>
        </w:tabs>
        <w:autoSpaceDE w:val="0"/>
        <w:autoSpaceDN w:val="0"/>
        <w:adjustRightInd w:val="0"/>
        <w:snapToGrid w:val="0"/>
        <w:spacing w:line="360" w:lineRule="auto"/>
        <w:jc w:val="center"/>
        <w:rPr>
          <w:rFonts w:hint="eastAsia" w:ascii="宋体" w:hAnsi="宋体" w:eastAsia="宋体" w:cs="宋体"/>
          <w:b/>
          <w:color w:val="auto"/>
          <w:sz w:val="44"/>
          <w:szCs w:val="28"/>
          <w:highlight w:val="none"/>
        </w:rPr>
      </w:pPr>
      <w:r>
        <w:rPr>
          <w:rFonts w:hint="eastAsia" w:ascii="宋体" w:hAnsi="宋体" w:eastAsia="宋体" w:cs="宋体"/>
          <w:b/>
          <w:color w:val="auto"/>
          <w:sz w:val="44"/>
          <w:szCs w:val="28"/>
          <w:highlight w:val="none"/>
        </w:rPr>
        <w:t>目 录</w:t>
      </w:r>
    </w:p>
    <w:p w14:paraId="50CD3D5E">
      <w:pPr>
        <w:tabs>
          <w:tab w:val="left" w:pos="2410"/>
        </w:tabs>
        <w:autoSpaceDE w:val="0"/>
        <w:autoSpaceDN w:val="0"/>
        <w:adjustRightInd w:val="0"/>
        <w:snapToGrid w:val="0"/>
        <w:spacing w:line="360" w:lineRule="auto"/>
        <w:jc w:val="center"/>
        <w:rPr>
          <w:rFonts w:hint="eastAsia" w:ascii="宋体" w:hAnsi="宋体" w:eastAsia="宋体" w:cs="宋体"/>
          <w:b/>
          <w:color w:val="auto"/>
          <w:sz w:val="28"/>
          <w:highlight w:val="none"/>
        </w:rPr>
      </w:pPr>
    </w:p>
    <w:p w14:paraId="3951C126">
      <w:pPr>
        <w:pStyle w:val="17"/>
        <w:tabs>
          <w:tab w:val="right" w:leader="dot" w:pos="8279"/>
        </w:tabs>
        <w:spacing w:line="600" w:lineRule="auto"/>
        <w:rPr>
          <w:rFonts w:hint="eastAsia" w:ascii="宋体" w:hAnsi="宋体" w:eastAsia="宋体" w:cs="宋体"/>
          <w:sz w:val="28"/>
          <w:szCs w:val="28"/>
          <w:highlight w:val="none"/>
        </w:rPr>
      </w:pPr>
      <w:r>
        <w:rPr>
          <w:rFonts w:hint="eastAsia" w:ascii="宋体" w:hAnsi="宋体" w:eastAsia="宋体" w:cs="宋体"/>
          <w:b/>
          <w:bCs/>
          <w:color w:val="auto"/>
          <w:sz w:val="32"/>
          <w:szCs w:val="32"/>
          <w:highlight w:val="none"/>
        </w:rPr>
        <w:fldChar w:fldCharType="begin"/>
      </w:r>
      <w:r>
        <w:rPr>
          <w:rFonts w:hint="eastAsia" w:ascii="宋体" w:hAnsi="宋体" w:eastAsia="宋体" w:cs="宋体"/>
          <w:b/>
          <w:bCs/>
          <w:color w:val="auto"/>
          <w:sz w:val="32"/>
          <w:szCs w:val="32"/>
          <w:highlight w:val="none"/>
        </w:rPr>
        <w:instrText xml:space="preserve"> TOC \o "1-2" \h \z \u </w:instrText>
      </w:r>
      <w:r>
        <w:rPr>
          <w:rFonts w:hint="eastAsia" w:ascii="宋体" w:hAnsi="宋体" w:eastAsia="宋体" w:cs="宋体"/>
          <w:b/>
          <w:bCs/>
          <w:color w:val="auto"/>
          <w:sz w:val="32"/>
          <w:szCs w:val="32"/>
          <w:highlight w:val="none"/>
        </w:rPr>
        <w:fldChar w:fldCharType="separate"/>
      </w:r>
      <w:r>
        <w:rPr>
          <w:rFonts w:hint="eastAsia" w:ascii="宋体" w:hAnsi="宋体" w:eastAsia="宋体" w:cs="宋体"/>
          <w:bCs/>
          <w:color w:val="auto"/>
          <w:sz w:val="28"/>
          <w:szCs w:val="32"/>
          <w:highlight w:val="none"/>
        </w:rPr>
        <w:fldChar w:fldCharType="begin"/>
      </w:r>
      <w:r>
        <w:rPr>
          <w:rFonts w:hint="eastAsia" w:ascii="宋体" w:hAnsi="宋体" w:eastAsia="宋体" w:cs="宋体"/>
          <w:bCs/>
          <w:sz w:val="28"/>
          <w:szCs w:val="32"/>
          <w:highlight w:val="none"/>
        </w:rPr>
        <w:instrText xml:space="preserve"> HYPERLINK \l _Toc19988 </w:instrText>
      </w:r>
      <w:r>
        <w:rPr>
          <w:rFonts w:hint="eastAsia" w:ascii="宋体" w:hAnsi="宋体" w:eastAsia="宋体" w:cs="宋体"/>
          <w:bCs/>
          <w:sz w:val="28"/>
          <w:szCs w:val="32"/>
          <w:highlight w:val="none"/>
        </w:rPr>
        <w:fldChar w:fldCharType="separate"/>
      </w:r>
      <w:r>
        <w:rPr>
          <w:rFonts w:hint="eastAsia" w:ascii="宋体" w:hAnsi="宋体" w:eastAsia="宋体" w:cs="宋体"/>
          <w:sz w:val="28"/>
          <w:szCs w:val="28"/>
          <w:highlight w:val="none"/>
        </w:rPr>
        <w:t>第一章  磋商邀请</w:t>
      </w:r>
      <w:r>
        <w:rPr>
          <w:rFonts w:hint="eastAsia" w:ascii="宋体" w:hAnsi="宋体" w:eastAsia="宋体" w:cs="宋体"/>
          <w:sz w:val="28"/>
          <w:szCs w:val="28"/>
          <w:highlight w:val="none"/>
        </w:rPr>
        <w:tab/>
      </w:r>
      <w:r>
        <w:rPr>
          <w:rFonts w:hint="eastAsia" w:ascii="宋体" w:hAnsi="宋体" w:eastAsia="宋体" w:cs="宋体"/>
          <w:sz w:val="28"/>
          <w:szCs w:val="28"/>
          <w:highlight w:val="none"/>
          <w:lang w:val="en-US" w:eastAsia="zh-CN"/>
        </w:rPr>
        <w:t xml:space="preserve">3 </w:t>
      </w:r>
      <w:r>
        <w:rPr>
          <w:rFonts w:hint="eastAsia" w:ascii="宋体" w:hAnsi="宋体" w:eastAsia="宋体" w:cs="宋体"/>
          <w:bCs/>
          <w:color w:val="auto"/>
          <w:sz w:val="28"/>
          <w:szCs w:val="32"/>
          <w:highlight w:val="none"/>
        </w:rPr>
        <w:fldChar w:fldCharType="end"/>
      </w:r>
    </w:p>
    <w:p w14:paraId="4CECC31D">
      <w:pPr>
        <w:pStyle w:val="17"/>
        <w:tabs>
          <w:tab w:val="right" w:leader="dot" w:pos="8279"/>
        </w:tabs>
        <w:spacing w:line="600" w:lineRule="auto"/>
        <w:rPr>
          <w:rFonts w:hint="eastAsia" w:ascii="宋体" w:hAnsi="宋体" w:eastAsia="宋体" w:cs="宋体"/>
          <w:sz w:val="28"/>
          <w:szCs w:val="28"/>
          <w:highlight w:val="none"/>
        </w:rPr>
      </w:pPr>
      <w:r>
        <w:rPr>
          <w:rFonts w:hint="eastAsia" w:ascii="宋体" w:hAnsi="宋体" w:eastAsia="宋体" w:cs="宋体"/>
          <w:bCs/>
          <w:color w:val="auto"/>
          <w:sz w:val="28"/>
          <w:szCs w:val="32"/>
          <w:highlight w:val="none"/>
        </w:rPr>
        <w:fldChar w:fldCharType="begin"/>
      </w:r>
      <w:r>
        <w:rPr>
          <w:rFonts w:hint="eastAsia" w:ascii="宋体" w:hAnsi="宋体" w:eastAsia="宋体" w:cs="宋体"/>
          <w:bCs/>
          <w:sz w:val="28"/>
          <w:szCs w:val="32"/>
          <w:highlight w:val="none"/>
        </w:rPr>
        <w:instrText xml:space="preserve"> HYPERLINK \l _Toc7162 </w:instrText>
      </w:r>
      <w:r>
        <w:rPr>
          <w:rFonts w:hint="eastAsia" w:ascii="宋体" w:hAnsi="宋体" w:eastAsia="宋体" w:cs="宋体"/>
          <w:bCs/>
          <w:sz w:val="28"/>
          <w:szCs w:val="32"/>
          <w:highlight w:val="none"/>
        </w:rPr>
        <w:fldChar w:fldCharType="separate"/>
      </w:r>
      <w:r>
        <w:rPr>
          <w:rFonts w:hint="eastAsia" w:ascii="宋体" w:hAnsi="宋体" w:eastAsia="宋体" w:cs="宋体"/>
          <w:sz w:val="28"/>
          <w:szCs w:val="28"/>
          <w:highlight w:val="none"/>
        </w:rPr>
        <w:t>第二章  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lang w:val="en-US" w:eastAsia="zh-CN"/>
        </w:rPr>
        <w:t xml:space="preserve">6 </w:t>
      </w:r>
      <w:r>
        <w:rPr>
          <w:rFonts w:hint="eastAsia" w:ascii="宋体" w:hAnsi="宋体" w:eastAsia="宋体" w:cs="宋体"/>
          <w:bCs/>
          <w:color w:val="auto"/>
          <w:sz w:val="28"/>
          <w:szCs w:val="32"/>
          <w:highlight w:val="none"/>
        </w:rPr>
        <w:fldChar w:fldCharType="end"/>
      </w:r>
    </w:p>
    <w:p w14:paraId="50758992">
      <w:pPr>
        <w:pStyle w:val="17"/>
        <w:tabs>
          <w:tab w:val="right" w:leader="dot" w:pos="8279"/>
        </w:tabs>
        <w:spacing w:line="600" w:lineRule="auto"/>
        <w:rPr>
          <w:rFonts w:hint="eastAsia" w:ascii="宋体" w:hAnsi="宋体" w:eastAsia="宋体" w:cs="宋体"/>
          <w:sz w:val="28"/>
          <w:szCs w:val="28"/>
          <w:highlight w:val="none"/>
        </w:rPr>
      </w:pPr>
      <w:r>
        <w:rPr>
          <w:rFonts w:hint="eastAsia" w:ascii="宋体" w:hAnsi="宋体" w:eastAsia="宋体" w:cs="宋体"/>
          <w:bCs/>
          <w:color w:val="auto"/>
          <w:sz w:val="28"/>
          <w:szCs w:val="32"/>
          <w:highlight w:val="none"/>
        </w:rPr>
        <w:fldChar w:fldCharType="begin"/>
      </w:r>
      <w:r>
        <w:rPr>
          <w:rFonts w:hint="eastAsia" w:ascii="宋体" w:hAnsi="宋体" w:eastAsia="宋体" w:cs="宋体"/>
          <w:bCs/>
          <w:sz w:val="28"/>
          <w:szCs w:val="32"/>
          <w:highlight w:val="none"/>
        </w:rPr>
        <w:instrText xml:space="preserve"> HYPERLINK \l _Toc19440 </w:instrText>
      </w:r>
      <w:r>
        <w:rPr>
          <w:rFonts w:hint="eastAsia" w:ascii="宋体" w:hAnsi="宋体" w:eastAsia="宋体" w:cs="宋体"/>
          <w:bCs/>
          <w:sz w:val="28"/>
          <w:szCs w:val="32"/>
          <w:highlight w:val="none"/>
        </w:rPr>
        <w:fldChar w:fldCharType="separate"/>
      </w:r>
      <w:r>
        <w:rPr>
          <w:rFonts w:hint="eastAsia" w:ascii="宋体" w:hAnsi="宋体" w:eastAsia="宋体" w:cs="宋体"/>
          <w:sz w:val="28"/>
          <w:szCs w:val="28"/>
          <w:highlight w:val="none"/>
        </w:rPr>
        <w:t>第三章  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lang w:val="en-US" w:eastAsia="zh-CN"/>
        </w:rPr>
        <w:t xml:space="preserve">19 </w:t>
      </w:r>
      <w:r>
        <w:rPr>
          <w:rFonts w:hint="eastAsia" w:ascii="宋体" w:hAnsi="宋体" w:eastAsia="宋体" w:cs="宋体"/>
          <w:bCs/>
          <w:color w:val="auto"/>
          <w:sz w:val="28"/>
          <w:szCs w:val="32"/>
          <w:highlight w:val="none"/>
        </w:rPr>
        <w:fldChar w:fldCharType="end"/>
      </w:r>
    </w:p>
    <w:p w14:paraId="0CB7E330">
      <w:pPr>
        <w:pStyle w:val="17"/>
        <w:tabs>
          <w:tab w:val="right" w:leader="dot" w:pos="8279"/>
        </w:tabs>
        <w:spacing w:line="600" w:lineRule="auto"/>
        <w:rPr>
          <w:rFonts w:hint="eastAsia" w:ascii="宋体" w:hAnsi="宋体" w:eastAsia="宋体" w:cs="宋体"/>
          <w:sz w:val="28"/>
          <w:szCs w:val="28"/>
          <w:highlight w:val="none"/>
        </w:rPr>
      </w:pPr>
      <w:r>
        <w:rPr>
          <w:rFonts w:hint="eastAsia" w:ascii="宋体" w:hAnsi="宋体" w:eastAsia="宋体" w:cs="宋体"/>
          <w:bCs/>
          <w:color w:val="auto"/>
          <w:sz w:val="28"/>
          <w:szCs w:val="32"/>
          <w:highlight w:val="none"/>
        </w:rPr>
        <w:fldChar w:fldCharType="begin"/>
      </w:r>
      <w:r>
        <w:rPr>
          <w:rFonts w:hint="eastAsia" w:ascii="宋体" w:hAnsi="宋体" w:eastAsia="宋体" w:cs="宋体"/>
          <w:bCs/>
          <w:sz w:val="28"/>
          <w:szCs w:val="32"/>
          <w:highlight w:val="none"/>
        </w:rPr>
        <w:instrText xml:space="preserve"> HYPERLINK \l _Toc8668 </w:instrText>
      </w:r>
      <w:r>
        <w:rPr>
          <w:rFonts w:hint="eastAsia" w:ascii="宋体" w:hAnsi="宋体" w:eastAsia="宋体" w:cs="宋体"/>
          <w:bCs/>
          <w:sz w:val="28"/>
          <w:szCs w:val="32"/>
          <w:highlight w:val="none"/>
        </w:rPr>
        <w:fldChar w:fldCharType="separate"/>
      </w:r>
      <w:r>
        <w:rPr>
          <w:rFonts w:hint="eastAsia" w:ascii="宋体" w:hAnsi="宋体" w:eastAsia="宋体" w:cs="宋体"/>
          <w:sz w:val="28"/>
          <w:szCs w:val="28"/>
          <w:highlight w:val="none"/>
        </w:rPr>
        <w:t>第四章  评审方法和标准</w:t>
      </w:r>
      <w:r>
        <w:rPr>
          <w:rFonts w:hint="eastAsia" w:ascii="宋体" w:hAnsi="宋体" w:eastAsia="宋体" w:cs="宋体"/>
          <w:sz w:val="28"/>
          <w:szCs w:val="28"/>
          <w:highlight w:val="none"/>
        </w:rPr>
        <w:tab/>
      </w:r>
      <w:r>
        <w:rPr>
          <w:rFonts w:hint="eastAsia" w:ascii="宋体" w:hAnsi="宋体" w:eastAsia="宋体" w:cs="宋体"/>
          <w:sz w:val="28"/>
          <w:szCs w:val="28"/>
          <w:highlight w:val="none"/>
          <w:lang w:val="en-US" w:eastAsia="zh-CN"/>
        </w:rPr>
        <w:t xml:space="preserve">24 </w:t>
      </w:r>
      <w:r>
        <w:rPr>
          <w:rFonts w:hint="eastAsia" w:ascii="宋体" w:hAnsi="宋体" w:eastAsia="宋体" w:cs="宋体"/>
          <w:bCs/>
          <w:color w:val="auto"/>
          <w:sz w:val="28"/>
          <w:szCs w:val="32"/>
          <w:highlight w:val="none"/>
        </w:rPr>
        <w:fldChar w:fldCharType="end"/>
      </w:r>
    </w:p>
    <w:p w14:paraId="3FC1BBEB">
      <w:pPr>
        <w:pStyle w:val="17"/>
        <w:tabs>
          <w:tab w:val="right" w:leader="dot" w:pos="8279"/>
        </w:tabs>
        <w:spacing w:line="600" w:lineRule="auto"/>
        <w:rPr>
          <w:rFonts w:hint="default" w:ascii="宋体" w:hAnsi="宋体" w:eastAsia="宋体" w:cs="宋体"/>
          <w:sz w:val="28"/>
          <w:szCs w:val="28"/>
          <w:highlight w:val="none"/>
          <w:lang w:val="en-US" w:eastAsia="zh-CN"/>
        </w:rPr>
      </w:pPr>
      <w:r>
        <w:rPr>
          <w:rFonts w:hint="eastAsia" w:ascii="宋体" w:hAnsi="宋体" w:eastAsia="宋体" w:cs="宋体"/>
          <w:bCs/>
          <w:color w:val="auto"/>
          <w:sz w:val="28"/>
          <w:szCs w:val="32"/>
          <w:highlight w:val="none"/>
        </w:rPr>
        <w:fldChar w:fldCharType="begin"/>
      </w:r>
      <w:r>
        <w:rPr>
          <w:rFonts w:hint="eastAsia" w:ascii="宋体" w:hAnsi="宋体" w:eastAsia="宋体" w:cs="宋体"/>
          <w:bCs/>
          <w:sz w:val="28"/>
          <w:szCs w:val="32"/>
          <w:highlight w:val="none"/>
        </w:rPr>
        <w:instrText xml:space="preserve"> HYPERLINK \l _Toc17167 </w:instrText>
      </w:r>
      <w:r>
        <w:rPr>
          <w:rFonts w:hint="eastAsia" w:ascii="宋体" w:hAnsi="宋体" w:eastAsia="宋体" w:cs="宋体"/>
          <w:bCs/>
          <w:sz w:val="28"/>
          <w:szCs w:val="32"/>
          <w:highlight w:val="none"/>
        </w:rPr>
        <w:fldChar w:fldCharType="separate"/>
      </w:r>
      <w:r>
        <w:rPr>
          <w:rFonts w:hint="eastAsia" w:ascii="宋体" w:hAnsi="宋体" w:eastAsia="宋体" w:cs="宋体"/>
          <w:sz w:val="28"/>
          <w:szCs w:val="28"/>
          <w:highlight w:val="none"/>
        </w:rPr>
        <w:t>第五章  政府采购合同</w:t>
      </w:r>
      <w:r>
        <w:rPr>
          <w:rFonts w:hint="eastAsia" w:ascii="宋体" w:hAnsi="宋体" w:eastAsia="宋体" w:cs="宋体"/>
          <w:sz w:val="28"/>
          <w:szCs w:val="28"/>
          <w:highlight w:val="none"/>
        </w:rPr>
        <w:tab/>
      </w:r>
      <w:r>
        <w:rPr>
          <w:rFonts w:hint="eastAsia" w:ascii="宋体" w:hAnsi="宋体" w:eastAsia="宋体" w:cs="宋体"/>
          <w:bCs/>
          <w:color w:val="auto"/>
          <w:sz w:val="28"/>
          <w:szCs w:val="32"/>
          <w:highlight w:val="none"/>
        </w:rPr>
        <w:fldChar w:fldCharType="end"/>
      </w:r>
      <w:r>
        <w:rPr>
          <w:rFonts w:hint="eastAsia" w:ascii="宋体" w:hAnsi="宋体" w:eastAsia="宋体" w:cs="宋体"/>
          <w:bCs/>
          <w:color w:val="auto"/>
          <w:sz w:val="28"/>
          <w:szCs w:val="32"/>
          <w:highlight w:val="none"/>
          <w:lang w:val="en-US" w:eastAsia="zh-CN"/>
        </w:rPr>
        <w:t>31</w:t>
      </w:r>
    </w:p>
    <w:p w14:paraId="7A09F34C">
      <w:pPr>
        <w:pStyle w:val="17"/>
        <w:tabs>
          <w:tab w:val="right" w:leader="dot" w:pos="8279"/>
        </w:tabs>
        <w:spacing w:line="600" w:lineRule="auto"/>
        <w:rPr>
          <w:rFonts w:hint="default" w:ascii="宋体" w:hAnsi="宋体" w:eastAsia="宋体" w:cs="宋体"/>
          <w:sz w:val="28"/>
          <w:szCs w:val="28"/>
          <w:highlight w:val="none"/>
          <w:lang w:val="en-US" w:eastAsia="zh-CN"/>
        </w:rPr>
      </w:pPr>
      <w:r>
        <w:rPr>
          <w:rFonts w:hint="eastAsia" w:ascii="宋体" w:hAnsi="宋体" w:eastAsia="宋体" w:cs="宋体"/>
          <w:bCs/>
          <w:color w:val="auto"/>
          <w:sz w:val="28"/>
          <w:szCs w:val="32"/>
          <w:highlight w:val="none"/>
        </w:rPr>
        <w:fldChar w:fldCharType="begin"/>
      </w:r>
      <w:r>
        <w:rPr>
          <w:rFonts w:hint="eastAsia" w:ascii="宋体" w:hAnsi="宋体" w:eastAsia="宋体" w:cs="宋体"/>
          <w:bCs/>
          <w:sz w:val="28"/>
          <w:szCs w:val="32"/>
          <w:highlight w:val="none"/>
        </w:rPr>
        <w:instrText xml:space="preserve"> HYPERLINK \l _Toc25148 </w:instrText>
      </w:r>
      <w:r>
        <w:rPr>
          <w:rFonts w:hint="eastAsia" w:ascii="宋体" w:hAnsi="宋体" w:eastAsia="宋体" w:cs="宋体"/>
          <w:bCs/>
          <w:sz w:val="28"/>
          <w:szCs w:val="32"/>
          <w:highlight w:val="none"/>
        </w:rPr>
        <w:fldChar w:fldCharType="separate"/>
      </w:r>
      <w:r>
        <w:rPr>
          <w:rFonts w:hint="eastAsia" w:ascii="宋体" w:hAnsi="宋体" w:eastAsia="宋体" w:cs="宋体"/>
          <w:sz w:val="28"/>
          <w:szCs w:val="28"/>
          <w:highlight w:val="none"/>
        </w:rPr>
        <w:t>第六章  响应文件格式</w:t>
      </w:r>
      <w:r>
        <w:rPr>
          <w:rFonts w:hint="eastAsia" w:ascii="宋体" w:hAnsi="宋体" w:eastAsia="宋体" w:cs="宋体"/>
          <w:sz w:val="28"/>
          <w:szCs w:val="28"/>
          <w:highlight w:val="none"/>
        </w:rPr>
        <w:tab/>
      </w:r>
      <w:r>
        <w:rPr>
          <w:rFonts w:hint="eastAsia" w:ascii="宋体" w:hAnsi="宋体" w:eastAsia="宋体" w:cs="宋体"/>
          <w:bCs/>
          <w:color w:val="auto"/>
          <w:sz w:val="28"/>
          <w:szCs w:val="32"/>
          <w:highlight w:val="none"/>
        </w:rPr>
        <w:fldChar w:fldCharType="end"/>
      </w:r>
      <w:r>
        <w:rPr>
          <w:rFonts w:hint="eastAsia" w:ascii="宋体" w:hAnsi="宋体" w:eastAsia="宋体" w:cs="宋体"/>
          <w:bCs/>
          <w:color w:val="auto"/>
          <w:sz w:val="28"/>
          <w:szCs w:val="32"/>
          <w:highlight w:val="none"/>
          <w:lang w:val="en-US" w:eastAsia="zh-CN"/>
        </w:rPr>
        <w:t>40</w:t>
      </w:r>
    </w:p>
    <w:p w14:paraId="66983CE8">
      <w:pPr>
        <w:pStyle w:val="17"/>
        <w:tabs>
          <w:tab w:val="right" w:leader="dot" w:pos="8279"/>
        </w:tabs>
        <w:spacing w:line="600" w:lineRule="auto"/>
        <w:rPr>
          <w:rFonts w:hint="default" w:ascii="宋体" w:hAnsi="宋体" w:eastAsia="宋体" w:cs="宋体"/>
          <w:sz w:val="28"/>
          <w:szCs w:val="28"/>
          <w:highlight w:val="none"/>
          <w:lang w:val="en-US" w:eastAsia="zh-CN"/>
        </w:rPr>
      </w:pPr>
      <w:r>
        <w:rPr>
          <w:rFonts w:hint="eastAsia" w:ascii="宋体" w:hAnsi="宋体" w:eastAsia="宋体" w:cs="宋体"/>
          <w:bCs/>
          <w:color w:val="auto"/>
          <w:sz w:val="28"/>
          <w:szCs w:val="32"/>
          <w:highlight w:val="none"/>
        </w:rPr>
        <w:fldChar w:fldCharType="begin"/>
      </w:r>
      <w:r>
        <w:rPr>
          <w:rFonts w:hint="eastAsia" w:ascii="宋体" w:hAnsi="宋体" w:eastAsia="宋体" w:cs="宋体"/>
          <w:bCs/>
          <w:sz w:val="28"/>
          <w:szCs w:val="32"/>
          <w:highlight w:val="none"/>
        </w:rPr>
        <w:instrText xml:space="preserve"> HYPERLINK \l _Toc19418 </w:instrText>
      </w:r>
      <w:r>
        <w:rPr>
          <w:rFonts w:hint="eastAsia" w:ascii="宋体" w:hAnsi="宋体" w:eastAsia="宋体" w:cs="宋体"/>
          <w:bCs/>
          <w:sz w:val="28"/>
          <w:szCs w:val="32"/>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七</w:t>
      </w:r>
      <w:r>
        <w:rPr>
          <w:rFonts w:hint="eastAsia" w:ascii="宋体" w:hAnsi="宋体" w:eastAsia="宋体" w:cs="宋体"/>
          <w:bCs/>
          <w:sz w:val="28"/>
          <w:szCs w:val="28"/>
          <w:highlight w:val="none"/>
        </w:rPr>
        <w:t>章  政府采购</w:t>
      </w:r>
      <w:r>
        <w:rPr>
          <w:rFonts w:hint="eastAsia" w:ascii="宋体" w:hAnsi="宋体" w:eastAsia="宋体" w:cs="宋体"/>
          <w:sz w:val="28"/>
          <w:szCs w:val="28"/>
          <w:highlight w:val="none"/>
        </w:rPr>
        <w:t>供应</w:t>
      </w:r>
      <w:r>
        <w:rPr>
          <w:rFonts w:hint="eastAsia" w:ascii="宋体" w:hAnsi="宋体" w:eastAsia="宋体" w:cs="宋体"/>
          <w:bCs/>
          <w:sz w:val="28"/>
          <w:szCs w:val="28"/>
          <w:highlight w:val="none"/>
        </w:rPr>
        <w:t>商询问函和质疑函范本</w:t>
      </w:r>
      <w:r>
        <w:rPr>
          <w:rFonts w:hint="eastAsia" w:ascii="宋体" w:hAnsi="宋体" w:eastAsia="宋体" w:cs="宋体"/>
          <w:sz w:val="28"/>
          <w:szCs w:val="28"/>
          <w:highlight w:val="none"/>
        </w:rPr>
        <w:tab/>
      </w:r>
      <w:r>
        <w:rPr>
          <w:rFonts w:hint="eastAsia" w:ascii="宋体" w:hAnsi="宋体" w:eastAsia="宋体" w:cs="宋体"/>
          <w:bCs/>
          <w:color w:val="auto"/>
          <w:sz w:val="28"/>
          <w:szCs w:val="32"/>
          <w:highlight w:val="none"/>
        </w:rPr>
        <w:fldChar w:fldCharType="end"/>
      </w:r>
      <w:r>
        <w:rPr>
          <w:rFonts w:hint="eastAsia" w:ascii="宋体" w:hAnsi="宋体" w:eastAsia="宋体" w:cs="宋体"/>
          <w:bCs/>
          <w:color w:val="auto"/>
          <w:sz w:val="28"/>
          <w:szCs w:val="32"/>
          <w:highlight w:val="none"/>
          <w:lang w:val="en-US" w:eastAsia="zh-CN"/>
        </w:rPr>
        <w:t>55</w:t>
      </w:r>
    </w:p>
    <w:p w14:paraId="786569D2">
      <w:pPr>
        <w:pStyle w:val="18"/>
        <w:tabs>
          <w:tab w:val="right" w:leader="dot" w:pos="8296"/>
        </w:tabs>
        <w:spacing w:line="600" w:lineRule="auto"/>
        <w:rPr>
          <w:rFonts w:asciiTheme="minorEastAsia" w:hAnsiTheme="minorEastAsia"/>
          <w:b/>
          <w:color w:val="auto"/>
          <w:sz w:val="32"/>
          <w:highlight w:val="none"/>
        </w:rPr>
      </w:pPr>
      <w:r>
        <w:rPr>
          <w:rFonts w:hint="eastAsia" w:ascii="宋体" w:hAnsi="宋体" w:eastAsia="宋体" w:cs="宋体"/>
          <w:bCs/>
          <w:color w:val="auto"/>
          <w:sz w:val="28"/>
          <w:szCs w:val="32"/>
          <w:highlight w:val="none"/>
        </w:rPr>
        <w:fldChar w:fldCharType="end"/>
      </w:r>
    </w:p>
    <w:p w14:paraId="19FE8232">
      <w:pPr>
        <w:spacing w:line="360" w:lineRule="auto"/>
        <w:jc w:val="center"/>
        <w:outlineLvl w:val="1"/>
        <w:rPr>
          <w:rFonts w:asciiTheme="minorEastAsia" w:hAnsiTheme="minorEastAsia" w:eastAsiaTheme="minorEastAsia"/>
          <w:b/>
          <w:color w:val="auto"/>
          <w:sz w:val="28"/>
          <w:highlight w:val="none"/>
        </w:rPr>
        <w:sectPr>
          <w:headerReference r:id="rId5" w:type="default"/>
          <w:footerReference r:id="rId6" w:type="default"/>
          <w:pgSz w:w="11907" w:h="16840"/>
          <w:pgMar w:top="1474" w:right="1814" w:bottom="1474" w:left="1814" w:header="851" w:footer="992" w:gutter="0"/>
          <w:cols w:space="720" w:num="1"/>
          <w:docGrid w:linePitch="462" w:charSpace="0"/>
        </w:sectPr>
      </w:pPr>
    </w:p>
    <w:p w14:paraId="0C51B83E">
      <w:pPr>
        <w:spacing w:line="360" w:lineRule="auto"/>
        <w:jc w:val="center"/>
        <w:outlineLvl w:val="0"/>
        <w:rPr>
          <w:rFonts w:asciiTheme="minorEastAsia" w:hAnsiTheme="minorEastAsia" w:eastAsiaTheme="minorEastAsia"/>
          <w:b/>
          <w:color w:val="auto"/>
          <w:sz w:val="28"/>
          <w:highlight w:val="none"/>
        </w:rPr>
      </w:pPr>
      <w:bookmarkStart w:id="1" w:name="_Toc501"/>
      <w:bookmarkStart w:id="2" w:name="_Toc19988"/>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磋商邀请</w:t>
      </w:r>
      <w:bookmarkEnd w:id="1"/>
      <w:bookmarkEnd w:id="2"/>
    </w:p>
    <w:p w14:paraId="7F44E3E4">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bookmarkStart w:id="3" w:name="_Toc35393798"/>
      <w:bookmarkStart w:id="4" w:name="_Toc14730"/>
      <w:bookmarkStart w:id="5" w:name="_Toc28359089"/>
      <w:bookmarkStart w:id="6" w:name="_Toc28359012"/>
      <w:bookmarkStart w:id="7" w:name="_Toc35393629"/>
      <w:r>
        <w:rPr>
          <w:rFonts w:hint="eastAsia" w:ascii="宋体" w:hAnsi="宋体" w:eastAsia="宋体" w:cs="宋体"/>
          <w:b/>
          <w:bCs w:val="0"/>
          <w:sz w:val="24"/>
          <w:szCs w:val="24"/>
          <w:highlight w:val="none"/>
        </w:rPr>
        <w:t>一、项目基本情况</w:t>
      </w:r>
      <w:bookmarkEnd w:id="3"/>
      <w:bookmarkEnd w:id="4"/>
      <w:bookmarkEnd w:id="5"/>
      <w:bookmarkEnd w:id="6"/>
      <w:bookmarkEnd w:id="7"/>
    </w:p>
    <w:p w14:paraId="78D3910E">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项目编号：</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u w:val="single"/>
          <w:lang w:val="en-US" w:eastAsia="zh-CN"/>
        </w:rPr>
        <w:t>ANSC202604-03</w:t>
      </w:r>
      <w:r>
        <w:rPr>
          <w:rFonts w:hint="eastAsia" w:ascii="宋体" w:hAnsi="宋体" w:eastAsia="宋体" w:cs="宋体"/>
          <w:color w:val="auto"/>
          <w:sz w:val="24"/>
          <w:szCs w:val="18"/>
          <w:highlight w:val="none"/>
          <w:u w:val="single"/>
        </w:rPr>
        <w:t xml:space="preserve"> </w:t>
      </w:r>
    </w:p>
    <w:p w14:paraId="26388499">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项目名称：</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u w:val="single"/>
          <w:lang w:val="en-US" w:eastAsia="zh-CN"/>
        </w:rPr>
        <w:t>定远县中医院电梯维保服务项目</w:t>
      </w:r>
      <w:r>
        <w:rPr>
          <w:rFonts w:hint="eastAsia" w:ascii="宋体" w:hAnsi="宋体" w:eastAsia="宋体" w:cs="宋体"/>
          <w:color w:val="auto"/>
          <w:sz w:val="24"/>
          <w:szCs w:val="18"/>
          <w:highlight w:val="none"/>
          <w:u w:val="single"/>
        </w:rPr>
        <w:t xml:space="preserve"> </w:t>
      </w:r>
    </w:p>
    <w:p w14:paraId="77DD67C6">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预算金额：</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u w:val="single"/>
          <w:lang w:val="en-US" w:eastAsia="zh-CN"/>
        </w:rPr>
        <w:t>20.00万元/年</w:t>
      </w:r>
      <w:r>
        <w:rPr>
          <w:rFonts w:hint="eastAsia" w:ascii="宋体" w:hAnsi="宋体" w:eastAsia="宋体" w:cs="宋体"/>
          <w:color w:val="auto"/>
          <w:sz w:val="24"/>
          <w:szCs w:val="18"/>
          <w:highlight w:val="none"/>
          <w:u w:val="single"/>
        </w:rPr>
        <w:t xml:space="preserve"> </w:t>
      </w:r>
    </w:p>
    <w:p w14:paraId="0FF0BDEB">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最高限价：</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u w:val="single"/>
          <w:lang w:val="en-US" w:eastAsia="zh-CN"/>
        </w:rPr>
        <w:t>20.00万元/年</w:t>
      </w:r>
      <w:r>
        <w:rPr>
          <w:rFonts w:hint="eastAsia" w:ascii="宋体" w:hAnsi="宋体" w:eastAsia="宋体" w:cs="宋体"/>
          <w:color w:val="auto"/>
          <w:sz w:val="24"/>
          <w:szCs w:val="18"/>
          <w:highlight w:val="none"/>
          <w:u w:val="single"/>
        </w:rPr>
        <w:t xml:space="preserve"> </w:t>
      </w:r>
    </w:p>
    <w:p w14:paraId="195D737D">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5.</w:t>
      </w:r>
      <w:r>
        <w:rPr>
          <w:rFonts w:hint="eastAsia" w:ascii="宋体" w:hAnsi="宋体" w:eastAsia="宋体" w:cs="宋体"/>
          <w:color w:val="auto"/>
          <w:sz w:val="24"/>
          <w:szCs w:val="24"/>
          <w:highlight w:val="none"/>
        </w:rPr>
        <w:t>采购需求：</w:t>
      </w:r>
      <w:r>
        <w:rPr>
          <w:rFonts w:hint="eastAsia" w:ascii="宋体" w:hAnsi="宋体" w:eastAsia="宋体" w:cs="宋体"/>
          <w:color w:val="auto"/>
          <w:sz w:val="24"/>
          <w:szCs w:val="18"/>
          <w:highlight w:val="none"/>
          <w:u w:val="single"/>
        </w:rPr>
        <w:t xml:space="preserve"> 为保证电梯安全运行，按特种设备管理要求需专业维保公司进行定期保养维护。电梯总台数为</w:t>
      </w:r>
      <w:r>
        <w:rPr>
          <w:rFonts w:hint="eastAsia" w:ascii="宋体" w:hAnsi="宋体" w:eastAsia="宋体" w:cs="宋体"/>
          <w:color w:val="auto"/>
          <w:sz w:val="24"/>
          <w:szCs w:val="18"/>
          <w:highlight w:val="none"/>
          <w:u w:val="single"/>
          <w:lang w:val="en-US" w:eastAsia="zh-CN"/>
        </w:rPr>
        <w:t>22</w:t>
      </w:r>
      <w:r>
        <w:rPr>
          <w:rFonts w:hint="eastAsia" w:ascii="宋体" w:hAnsi="宋体" w:eastAsia="宋体" w:cs="宋体"/>
          <w:color w:val="auto"/>
          <w:sz w:val="24"/>
          <w:szCs w:val="18"/>
          <w:highlight w:val="none"/>
          <w:u w:val="single"/>
        </w:rPr>
        <w:t>台</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lang w:val="en-US" w:eastAsia="zh-CN"/>
        </w:rPr>
        <w:t>其中6台扶梯</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rPr>
        <w:t>。招标采购内容为电梯维护保养（全包方式），提供维保所需工具和劳务，免费更换或维修损坏的电梯零部件</w:t>
      </w:r>
      <w:r>
        <w:rPr>
          <w:rFonts w:hint="eastAsia" w:ascii="宋体" w:hAnsi="宋体" w:eastAsia="宋体" w:cs="宋体"/>
          <w:color w:val="auto"/>
          <w:sz w:val="24"/>
          <w:szCs w:val="18"/>
          <w:highlight w:val="none"/>
          <w:u w:val="single"/>
          <w:lang w:eastAsia="zh-CN"/>
        </w:rPr>
        <w:t>（不包含主机、曳引机、门机系统）</w:t>
      </w:r>
      <w:r>
        <w:rPr>
          <w:rFonts w:hint="eastAsia" w:ascii="宋体" w:hAnsi="宋体" w:eastAsia="宋体" w:cs="宋体"/>
          <w:color w:val="auto"/>
          <w:sz w:val="24"/>
          <w:szCs w:val="18"/>
          <w:highlight w:val="none"/>
          <w:u w:val="single"/>
        </w:rPr>
        <w:t xml:space="preserve">，并包含电梯年度检验检测申报等工作。 </w:t>
      </w:r>
    </w:p>
    <w:p w14:paraId="49916B4F">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合同履行期限：</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u w:val="single"/>
          <w:lang w:val="en-US" w:eastAsia="zh-CN"/>
        </w:rPr>
        <w:t>自合同生效之日起满1年</w:t>
      </w:r>
      <w:r>
        <w:rPr>
          <w:rFonts w:hint="eastAsia" w:ascii="宋体" w:hAnsi="宋体" w:eastAsia="宋体" w:cs="宋体"/>
          <w:color w:val="auto"/>
          <w:sz w:val="24"/>
          <w:szCs w:val="18"/>
          <w:highlight w:val="none"/>
          <w:u w:val="single"/>
        </w:rPr>
        <w:t xml:space="preserve"> </w:t>
      </w:r>
    </w:p>
    <w:p w14:paraId="5D81DC05">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color w:val="auto"/>
          <w:sz w:val="24"/>
          <w:highlight w:val="none"/>
        </w:rPr>
        <w:t>本项目</w:t>
      </w:r>
      <w:r>
        <w:rPr>
          <w:rFonts w:hint="eastAsia" w:ascii="宋体" w:hAnsi="宋体" w:eastAsia="宋体" w:cs="宋体"/>
          <w:color w:val="auto"/>
          <w:sz w:val="24"/>
          <w:highlight w:val="none"/>
          <w:lang w:val="en-US" w:eastAsia="zh-CN"/>
        </w:rPr>
        <w:t>不</w:t>
      </w:r>
      <w:r>
        <w:rPr>
          <w:rFonts w:hint="eastAsia" w:ascii="宋体" w:hAnsi="宋体" w:eastAsia="宋体" w:cs="宋体"/>
          <w:color w:val="auto"/>
          <w:sz w:val="24"/>
          <w:highlight w:val="none"/>
        </w:rPr>
        <w:t>接受联合体</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w:t>
      </w:r>
    </w:p>
    <w:p w14:paraId="014F149B">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bookmarkStart w:id="8" w:name="_Toc28359090"/>
      <w:bookmarkStart w:id="9" w:name="_Toc32615"/>
      <w:bookmarkStart w:id="10" w:name="_Toc35393799"/>
      <w:bookmarkStart w:id="11" w:name="_Toc35393630"/>
      <w:bookmarkStart w:id="12" w:name="_Toc28359013"/>
      <w:r>
        <w:rPr>
          <w:rFonts w:hint="eastAsia" w:ascii="宋体" w:hAnsi="宋体" w:eastAsia="宋体" w:cs="宋体"/>
          <w:b/>
          <w:bCs w:val="0"/>
          <w:sz w:val="24"/>
          <w:szCs w:val="24"/>
          <w:highlight w:val="none"/>
        </w:rPr>
        <w:t>二、申请人的资格要求：</w:t>
      </w:r>
      <w:bookmarkEnd w:id="8"/>
      <w:bookmarkEnd w:id="9"/>
      <w:bookmarkEnd w:id="10"/>
      <w:bookmarkEnd w:id="11"/>
      <w:bookmarkEnd w:id="12"/>
    </w:p>
    <w:p w14:paraId="419A1F59">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1.满足《中华人民共和国政府采购法》第二十二条规定；</w:t>
      </w:r>
    </w:p>
    <w:p w14:paraId="2271CB61">
      <w:pPr>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val="0"/>
          <w:bCs w:val="0"/>
          <w:sz w:val="24"/>
          <w:szCs w:val="24"/>
          <w:highlight w:val="none"/>
        </w:rPr>
      </w:pPr>
      <w:bookmarkStart w:id="13" w:name="_Toc28359014"/>
      <w:bookmarkStart w:id="14" w:name="_Toc28359091"/>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.本项目的特定资格要求：</w:t>
      </w:r>
      <w:r>
        <w:rPr>
          <w:rFonts w:hint="eastAsia" w:ascii="宋体" w:hAnsi="宋体" w:eastAsia="宋体" w:cs="宋体"/>
          <w:b/>
          <w:bCs/>
          <w:sz w:val="24"/>
          <w:szCs w:val="24"/>
          <w:highlight w:val="none"/>
          <w:lang w:val="en-US" w:eastAsia="zh-CN"/>
        </w:rPr>
        <w:t>_</w:t>
      </w:r>
      <w:r>
        <w:rPr>
          <w:rFonts w:hint="eastAsia" w:ascii="宋体" w:hAnsi="宋体" w:eastAsia="宋体" w:cs="宋体"/>
          <w:b/>
          <w:bCs/>
          <w:color w:val="auto"/>
          <w:sz w:val="24"/>
          <w:highlight w:val="none"/>
          <w:u w:val="single"/>
          <w:lang w:val="en-US" w:eastAsia="zh-CN"/>
        </w:rPr>
        <w:t xml:space="preserve">具有《特种设备安装改造维修许可证》（电梯）或《特种设备生产许可证》（许可项目须包含电梯安装（修理） </w:t>
      </w:r>
      <w:r>
        <w:rPr>
          <w:rFonts w:hint="eastAsia" w:ascii="宋体" w:hAnsi="宋体" w:eastAsia="宋体" w:cs="宋体"/>
          <w:b/>
          <w:bCs/>
          <w:sz w:val="24"/>
          <w:szCs w:val="24"/>
          <w:highlight w:val="none"/>
          <w:lang w:val="en-US" w:eastAsia="zh-CN"/>
        </w:rPr>
        <w:t>。</w:t>
      </w:r>
    </w:p>
    <w:p w14:paraId="790153BA">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val="0"/>
          <w:bCs w:val="0"/>
          <w:color w:val="auto"/>
          <w:sz w:val="24"/>
          <w:szCs w:val="18"/>
          <w:highlight w:val="none"/>
          <w:lang w:val="en-US" w:eastAsia="zh-CN"/>
        </w:rPr>
      </w:pPr>
      <w:bookmarkStart w:id="15" w:name="_Toc35393631"/>
      <w:bookmarkStart w:id="16" w:name="_Toc35393800"/>
      <w:bookmarkStart w:id="17" w:name="_Toc24072"/>
      <w:r>
        <w:rPr>
          <w:rFonts w:hint="eastAsia" w:ascii="宋体" w:hAnsi="宋体" w:eastAsia="宋体" w:cs="宋体"/>
          <w:b w:val="0"/>
          <w:bCs w:val="0"/>
          <w:color w:val="auto"/>
          <w:sz w:val="24"/>
          <w:szCs w:val="18"/>
          <w:highlight w:val="none"/>
          <w:lang w:val="en-US" w:eastAsia="zh-CN"/>
        </w:rPr>
        <w:t>3.信誉要求：供应商不得存在以下情形：</w:t>
      </w:r>
    </w:p>
    <w:p w14:paraId="5A2DC9DF">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bCs w:val="0"/>
          <w:color w:val="auto"/>
          <w:sz w:val="24"/>
          <w:szCs w:val="18"/>
          <w:highlight w:val="none"/>
          <w:lang w:val="en-US" w:eastAsia="zh-CN"/>
        </w:rPr>
        <w:t>①供应商被人民法院列入失信被执行人的；</w:t>
      </w:r>
    </w:p>
    <w:p w14:paraId="3F7A27E2">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bCs w:val="0"/>
          <w:color w:val="auto"/>
          <w:sz w:val="24"/>
          <w:szCs w:val="18"/>
          <w:highlight w:val="none"/>
          <w:lang w:val="en-US" w:eastAsia="zh-CN"/>
        </w:rPr>
        <w:t>②供应商或其法定代表人或拟派项目经理（项目负责人）有行贿犯罪行为的；</w:t>
      </w:r>
    </w:p>
    <w:p w14:paraId="593DEA15">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bCs w:val="0"/>
          <w:color w:val="auto"/>
          <w:sz w:val="24"/>
          <w:szCs w:val="18"/>
          <w:highlight w:val="none"/>
          <w:lang w:val="en-US" w:eastAsia="zh-CN"/>
        </w:rPr>
        <w:t>③供应商被市场监督管理部门列入经营异常名录或者严重违法企业名单的，且未被移除的；</w:t>
      </w:r>
    </w:p>
    <w:p w14:paraId="1C104B90">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bCs w:val="0"/>
          <w:color w:val="auto"/>
          <w:sz w:val="24"/>
          <w:szCs w:val="18"/>
          <w:highlight w:val="none"/>
          <w:lang w:val="en-US" w:eastAsia="zh-CN"/>
        </w:rPr>
        <w:t>④供应商被税务部门列入重大税收违法案件当事人的；</w:t>
      </w:r>
    </w:p>
    <w:p w14:paraId="1784B6E8">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bCs w:val="0"/>
          <w:color w:val="auto"/>
          <w:sz w:val="24"/>
          <w:szCs w:val="18"/>
          <w:highlight w:val="none"/>
          <w:lang w:val="en-US" w:eastAsia="zh-CN"/>
        </w:rPr>
        <w:t>⑤供应商被政府采购监管部门列入政府采购严重违法失信行为记录名单的；</w:t>
      </w:r>
    </w:p>
    <w:p w14:paraId="62616225">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bCs w:val="0"/>
          <w:color w:val="auto"/>
          <w:sz w:val="24"/>
          <w:szCs w:val="18"/>
          <w:highlight w:val="none"/>
          <w:lang w:val="en-US" w:eastAsia="zh-CN"/>
        </w:rPr>
        <w:t>⑥在“信用中国”网站上披露仍在公示期的严重失信行为的。</w:t>
      </w:r>
    </w:p>
    <w:p w14:paraId="18C2673B">
      <w:pPr>
        <w:pageBreakBefore w:val="0"/>
        <w:widowControl w:val="0"/>
        <w:kinsoku/>
        <w:wordWrap/>
        <w:overflowPunct/>
        <w:topLinePunct w:val="0"/>
        <w:autoSpaceDE/>
        <w:autoSpaceDN/>
        <w:bidi w:val="0"/>
        <w:adjustRightInd/>
        <w:snapToGrid/>
        <w:spacing w:line="540" w:lineRule="exact"/>
        <w:ind w:firstLine="435"/>
        <w:textAlignment w:val="auto"/>
        <w:outlineLvl w:val="1"/>
        <w:rPr>
          <w:rFonts w:hint="eastAsia" w:ascii="宋体" w:hAnsi="宋体" w:eastAsia="宋体" w:cs="宋体"/>
          <w:b/>
          <w:bCs w:val="0"/>
          <w:sz w:val="24"/>
          <w:szCs w:val="24"/>
          <w:highlight w:val="none"/>
        </w:rPr>
      </w:pPr>
      <w:r>
        <w:rPr>
          <w:rFonts w:hint="eastAsia" w:ascii="宋体" w:hAnsi="宋体" w:eastAsia="宋体" w:cs="宋体"/>
          <w:b w:val="0"/>
          <w:bCs w:val="0"/>
          <w:color w:val="auto"/>
          <w:sz w:val="24"/>
          <w:szCs w:val="18"/>
          <w:highlight w:val="none"/>
          <w:lang w:val="en-US" w:eastAsia="zh-CN"/>
        </w:rPr>
        <w:t>5.供应商所属分公司、办事处等分支机构存在第4款信誉要求①-⑥项情形之一的，接受供应商参加本项目。</w:t>
      </w:r>
    </w:p>
    <w:p w14:paraId="1E41331A">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三、获取采购文件</w:t>
      </w:r>
      <w:bookmarkEnd w:id="13"/>
      <w:bookmarkEnd w:id="14"/>
      <w:bookmarkEnd w:id="15"/>
      <w:bookmarkEnd w:id="16"/>
      <w:bookmarkEnd w:id="17"/>
    </w:p>
    <w:p w14:paraId="58C04D59">
      <w:pPr>
        <w:keepNext w:val="0"/>
        <w:keepLines w:val="0"/>
        <w:pageBreakBefore w:val="0"/>
        <w:widowControl w:val="0"/>
        <w:kinsoku/>
        <w:wordWrap/>
        <w:overflowPunct/>
        <w:topLinePunct w:val="0"/>
        <w:autoSpaceDE/>
        <w:autoSpaceDN/>
        <w:bidi w:val="0"/>
        <w:adjustRightInd/>
        <w:snapToGrid/>
        <w:spacing w:line="540" w:lineRule="exact"/>
        <w:ind w:firstLine="540"/>
        <w:textAlignment w:val="auto"/>
        <w:rPr>
          <w:rFonts w:hint="eastAsia" w:ascii="宋体" w:hAnsi="宋体" w:eastAsia="宋体" w:cs="宋体"/>
          <w:color w:val="auto"/>
          <w:sz w:val="24"/>
          <w:szCs w:val="24"/>
        </w:rPr>
      </w:pPr>
      <w:bookmarkStart w:id="18" w:name="_Toc35393801"/>
      <w:bookmarkStart w:id="19" w:name="_Toc28359015"/>
      <w:bookmarkStart w:id="20" w:name="_Toc28359092"/>
      <w:bookmarkStart w:id="21" w:name="_Toc35393632"/>
      <w:r>
        <w:rPr>
          <w:rFonts w:hint="eastAsia" w:ascii="宋体" w:hAnsi="宋体" w:eastAsia="宋体" w:cs="宋体"/>
          <w:color w:val="auto"/>
          <w:sz w:val="24"/>
          <w:szCs w:val="24"/>
        </w:rPr>
        <w:t>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2026 </w:t>
      </w:r>
      <w:r>
        <w:rPr>
          <w:rFonts w:hint="eastAsia" w:ascii="宋体" w:hAnsi="宋体" w:eastAsia="宋体" w:cs="宋体"/>
          <w:color w:val="auto"/>
          <w:sz w:val="24"/>
          <w:szCs w:val="24"/>
          <w:u w:val="none"/>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4 </w:t>
      </w:r>
      <w:r>
        <w:rPr>
          <w:rFonts w:hint="eastAsia" w:ascii="宋体" w:hAnsi="宋体" w:eastAsia="宋体" w:cs="宋体"/>
          <w:color w:val="auto"/>
          <w:sz w:val="24"/>
          <w:szCs w:val="24"/>
          <w:u w:val="none"/>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17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rPr>
        <w:t>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2026</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年</w:t>
      </w:r>
      <w:r>
        <w:rPr>
          <w:rFonts w:hint="eastAsia" w:ascii="宋体" w:hAnsi="宋体" w:eastAsia="宋体" w:cs="宋体"/>
          <w:color w:val="auto"/>
          <w:sz w:val="24"/>
          <w:szCs w:val="24"/>
          <w:u w:val="single"/>
          <w:lang w:val="en-US" w:eastAsia="zh-CN"/>
        </w:rPr>
        <w:t xml:space="preserve"> 4</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eastAsia="宋体" w:cs="宋体"/>
          <w:color w:val="auto"/>
          <w:sz w:val="24"/>
          <w:szCs w:val="24"/>
          <w:u w:val="single"/>
          <w:lang w:val="en-US" w:eastAsia="zh-CN"/>
        </w:rPr>
        <w:t xml:space="preserve"> 27 </w:t>
      </w:r>
      <w:r>
        <w:rPr>
          <w:rFonts w:hint="eastAsia" w:ascii="宋体" w:hAnsi="宋体" w:eastAsia="宋体" w:cs="宋体"/>
          <w:color w:val="auto"/>
          <w:sz w:val="24"/>
          <w:szCs w:val="24"/>
          <w:u w:val="none"/>
        </w:rPr>
        <w:t>日</w:t>
      </w:r>
    </w:p>
    <w:p w14:paraId="20013AB4">
      <w:pPr>
        <w:keepNext w:val="0"/>
        <w:keepLines w:val="0"/>
        <w:pageBreakBefore w:val="0"/>
        <w:widowControl w:val="0"/>
        <w:kinsoku/>
        <w:wordWrap/>
        <w:overflowPunct/>
        <w:topLinePunct w:val="0"/>
        <w:autoSpaceDE/>
        <w:autoSpaceDN/>
        <w:bidi w:val="0"/>
        <w:adjustRightInd/>
        <w:snapToGrid/>
        <w:spacing w:line="540" w:lineRule="exact"/>
        <w:ind w:firstLine="540"/>
        <w:textAlignment w:val="auto"/>
        <w:rPr>
          <w:rFonts w:hint="eastAsia" w:ascii="宋体" w:hAnsi="宋体" w:eastAsia="宋体" w:cs="宋体"/>
          <w:color w:val="auto"/>
          <w:sz w:val="24"/>
          <w:szCs w:val="24"/>
          <w:u w:val="single"/>
          <w:lang w:val="en-US"/>
        </w:rPr>
      </w:pPr>
      <w:r>
        <w:rPr>
          <w:rFonts w:hint="eastAsia" w:ascii="宋体" w:hAnsi="宋体" w:eastAsia="宋体" w:cs="宋体"/>
          <w:color w:val="auto"/>
          <w:sz w:val="24"/>
          <w:szCs w:val="24"/>
        </w:rPr>
        <w:t>地点：</w:t>
      </w:r>
      <w:r>
        <w:rPr>
          <w:rFonts w:hint="eastAsia" w:ascii="宋体" w:hAnsi="宋体" w:eastAsia="宋体" w:cs="宋体"/>
          <w:color w:val="auto"/>
          <w:sz w:val="24"/>
          <w:szCs w:val="24"/>
          <w:highlight w:val="none"/>
          <w:u w:val="single"/>
          <w:lang w:val="en-US" w:eastAsia="zh-CN"/>
        </w:rPr>
        <w:t>定远县人民政府网</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highlight w:val="none"/>
          <w:u w:val="single"/>
          <w:lang w:val="en-US" w:eastAsia="zh-CN"/>
        </w:rPr>
        <w:t>政务信息公开</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highlight w:val="none"/>
          <w:u w:val="single"/>
          <w:lang w:val="en-US" w:eastAsia="zh-CN"/>
        </w:rPr>
        <w:t>定远县总医院</w:t>
      </w:r>
    </w:p>
    <w:p w14:paraId="0CB53193">
      <w:pPr>
        <w:keepNext w:val="0"/>
        <w:keepLines w:val="0"/>
        <w:pageBreakBefore w:val="0"/>
        <w:widowControl w:val="0"/>
        <w:kinsoku/>
        <w:wordWrap/>
        <w:overflowPunct/>
        <w:topLinePunct w:val="0"/>
        <w:autoSpaceDE/>
        <w:autoSpaceDN/>
        <w:bidi w:val="0"/>
        <w:adjustRightInd/>
        <w:snapToGrid/>
        <w:spacing w:line="540" w:lineRule="exact"/>
        <w:ind w:firstLine="54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方式：</w:t>
      </w:r>
      <w:r>
        <w:rPr>
          <w:rFonts w:hint="eastAsia" w:ascii="宋体" w:hAnsi="宋体" w:eastAsia="宋体" w:cs="宋体"/>
          <w:color w:val="auto"/>
          <w:sz w:val="24"/>
          <w:szCs w:val="24"/>
          <w:highlight w:val="none"/>
          <w:u w:val="single"/>
          <w:lang w:val="en-US" w:eastAsia="zh-CN"/>
        </w:rPr>
        <w:t>网上下载</w:t>
      </w:r>
    </w:p>
    <w:p w14:paraId="3E6E5BF0">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bookmarkStart w:id="22" w:name="_Toc5805"/>
      <w:r>
        <w:rPr>
          <w:rFonts w:hint="eastAsia" w:ascii="宋体" w:hAnsi="宋体" w:eastAsia="宋体" w:cs="宋体"/>
          <w:b/>
          <w:bCs w:val="0"/>
          <w:sz w:val="24"/>
          <w:szCs w:val="24"/>
          <w:highlight w:val="none"/>
        </w:rPr>
        <w:t>四、响应文件提交</w:t>
      </w:r>
      <w:bookmarkEnd w:id="18"/>
      <w:bookmarkEnd w:id="19"/>
      <w:bookmarkEnd w:id="20"/>
      <w:bookmarkEnd w:id="21"/>
      <w:bookmarkEnd w:id="22"/>
    </w:p>
    <w:p w14:paraId="398E9FEB">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Cs/>
          <w:color w:val="auto"/>
          <w:sz w:val="24"/>
          <w:szCs w:val="24"/>
          <w:lang w:eastAsia="zh-CN"/>
        </w:rPr>
      </w:pPr>
      <w:r>
        <w:rPr>
          <w:rFonts w:hint="eastAsia" w:ascii="宋体" w:hAnsi="宋体" w:eastAsia="宋体" w:cs="宋体"/>
          <w:color w:val="auto"/>
          <w:sz w:val="24"/>
          <w:szCs w:val="24"/>
        </w:rPr>
        <w:t>截止时间</w:t>
      </w:r>
      <w:r>
        <w:rPr>
          <w:rFonts w:hint="eastAsia" w:ascii="宋体" w:hAnsi="宋体" w:eastAsia="宋体" w:cs="宋体"/>
          <w:color w:val="auto"/>
          <w:sz w:val="24"/>
          <w:szCs w:val="24"/>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2026</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rPr>
        <w:t>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4</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rPr>
        <w:t>月</w:t>
      </w:r>
      <w:r>
        <w:rPr>
          <w:rFonts w:hint="eastAsia" w:ascii="宋体" w:hAnsi="宋体" w:eastAsia="宋体" w:cs="宋体"/>
          <w:bCs/>
          <w:color w:val="auto"/>
          <w:sz w:val="24"/>
          <w:szCs w:val="24"/>
          <w:u w:val="single"/>
          <w:lang w:val="en-US" w:eastAsia="zh-CN"/>
        </w:rPr>
        <w:t xml:space="preserve"> 27 </w:t>
      </w:r>
      <w:r>
        <w:rPr>
          <w:rFonts w:hint="eastAsia" w:ascii="宋体" w:hAnsi="宋体" w:eastAsia="宋体" w:cs="宋体"/>
          <w:bCs/>
          <w:color w:val="auto"/>
          <w:sz w:val="24"/>
          <w:szCs w:val="24"/>
          <w:u w:val="none"/>
        </w:rPr>
        <w:t>日</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15 </w:t>
      </w:r>
      <w:r>
        <w:rPr>
          <w:rFonts w:hint="eastAsia" w:ascii="宋体" w:hAnsi="宋体" w:eastAsia="宋体" w:cs="宋体"/>
          <w:bCs/>
          <w:color w:val="auto"/>
          <w:sz w:val="24"/>
          <w:szCs w:val="24"/>
          <w:u w:val="none"/>
        </w:rPr>
        <w:t>点</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00</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rPr>
        <w:t>分</w:t>
      </w:r>
      <w:r>
        <w:rPr>
          <w:rFonts w:hint="eastAsia" w:ascii="宋体" w:hAnsi="宋体" w:eastAsia="宋体" w:cs="宋体"/>
          <w:bCs/>
          <w:color w:val="auto"/>
          <w:sz w:val="24"/>
          <w:szCs w:val="24"/>
        </w:rPr>
        <w:t>（北京时间）</w:t>
      </w:r>
    </w:p>
    <w:p w14:paraId="0C37B211">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rPr>
        <w:t>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定远县总医院院内行政楼二楼会议室 </w:t>
      </w:r>
    </w:p>
    <w:p w14:paraId="152D857D">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bookmarkStart w:id="23" w:name="_Toc28359016"/>
      <w:bookmarkStart w:id="24" w:name="_Toc35393802"/>
      <w:bookmarkStart w:id="25" w:name="_Toc35393633"/>
      <w:bookmarkStart w:id="26" w:name="_Toc28359093"/>
      <w:bookmarkStart w:id="27" w:name="_Toc32658"/>
      <w:r>
        <w:rPr>
          <w:rFonts w:hint="eastAsia" w:ascii="宋体" w:hAnsi="宋体" w:eastAsia="宋体" w:cs="宋体"/>
          <w:b/>
          <w:bCs w:val="0"/>
          <w:sz w:val="24"/>
          <w:szCs w:val="24"/>
          <w:highlight w:val="none"/>
        </w:rPr>
        <w:t>五、开启</w:t>
      </w:r>
      <w:bookmarkEnd w:id="23"/>
      <w:bookmarkEnd w:id="24"/>
      <w:bookmarkEnd w:id="25"/>
      <w:bookmarkEnd w:id="26"/>
      <w:bookmarkEnd w:id="27"/>
    </w:p>
    <w:p w14:paraId="412170F9">
      <w:pPr>
        <w:keepNext w:val="0"/>
        <w:keepLines w:val="0"/>
        <w:pageBreakBefore w:val="0"/>
        <w:widowControl w:val="0"/>
        <w:kinsoku/>
        <w:wordWrap/>
        <w:overflowPunct/>
        <w:topLinePunct w:val="0"/>
        <w:autoSpaceDE/>
        <w:autoSpaceDN/>
        <w:bidi w:val="0"/>
        <w:adjustRightInd/>
        <w:snapToGrid/>
        <w:spacing w:line="540" w:lineRule="exact"/>
        <w:ind w:left="0" w:leftChars="0" w:firstLine="547" w:firstLineChars="228"/>
        <w:textAlignment w:val="auto"/>
        <w:rPr>
          <w:rFonts w:hint="eastAsia" w:ascii="宋体" w:hAnsi="宋体" w:eastAsia="宋体" w:cs="宋体"/>
          <w:bCs/>
          <w:color w:val="auto"/>
          <w:sz w:val="24"/>
          <w:szCs w:val="24"/>
        </w:rPr>
      </w:pPr>
      <w:r>
        <w:rPr>
          <w:rFonts w:hint="eastAsia" w:ascii="宋体" w:hAnsi="宋体" w:eastAsia="宋体" w:cs="宋体"/>
          <w:color w:val="auto"/>
          <w:sz w:val="24"/>
          <w:szCs w:val="24"/>
        </w:rPr>
        <w:t>时间：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2026</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rPr>
        <w:t>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4</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rPr>
        <w:t>月</w:t>
      </w:r>
      <w:r>
        <w:rPr>
          <w:rFonts w:hint="eastAsia" w:ascii="宋体" w:hAnsi="宋体" w:eastAsia="宋体" w:cs="宋体"/>
          <w:bCs/>
          <w:color w:val="auto"/>
          <w:sz w:val="24"/>
          <w:szCs w:val="24"/>
          <w:u w:val="single"/>
          <w:lang w:val="en-US" w:eastAsia="zh-CN"/>
        </w:rPr>
        <w:t xml:space="preserve"> 27 </w:t>
      </w:r>
      <w:r>
        <w:rPr>
          <w:rFonts w:hint="eastAsia" w:ascii="宋体" w:hAnsi="宋体" w:eastAsia="宋体" w:cs="宋体"/>
          <w:bCs/>
          <w:color w:val="auto"/>
          <w:sz w:val="24"/>
          <w:szCs w:val="24"/>
          <w:u w:val="none"/>
        </w:rPr>
        <w:t>日</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15 </w:t>
      </w:r>
      <w:r>
        <w:rPr>
          <w:rFonts w:hint="eastAsia" w:ascii="宋体" w:hAnsi="宋体" w:eastAsia="宋体" w:cs="宋体"/>
          <w:bCs/>
          <w:color w:val="auto"/>
          <w:sz w:val="24"/>
          <w:szCs w:val="24"/>
          <w:u w:val="none"/>
        </w:rPr>
        <w:t>点</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00</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rPr>
        <w:t>分</w:t>
      </w:r>
      <w:r>
        <w:rPr>
          <w:rFonts w:hint="eastAsia" w:ascii="宋体" w:hAnsi="宋体" w:eastAsia="宋体" w:cs="宋体"/>
          <w:bCs/>
          <w:color w:val="auto"/>
          <w:sz w:val="24"/>
          <w:szCs w:val="24"/>
        </w:rPr>
        <w:t>（北京时间）</w:t>
      </w:r>
    </w:p>
    <w:p w14:paraId="0873F96F">
      <w:pPr>
        <w:keepNext w:val="0"/>
        <w:keepLines w:val="0"/>
        <w:pageBreakBefore w:val="0"/>
        <w:widowControl w:val="0"/>
        <w:kinsoku/>
        <w:wordWrap/>
        <w:overflowPunct/>
        <w:topLinePunct w:val="0"/>
        <w:autoSpaceDE/>
        <w:autoSpaceDN/>
        <w:bidi w:val="0"/>
        <w:adjustRightInd/>
        <w:snapToGrid/>
        <w:spacing w:line="540" w:lineRule="exact"/>
        <w:ind w:left="0" w:leftChars="0" w:firstLine="547" w:firstLineChars="228"/>
        <w:textAlignment w:val="auto"/>
        <w:outlineLvl w:val="1"/>
        <w:rPr>
          <w:rFonts w:hint="eastAsia" w:ascii="宋体" w:hAnsi="宋体" w:eastAsia="宋体" w:cs="宋体"/>
          <w:color w:val="auto"/>
          <w:sz w:val="24"/>
          <w:szCs w:val="24"/>
          <w:highlight w:val="none"/>
          <w:u w:val="single"/>
          <w:lang w:val="en-US" w:eastAsia="zh-CN"/>
        </w:rPr>
      </w:pPr>
      <w:bookmarkStart w:id="28" w:name="_Toc12846"/>
      <w:r>
        <w:rPr>
          <w:rFonts w:hint="eastAsia" w:ascii="宋体" w:hAnsi="宋体" w:eastAsia="宋体" w:cs="宋体"/>
          <w:color w:val="auto"/>
          <w:sz w:val="24"/>
          <w:szCs w:val="24"/>
        </w:rPr>
        <w:t>地点：</w:t>
      </w:r>
      <w:r>
        <w:rPr>
          <w:rFonts w:hint="eastAsia" w:ascii="宋体" w:hAnsi="宋体" w:eastAsia="宋体" w:cs="宋体"/>
          <w:color w:val="auto"/>
          <w:sz w:val="24"/>
          <w:szCs w:val="24"/>
          <w:highlight w:val="none"/>
          <w:u w:val="single"/>
        </w:rPr>
        <w:t xml:space="preserve"> </w:t>
      </w:r>
      <w:bookmarkEnd w:id="28"/>
      <w:r>
        <w:rPr>
          <w:rFonts w:hint="eastAsia" w:ascii="宋体" w:hAnsi="宋体" w:eastAsia="宋体" w:cs="宋体"/>
          <w:color w:val="auto"/>
          <w:sz w:val="24"/>
          <w:szCs w:val="24"/>
          <w:highlight w:val="none"/>
          <w:u w:val="single"/>
          <w:lang w:val="en-US" w:eastAsia="zh-CN"/>
        </w:rPr>
        <w:t xml:space="preserve">定远县总医院院内行政楼二楼会议室 </w:t>
      </w:r>
    </w:p>
    <w:p w14:paraId="36663C52">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bookmarkStart w:id="29" w:name="_Toc35393803"/>
      <w:bookmarkStart w:id="30" w:name="_Toc6935"/>
      <w:bookmarkStart w:id="31" w:name="_Toc28359094"/>
      <w:bookmarkStart w:id="32" w:name="_Toc35393634"/>
      <w:bookmarkStart w:id="33" w:name="_Toc28359017"/>
      <w:r>
        <w:rPr>
          <w:rFonts w:hint="eastAsia" w:ascii="宋体" w:hAnsi="宋体" w:eastAsia="宋体" w:cs="宋体"/>
          <w:b/>
          <w:bCs w:val="0"/>
          <w:sz w:val="24"/>
          <w:szCs w:val="24"/>
          <w:highlight w:val="none"/>
        </w:rPr>
        <w:t>六、公告期限</w:t>
      </w:r>
      <w:bookmarkEnd w:id="29"/>
      <w:bookmarkEnd w:id="30"/>
      <w:bookmarkEnd w:id="31"/>
      <w:bookmarkEnd w:id="32"/>
      <w:bookmarkEnd w:id="33"/>
    </w:p>
    <w:p w14:paraId="24F09AB5">
      <w:pPr>
        <w:pageBreakBefore w:val="0"/>
        <w:widowControl w:val="0"/>
        <w:kinsoku/>
        <w:wordWrap/>
        <w:overflowPunct/>
        <w:topLinePunct w:val="0"/>
        <w:autoSpaceDE/>
        <w:autoSpaceDN/>
        <w:bidi w:val="0"/>
        <w:adjustRightInd/>
        <w:snapToGrid/>
        <w:spacing w:line="540" w:lineRule="exact"/>
        <w:ind w:left="0"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自本公告发布之日起3个工作日。</w:t>
      </w:r>
    </w:p>
    <w:p w14:paraId="3649CC2D">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bookmarkStart w:id="34" w:name="_Toc35393635"/>
      <w:bookmarkStart w:id="35" w:name="_Toc23004"/>
      <w:bookmarkStart w:id="36" w:name="_Toc35393804"/>
      <w:r>
        <w:rPr>
          <w:rFonts w:hint="eastAsia" w:ascii="宋体" w:hAnsi="宋体" w:eastAsia="宋体" w:cs="宋体"/>
          <w:b/>
          <w:bCs w:val="0"/>
          <w:sz w:val="24"/>
          <w:szCs w:val="24"/>
          <w:highlight w:val="none"/>
        </w:rPr>
        <w:t>七、其他补充事宜</w:t>
      </w:r>
      <w:bookmarkEnd w:id="34"/>
      <w:bookmarkEnd w:id="35"/>
      <w:bookmarkEnd w:id="36"/>
    </w:p>
    <w:p w14:paraId="09D0CEF2">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bCs w:val="0"/>
          <w:color w:val="auto"/>
          <w:sz w:val="24"/>
          <w:szCs w:val="18"/>
          <w:highlight w:val="none"/>
          <w:lang w:val="en-US" w:eastAsia="zh-CN"/>
        </w:rPr>
        <w:t>是否要求供应商提交保证金：不要求。</w:t>
      </w:r>
    </w:p>
    <w:p w14:paraId="04182C44">
      <w:pPr>
        <w:pStyle w:val="2"/>
        <w:pageBreakBefore w:val="0"/>
        <w:widowControl w:val="0"/>
        <w:kinsoku/>
        <w:wordWrap/>
        <w:overflowPunct/>
        <w:topLinePunct w:val="0"/>
        <w:autoSpaceDE/>
        <w:autoSpaceDN/>
        <w:bidi w:val="0"/>
        <w:adjustRightInd/>
        <w:snapToGrid/>
        <w:spacing w:before="0" w:after="0" w:line="540" w:lineRule="exact"/>
        <w:ind w:left="0" w:leftChars="0" w:firstLine="482" w:firstLineChars="200"/>
        <w:textAlignment w:val="auto"/>
        <w:rPr>
          <w:rFonts w:hint="eastAsia" w:ascii="宋体" w:hAnsi="宋体" w:eastAsia="宋体" w:cs="宋体"/>
          <w:b/>
          <w:bCs w:val="0"/>
          <w:sz w:val="24"/>
          <w:szCs w:val="24"/>
          <w:highlight w:val="none"/>
        </w:rPr>
      </w:pPr>
      <w:bookmarkStart w:id="37" w:name="_Toc35393636"/>
      <w:bookmarkStart w:id="38" w:name="_Toc28099"/>
      <w:bookmarkStart w:id="39" w:name="_Toc35393805"/>
      <w:bookmarkStart w:id="40" w:name="_Toc28359095"/>
      <w:bookmarkStart w:id="41" w:name="_Toc28359018"/>
      <w:r>
        <w:rPr>
          <w:rFonts w:hint="eastAsia" w:ascii="宋体" w:hAnsi="宋体" w:eastAsia="宋体" w:cs="宋体"/>
          <w:b/>
          <w:bCs w:val="0"/>
          <w:sz w:val="24"/>
          <w:szCs w:val="24"/>
          <w:highlight w:val="none"/>
        </w:rPr>
        <w:t>八、凡对本次采购提出询问，请按以下方式联系。</w:t>
      </w:r>
      <w:bookmarkEnd w:id="37"/>
      <w:bookmarkEnd w:id="38"/>
      <w:bookmarkEnd w:id="39"/>
      <w:bookmarkEnd w:id="40"/>
      <w:bookmarkEnd w:id="41"/>
    </w:p>
    <w:p w14:paraId="25330764">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bookmarkStart w:id="42" w:name="_Toc28359019"/>
      <w:bookmarkStart w:id="43" w:name="_Toc29915"/>
      <w:bookmarkStart w:id="44" w:name="_Toc35393806"/>
      <w:bookmarkStart w:id="45" w:name="_Toc35393637"/>
      <w:bookmarkStart w:id="46" w:name="_Toc28359096"/>
      <w:r>
        <w:rPr>
          <w:rFonts w:hint="eastAsia" w:ascii="宋体" w:hAnsi="宋体" w:eastAsia="宋体" w:cs="宋体"/>
          <w:b w:val="0"/>
          <w:sz w:val="24"/>
          <w:szCs w:val="24"/>
          <w:highlight w:val="none"/>
          <w:lang w:val="en-US" w:eastAsia="zh-CN"/>
        </w:rPr>
        <w:t>名  称：定远县总医院</w:t>
      </w:r>
    </w:p>
    <w:p w14:paraId="2B8A0224">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地  址：定远县幸福东路</w:t>
      </w:r>
    </w:p>
    <w:p w14:paraId="5371C296">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 xml:space="preserve">联系人：黄主任               </w:t>
      </w:r>
    </w:p>
    <w:p w14:paraId="44F677D2">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 xml:space="preserve">联系方式：13855031948            </w:t>
      </w:r>
    </w:p>
    <w:p w14:paraId="1CB03030">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2.采购代理机构信息</w:t>
      </w:r>
    </w:p>
    <w:p w14:paraId="5F7D7931">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名  称：安徽三辰工程项目管理有限公司</w:t>
      </w:r>
    </w:p>
    <w:p w14:paraId="2175218E">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地  址：定远县定城镇长征西路</w:t>
      </w:r>
    </w:p>
    <w:p w14:paraId="460A5C2A">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联系人：周彬彬</w:t>
      </w:r>
    </w:p>
    <w:p w14:paraId="19D34982">
      <w:pPr>
        <w:pStyle w:val="2"/>
        <w:pageBreakBefore w:val="0"/>
        <w:widowControl w:val="0"/>
        <w:kinsoku/>
        <w:wordWrap/>
        <w:overflowPunct/>
        <w:topLinePunct w:val="0"/>
        <w:autoSpaceDE/>
        <w:autoSpaceDN/>
        <w:bidi w:val="0"/>
        <w:adjustRightInd/>
        <w:snapToGrid/>
        <w:spacing w:before="0" w:after="0" w:line="540" w:lineRule="exact"/>
        <w:ind w:firstLine="480" w:firstLineChars="200"/>
        <w:textAlignment w:val="auto"/>
        <w:rPr>
          <w:rFonts w:hint="eastAsia" w:ascii="宋体" w:hAnsi="宋体" w:eastAsia="宋体" w:cs="宋体"/>
          <w:b w:val="0"/>
          <w:sz w:val="24"/>
          <w:szCs w:val="24"/>
          <w:highlight w:val="none"/>
          <w:lang w:val="en-US" w:eastAsia="zh-CN"/>
        </w:rPr>
      </w:pPr>
      <w:r>
        <w:rPr>
          <w:rFonts w:hint="eastAsia" w:ascii="宋体" w:hAnsi="宋体" w:eastAsia="宋体" w:cs="宋体"/>
          <w:b w:val="0"/>
          <w:sz w:val="24"/>
          <w:szCs w:val="24"/>
          <w:highlight w:val="none"/>
          <w:lang w:val="en-US" w:eastAsia="zh-CN"/>
        </w:rPr>
        <w:t>联系方式：13855066936</w:t>
      </w:r>
    </w:p>
    <w:p w14:paraId="06BAB98A">
      <w:pPr>
        <w:pStyle w:val="2"/>
        <w:pageBreakBefore w:val="0"/>
        <w:widowControl w:val="0"/>
        <w:kinsoku/>
        <w:wordWrap/>
        <w:overflowPunct/>
        <w:topLinePunct w:val="0"/>
        <w:autoSpaceDE/>
        <w:autoSpaceDN/>
        <w:bidi w:val="0"/>
        <w:adjustRightInd/>
        <w:snapToGrid/>
        <w:spacing w:before="0" w:after="0" w:line="480" w:lineRule="exact"/>
        <w:ind w:left="0" w:leftChars="0" w:firstLine="480" w:firstLineChars="200"/>
        <w:textAlignment w:val="auto"/>
        <w:rPr>
          <w:rFonts w:hint="eastAsia" w:ascii="宋体" w:hAnsi="宋体" w:eastAsia="宋体" w:cs="宋体"/>
          <w:b w:val="0"/>
          <w:sz w:val="24"/>
          <w:szCs w:val="24"/>
          <w:highlight w:val="none"/>
        </w:rPr>
      </w:pPr>
    </w:p>
    <w:bookmarkEnd w:id="42"/>
    <w:bookmarkEnd w:id="43"/>
    <w:bookmarkEnd w:id="44"/>
    <w:bookmarkEnd w:id="45"/>
    <w:bookmarkEnd w:id="46"/>
    <w:p w14:paraId="112FED51">
      <w:pPr>
        <w:spacing w:line="360" w:lineRule="auto"/>
        <w:ind w:firstLine="435"/>
        <w:rPr>
          <w:rFonts w:ascii="宋体" w:hAnsi="宋体" w:eastAsia="宋体"/>
          <w:color w:val="auto"/>
          <w:sz w:val="24"/>
          <w:szCs w:val="18"/>
          <w:highlight w:val="none"/>
        </w:rPr>
      </w:pPr>
      <w:r>
        <w:rPr>
          <w:rFonts w:ascii="宋体" w:hAnsi="宋体" w:eastAsia="宋体"/>
          <w:color w:val="auto"/>
          <w:sz w:val="24"/>
          <w:szCs w:val="18"/>
          <w:highlight w:val="none"/>
        </w:rPr>
        <w:br w:type="page"/>
      </w:r>
    </w:p>
    <w:p w14:paraId="5E13C9C1">
      <w:pPr>
        <w:spacing w:line="360" w:lineRule="auto"/>
        <w:jc w:val="center"/>
        <w:outlineLvl w:val="0"/>
        <w:rPr>
          <w:rFonts w:asciiTheme="minorEastAsia" w:hAnsiTheme="minorEastAsia" w:eastAsiaTheme="minorEastAsia"/>
          <w:b/>
          <w:color w:val="auto"/>
          <w:sz w:val="28"/>
          <w:highlight w:val="none"/>
        </w:rPr>
      </w:pPr>
      <w:bookmarkStart w:id="47" w:name="_Toc7162"/>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47"/>
    </w:p>
    <w:p w14:paraId="2EAFA8A5">
      <w:pPr>
        <w:spacing w:line="360" w:lineRule="auto"/>
        <w:jc w:val="center"/>
        <w:outlineLvl w:val="1"/>
        <w:rPr>
          <w:rFonts w:asciiTheme="minorEastAsia" w:hAnsiTheme="minorEastAsia" w:eastAsiaTheme="minorEastAsia"/>
          <w:b/>
          <w:color w:val="auto"/>
          <w:sz w:val="24"/>
          <w:highlight w:val="none"/>
        </w:rPr>
      </w:pPr>
      <w:bookmarkStart w:id="48" w:name="_Toc11383"/>
      <w:bookmarkStart w:id="49" w:name="_Toc11709"/>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48"/>
      <w:bookmarkEnd w:id="49"/>
    </w:p>
    <w:p w14:paraId="373AC660">
      <w:pPr>
        <w:spacing w:line="360" w:lineRule="auto"/>
        <w:ind w:firstLine="435"/>
        <w:rPr>
          <w:rFonts w:ascii="宋体" w:hAnsi="宋体" w:eastAsia="宋体"/>
          <w:color w:val="auto"/>
          <w:sz w:val="24"/>
          <w:szCs w:val="18"/>
          <w:highlight w:val="none"/>
        </w:rPr>
      </w:pPr>
      <w:r>
        <w:rPr>
          <w:rFonts w:hint="eastAsia" w:ascii="宋体" w:hAnsi="宋体" w:eastAsia="宋体"/>
          <w:b/>
          <w:bCs/>
          <w:color w:val="auto"/>
          <w:sz w:val="24"/>
          <w:szCs w:val="18"/>
          <w:highlight w:val="none"/>
        </w:rPr>
        <w:t>注：</w:t>
      </w:r>
      <w:r>
        <w:rPr>
          <w:rFonts w:hint="eastAsia" w:ascii="宋体" w:hAnsi="宋体" w:eastAsia="宋体"/>
          <w:color w:val="auto"/>
          <w:sz w:val="24"/>
          <w:szCs w:val="18"/>
          <w:highlight w:val="none"/>
        </w:rPr>
        <w:t>本表是本项目的具体要求，是对供应商须知的具体补充和修改，如有不一致，以本表为准。</w:t>
      </w:r>
    </w:p>
    <w:tbl>
      <w:tblPr>
        <w:tblStyle w:val="23"/>
        <w:tblW w:w="51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2022"/>
        <w:gridCol w:w="5686"/>
      </w:tblGrid>
      <w:tr w14:paraId="0522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1AE35DC0">
            <w:pPr>
              <w:pStyle w:val="40"/>
              <w:widowControl w:val="0"/>
              <w:spacing w:before="0" w:beforeAutospacing="0" w:after="0" w:afterAutospacing="0" w:line="360" w:lineRule="auto"/>
              <w:rPr>
                <w:rFonts w:ascii="宋体" w:hAnsi="宋体" w:eastAsia="宋体"/>
                <w:bCs w:val="0"/>
                <w:color w:val="auto"/>
                <w:kern w:val="2"/>
                <w:sz w:val="24"/>
                <w:szCs w:val="20"/>
                <w:highlight w:val="none"/>
              </w:rPr>
            </w:pPr>
            <w:r>
              <w:rPr>
                <w:rFonts w:hint="eastAsia" w:ascii="宋体" w:hAnsi="宋体" w:eastAsia="宋体"/>
                <w:bCs w:val="0"/>
                <w:color w:val="auto"/>
                <w:kern w:val="2"/>
                <w:sz w:val="24"/>
                <w:szCs w:val="20"/>
                <w:highlight w:val="none"/>
              </w:rPr>
              <w:t>条款号</w:t>
            </w:r>
          </w:p>
        </w:tc>
        <w:tc>
          <w:tcPr>
            <w:tcW w:w="2227" w:type="dxa"/>
            <w:vAlign w:val="center"/>
          </w:tcPr>
          <w:p w14:paraId="59B8172E">
            <w:pPr>
              <w:pStyle w:val="40"/>
              <w:widowControl w:val="0"/>
              <w:spacing w:before="0" w:beforeAutospacing="0" w:after="0" w:afterAutospacing="0" w:line="360" w:lineRule="auto"/>
              <w:rPr>
                <w:rFonts w:ascii="宋体" w:hAnsi="宋体" w:eastAsia="宋体"/>
                <w:bCs w:val="0"/>
                <w:color w:val="auto"/>
                <w:kern w:val="2"/>
                <w:sz w:val="24"/>
                <w:szCs w:val="20"/>
                <w:highlight w:val="none"/>
              </w:rPr>
            </w:pPr>
            <w:r>
              <w:rPr>
                <w:rFonts w:hint="eastAsia" w:ascii="宋体" w:hAnsi="宋体" w:eastAsia="宋体"/>
                <w:bCs w:val="0"/>
                <w:color w:val="auto"/>
                <w:kern w:val="2"/>
                <w:sz w:val="24"/>
                <w:szCs w:val="20"/>
                <w:highlight w:val="none"/>
              </w:rPr>
              <w:t>条款名称</w:t>
            </w:r>
          </w:p>
        </w:tc>
        <w:tc>
          <w:tcPr>
            <w:tcW w:w="6273" w:type="dxa"/>
            <w:vAlign w:val="center"/>
          </w:tcPr>
          <w:p w14:paraId="1047C88E">
            <w:pPr>
              <w:pStyle w:val="40"/>
              <w:widowControl w:val="0"/>
              <w:spacing w:before="0" w:beforeAutospacing="0" w:after="0" w:afterAutospacing="0" w:line="360" w:lineRule="auto"/>
              <w:rPr>
                <w:rFonts w:ascii="宋体" w:hAnsi="宋体" w:eastAsia="宋体"/>
                <w:bCs w:val="0"/>
                <w:color w:val="auto"/>
                <w:kern w:val="2"/>
                <w:sz w:val="24"/>
                <w:szCs w:val="20"/>
                <w:highlight w:val="none"/>
              </w:rPr>
            </w:pPr>
            <w:r>
              <w:rPr>
                <w:rFonts w:hint="eastAsia" w:ascii="宋体" w:hAnsi="宋体" w:eastAsia="宋体"/>
                <w:bCs w:val="0"/>
                <w:color w:val="auto"/>
                <w:kern w:val="2"/>
                <w:sz w:val="24"/>
                <w:szCs w:val="20"/>
                <w:highlight w:val="none"/>
              </w:rPr>
              <w:t>内容、说明与要求</w:t>
            </w:r>
          </w:p>
        </w:tc>
      </w:tr>
      <w:tr w14:paraId="4FA91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01474987">
            <w:pPr>
              <w:pStyle w:val="41"/>
              <w:pBdr>
                <w:bottom w:val="none" w:color="auto" w:sz="0" w:space="0"/>
              </w:pBdr>
              <w:tabs>
                <w:tab w:val="clear" w:pos="4153"/>
                <w:tab w:val="clear" w:pos="8306"/>
              </w:tabs>
              <w:adjustRightInd/>
              <w:spacing w:line="360" w:lineRule="auto"/>
              <w:textAlignment w:val="auto"/>
              <w:rPr>
                <w:rFonts w:hint="eastAsia" w:ascii="宋体" w:hAnsi="宋体" w:eastAsia="宋体"/>
                <w:bCs/>
                <w:color w:val="auto"/>
                <w:kern w:val="2"/>
                <w:highlight w:val="none"/>
                <w:lang w:eastAsia="zh-CN"/>
              </w:rPr>
            </w:pPr>
            <w:r>
              <w:rPr>
                <w:rFonts w:hint="eastAsia" w:ascii="宋体" w:hAnsi="宋体" w:eastAsia="宋体"/>
                <w:bCs/>
                <w:color w:val="auto"/>
                <w:kern w:val="2"/>
                <w:highlight w:val="none"/>
                <w:lang w:val="en-US" w:eastAsia="zh-CN"/>
              </w:rPr>
              <w:t>5</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2</w:t>
            </w:r>
          </w:p>
        </w:tc>
        <w:tc>
          <w:tcPr>
            <w:tcW w:w="2227" w:type="dxa"/>
            <w:vAlign w:val="center"/>
          </w:tcPr>
          <w:p w14:paraId="07287CCD">
            <w:pPr>
              <w:pStyle w:val="40"/>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cs="@仿宋_GB2312"/>
                <w:b w:val="0"/>
                <w:bCs/>
                <w:color w:val="auto"/>
                <w:kern w:val="2"/>
                <w:sz w:val="24"/>
                <w:szCs w:val="22"/>
                <w:highlight w:val="none"/>
                <w:lang w:val="en-US" w:eastAsia="zh-CN" w:bidi="ar-SA"/>
              </w:rPr>
              <w:t>现场考察或标前答疑会</w:t>
            </w:r>
          </w:p>
        </w:tc>
        <w:tc>
          <w:tcPr>
            <w:tcW w:w="6273" w:type="dxa"/>
            <w:vAlign w:val="center"/>
          </w:tcPr>
          <w:p w14:paraId="1F52D945">
            <w:pPr>
              <w:spacing w:line="360" w:lineRule="auto"/>
              <w:rPr>
                <w:rFonts w:ascii="宋体" w:hAnsi="宋体" w:eastAsia="宋体"/>
                <w:bCs/>
                <w:color w:val="auto"/>
                <w:sz w:val="24"/>
                <w:highlight w:val="none"/>
              </w:rPr>
            </w:pPr>
            <w:r>
              <w:rPr>
                <w:rFonts w:hint="eastAsia" w:ascii="宋体" w:hAnsi="宋体" w:eastAsia="宋体"/>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14:paraId="0579EA86">
            <w:pPr>
              <w:spacing w:line="360" w:lineRule="auto"/>
              <w:rPr>
                <w:rFonts w:ascii="宋体" w:hAnsi="宋体" w:eastAsia="宋体"/>
                <w:bCs/>
                <w:color w:val="auto"/>
                <w:sz w:val="24"/>
                <w:highlight w:val="none"/>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p>
          <w:p w14:paraId="77468458">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u w:val="single"/>
                <w:lang w:val="en-US" w:eastAsia="zh-CN"/>
              </w:rPr>
              <w:t>/</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14:paraId="5F06E43B">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u w:val="single"/>
                <w:lang w:val="en-US" w:eastAsia="zh-CN"/>
              </w:rPr>
              <w:t>/</w:t>
            </w:r>
            <w:r>
              <w:rPr>
                <w:rFonts w:ascii="宋体" w:hAnsi="宋体" w:eastAsia="宋体"/>
                <w:bCs/>
                <w:color w:val="auto"/>
                <w:sz w:val="24"/>
                <w:highlight w:val="none"/>
                <w:u w:val="single"/>
              </w:rPr>
              <w:t xml:space="preserve">       </w:t>
            </w:r>
          </w:p>
          <w:p w14:paraId="79FEC003">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u w:val="single"/>
                <w:lang w:val="en-US" w:eastAsia="zh-CN"/>
              </w:rPr>
              <w:t>/</w:t>
            </w:r>
            <w:r>
              <w:rPr>
                <w:rFonts w:ascii="宋体" w:hAnsi="宋体" w:eastAsia="宋体"/>
                <w:bCs/>
                <w:color w:val="auto"/>
                <w:sz w:val="24"/>
                <w:highlight w:val="none"/>
                <w:u w:val="single"/>
              </w:rPr>
              <w:t xml:space="preserve">    </w:t>
            </w:r>
          </w:p>
          <w:p w14:paraId="3A89C23E">
            <w:pPr>
              <w:pStyle w:val="40"/>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如供应商未参加采购人统一组织的现场考察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，由此引起的一切责任由供应商自行承担。</w:t>
            </w:r>
          </w:p>
        </w:tc>
      </w:tr>
      <w:tr w14:paraId="451E1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099" w:type="dxa"/>
            <w:vAlign w:val="center"/>
          </w:tcPr>
          <w:p w14:paraId="158B1913">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6</w:t>
            </w:r>
            <w:r>
              <w:rPr>
                <w:rFonts w:ascii="宋体" w:hAnsi="宋体" w:eastAsia="宋体"/>
                <w:bCs/>
                <w:color w:val="auto"/>
                <w:kern w:val="2"/>
                <w:highlight w:val="none"/>
              </w:rPr>
              <w:t>.1</w:t>
            </w:r>
          </w:p>
        </w:tc>
        <w:tc>
          <w:tcPr>
            <w:tcW w:w="2227" w:type="dxa"/>
            <w:vAlign w:val="center"/>
          </w:tcPr>
          <w:p w14:paraId="2C1661BC">
            <w:pPr>
              <w:pStyle w:val="40"/>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b w:val="0"/>
                <w:color w:val="auto"/>
                <w:sz w:val="24"/>
                <w:highlight w:val="none"/>
              </w:rPr>
              <w:t>网上询问截止时间</w:t>
            </w:r>
          </w:p>
        </w:tc>
        <w:tc>
          <w:tcPr>
            <w:tcW w:w="6273" w:type="dxa"/>
            <w:vAlign w:val="center"/>
          </w:tcPr>
          <w:p w14:paraId="32A94582">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ascii="宋体" w:hAnsi="宋体" w:eastAsia="宋体"/>
                <w:b w:val="0"/>
                <w:color w:val="auto"/>
                <w:sz w:val="24"/>
                <w:highlight w:val="none"/>
                <w:u w:val="single"/>
              </w:rPr>
              <w:t xml:space="preserve"> </w:t>
            </w:r>
            <w:r>
              <w:rPr>
                <w:rFonts w:hint="eastAsia" w:ascii="宋体" w:hAnsi="宋体" w:eastAsia="宋体"/>
                <w:b w:val="0"/>
                <w:color w:val="auto"/>
                <w:sz w:val="24"/>
                <w:highlight w:val="none"/>
                <w:u w:val="single"/>
                <w:lang w:val="en-US" w:eastAsia="zh-CN"/>
              </w:rPr>
              <w:t>2026</w:t>
            </w:r>
            <w:r>
              <w:rPr>
                <w:rFonts w:ascii="宋体" w:hAnsi="宋体" w:eastAsia="宋体"/>
                <w:b w:val="0"/>
                <w:color w:val="auto"/>
                <w:sz w:val="24"/>
                <w:highlight w:val="none"/>
                <w:u w:val="single"/>
              </w:rPr>
              <w:t xml:space="preserve"> </w:t>
            </w:r>
            <w:r>
              <w:rPr>
                <w:rFonts w:ascii="宋体" w:hAnsi="宋体" w:eastAsia="宋体"/>
                <w:b w:val="0"/>
                <w:color w:val="auto"/>
                <w:sz w:val="24"/>
                <w:highlight w:val="none"/>
              </w:rPr>
              <w:t>年</w:t>
            </w:r>
            <w:r>
              <w:rPr>
                <w:rFonts w:ascii="宋体" w:hAnsi="宋体" w:eastAsia="宋体"/>
                <w:b w:val="0"/>
                <w:color w:val="auto"/>
                <w:sz w:val="24"/>
                <w:highlight w:val="none"/>
                <w:u w:val="single"/>
              </w:rPr>
              <w:t xml:space="preserve"> </w:t>
            </w:r>
            <w:r>
              <w:rPr>
                <w:rFonts w:hint="eastAsia" w:ascii="宋体" w:hAnsi="宋体" w:eastAsia="宋体"/>
                <w:b w:val="0"/>
                <w:color w:val="auto"/>
                <w:sz w:val="24"/>
                <w:highlight w:val="none"/>
                <w:u w:val="single"/>
                <w:lang w:val="en-US" w:eastAsia="zh-CN"/>
              </w:rPr>
              <w:t xml:space="preserve">4 </w:t>
            </w:r>
            <w:r>
              <w:rPr>
                <w:rFonts w:ascii="宋体" w:hAnsi="宋体" w:eastAsia="宋体"/>
                <w:b w:val="0"/>
                <w:color w:val="auto"/>
                <w:sz w:val="24"/>
                <w:highlight w:val="none"/>
              </w:rPr>
              <w:t>月</w:t>
            </w:r>
            <w:r>
              <w:rPr>
                <w:rFonts w:ascii="宋体" w:hAnsi="宋体" w:eastAsia="宋体"/>
                <w:b w:val="0"/>
                <w:color w:val="auto"/>
                <w:sz w:val="24"/>
                <w:highlight w:val="none"/>
                <w:u w:val="single"/>
              </w:rPr>
              <w:t xml:space="preserve"> </w:t>
            </w:r>
            <w:r>
              <w:rPr>
                <w:rFonts w:hint="eastAsia" w:ascii="宋体" w:hAnsi="宋体" w:eastAsia="宋体"/>
                <w:b w:val="0"/>
                <w:color w:val="auto"/>
                <w:sz w:val="24"/>
                <w:highlight w:val="none"/>
                <w:u w:val="single"/>
                <w:lang w:val="en-US" w:eastAsia="zh-CN"/>
              </w:rPr>
              <w:t>21</w:t>
            </w:r>
            <w:r>
              <w:rPr>
                <w:rFonts w:ascii="宋体" w:hAnsi="宋体" w:eastAsia="宋体"/>
                <w:b w:val="0"/>
                <w:color w:val="auto"/>
                <w:sz w:val="24"/>
                <w:highlight w:val="none"/>
                <w:u w:val="single"/>
              </w:rPr>
              <w:t xml:space="preserve"> </w:t>
            </w:r>
            <w:r>
              <w:rPr>
                <w:rFonts w:ascii="宋体" w:hAnsi="宋体" w:eastAsia="宋体"/>
                <w:b w:val="0"/>
                <w:color w:val="auto"/>
                <w:sz w:val="24"/>
                <w:highlight w:val="none"/>
              </w:rPr>
              <w:t>日</w:t>
            </w:r>
            <w:r>
              <w:rPr>
                <w:rFonts w:ascii="宋体" w:hAnsi="宋体" w:eastAsia="宋体"/>
                <w:b w:val="0"/>
                <w:color w:val="auto"/>
                <w:sz w:val="24"/>
                <w:highlight w:val="none"/>
                <w:u w:val="single"/>
              </w:rPr>
              <w:t xml:space="preserve"> </w:t>
            </w:r>
            <w:r>
              <w:rPr>
                <w:rFonts w:hint="eastAsia" w:ascii="宋体" w:hAnsi="宋体" w:eastAsia="宋体"/>
                <w:b w:val="0"/>
                <w:color w:val="auto"/>
                <w:sz w:val="24"/>
                <w:highlight w:val="none"/>
                <w:u w:val="single"/>
                <w:lang w:val="en-US" w:eastAsia="zh-CN"/>
              </w:rPr>
              <w:t>17</w:t>
            </w:r>
            <w:r>
              <w:rPr>
                <w:rFonts w:ascii="宋体" w:hAnsi="宋体" w:eastAsia="宋体"/>
                <w:b w:val="0"/>
                <w:color w:val="auto"/>
                <w:sz w:val="24"/>
                <w:highlight w:val="none"/>
                <w:u w:val="single"/>
              </w:rPr>
              <w:t xml:space="preserve"> </w:t>
            </w:r>
            <w:r>
              <w:rPr>
                <w:rFonts w:ascii="宋体" w:hAnsi="宋体" w:eastAsia="宋体"/>
                <w:b w:val="0"/>
                <w:color w:val="auto"/>
                <w:sz w:val="24"/>
                <w:highlight w:val="none"/>
              </w:rPr>
              <w:t>时</w:t>
            </w:r>
            <w:r>
              <w:rPr>
                <w:rFonts w:ascii="宋体" w:hAnsi="宋体" w:eastAsia="宋体"/>
                <w:b w:val="0"/>
                <w:color w:val="auto"/>
                <w:sz w:val="24"/>
                <w:highlight w:val="none"/>
                <w:u w:val="single"/>
              </w:rPr>
              <w:t xml:space="preserve"> </w:t>
            </w:r>
            <w:r>
              <w:rPr>
                <w:rFonts w:hint="eastAsia" w:ascii="宋体" w:hAnsi="宋体" w:eastAsia="宋体"/>
                <w:b w:val="0"/>
                <w:color w:val="auto"/>
                <w:sz w:val="24"/>
                <w:highlight w:val="none"/>
                <w:u w:val="single"/>
                <w:lang w:val="en-US" w:eastAsia="zh-CN"/>
              </w:rPr>
              <w:t>00</w:t>
            </w:r>
            <w:r>
              <w:rPr>
                <w:rFonts w:ascii="宋体" w:hAnsi="宋体" w:eastAsia="宋体"/>
                <w:b w:val="0"/>
                <w:color w:val="auto"/>
                <w:sz w:val="24"/>
                <w:highlight w:val="none"/>
                <w:u w:val="single"/>
              </w:rPr>
              <w:t xml:space="preserve"> </w:t>
            </w:r>
            <w:r>
              <w:rPr>
                <w:rFonts w:hint="eastAsia" w:ascii="宋体" w:hAnsi="宋体" w:eastAsia="宋体"/>
                <w:b w:val="0"/>
                <w:color w:val="auto"/>
                <w:sz w:val="24"/>
                <w:highlight w:val="none"/>
              </w:rPr>
              <w:t>分</w:t>
            </w:r>
          </w:p>
        </w:tc>
      </w:tr>
      <w:tr w14:paraId="1CAF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1099" w:type="dxa"/>
            <w:vAlign w:val="center"/>
          </w:tcPr>
          <w:p w14:paraId="3E22C62C">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7.1</w:t>
            </w:r>
          </w:p>
        </w:tc>
        <w:tc>
          <w:tcPr>
            <w:tcW w:w="2227" w:type="dxa"/>
            <w:vAlign w:val="center"/>
          </w:tcPr>
          <w:p w14:paraId="25B9FFCA">
            <w:pPr>
              <w:pStyle w:val="40"/>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b w:val="0"/>
                <w:color w:val="auto"/>
                <w:sz w:val="24"/>
                <w:highlight w:val="none"/>
              </w:rPr>
              <w:t>包别划分</w:t>
            </w:r>
          </w:p>
        </w:tc>
        <w:tc>
          <w:tcPr>
            <w:tcW w:w="6273" w:type="dxa"/>
            <w:vAlign w:val="center"/>
          </w:tcPr>
          <w:p w14:paraId="361C011A">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bCs w:val="0"/>
                <w:color w:val="auto"/>
                <w:sz w:val="24"/>
                <w:szCs w:val="24"/>
                <w:highlight w:val="none"/>
                <w:lang w:eastAsia="zh-CN"/>
              </w:rPr>
              <w:t>☑</w:t>
            </w:r>
            <w:r>
              <w:rPr>
                <w:rFonts w:ascii="宋体" w:hAnsi="宋体" w:eastAsia="宋体"/>
                <w:b w:val="0"/>
                <w:color w:val="auto"/>
                <w:sz w:val="24"/>
                <w:highlight w:val="none"/>
              </w:rPr>
              <w:t>不分包     □分为  个包</w:t>
            </w:r>
          </w:p>
          <w:p w14:paraId="10D60873">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bCs w:val="0"/>
                <w:color w:val="auto"/>
                <w:sz w:val="24"/>
                <w:szCs w:val="24"/>
                <w:highlight w:val="none"/>
              </w:rPr>
              <w:t>供应商参加多个包磋商的成交</w:t>
            </w:r>
            <w:r>
              <w:rPr>
                <w:rFonts w:ascii="宋体" w:hAnsi="宋体" w:eastAsia="宋体"/>
                <w:b w:val="0"/>
                <w:bCs w:val="0"/>
                <w:color w:val="auto"/>
                <w:sz w:val="24"/>
                <w:szCs w:val="24"/>
                <w:highlight w:val="none"/>
              </w:rPr>
              <w:t>包</w:t>
            </w:r>
            <w:r>
              <w:rPr>
                <w:rFonts w:hint="eastAsia" w:ascii="宋体" w:hAnsi="宋体" w:eastAsia="宋体"/>
                <w:b w:val="0"/>
                <w:bCs w:val="0"/>
                <w:color w:val="auto"/>
                <w:sz w:val="24"/>
                <w:szCs w:val="24"/>
                <w:highlight w:val="none"/>
              </w:rPr>
              <w:t>数规定：</w:t>
            </w:r>
            <w:r>
              <w:rPr>
                <w:rFonts w:hint="eastAsia" w:ascii="宋体" w:hAnsi="宋体" w:eastAsia="宋体"/>
                <w:b w:val="0"/>
                <w:bCs w:val="0"/>
                <w:color w:val="auto"/>
                <w:sz w:val="24"/>
                <w:szCs w:val="18"/>
                <w:highlight w:val="none"/>
                <w:u w:val="single"/>
              </w:rPr>
              <w:t xml:space="preserve"> </w:t>
            </w:r>
            <w:r>
              <w:rPr>
                <w:rFonts w:hint="eastAsia" w:ascii="宋体" w:hAnsi="宋体" w:eastAsia="宋体"/>
                <w:b w:val="0"/>
                <w:bCs w:val="0"/>
                <w:color w:val="auto"/>
                <w:sz w:val="24"/>
                <w:szCs w:val="18"/>
                <w:highlight w:val="none"/>
                <w:u w:val="single"/>
                <w:lang w:val="en-US" w:eastAsia="zh-CN"/>
              </w:rPr>
              <w:t>/</w:t>
            </w:r>
            <w:r>
              <w:rPr>
                <w:rFonts w:ascii="宋体" w:hAnsi="宋体" w:eastAsia="宋体"/>
                <w:b w:val="0"/>
                <w:bCs w:val="0"/>
                <w:color w:val="auto"/>
                <w:sz w:val="24"/>
                <w:szCs w:val="18"/>
                <w:highlight w:val="none"/>
                <w:u w:val="single"/>
              </w:rPr>
              <w:t xml:space="preserve"> </w:t>
            </w:r>
          </w:p>
        </w:tc>
      </w:tr>
      <w:tr w14:paraId="6363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099" w:type="dxa"/>
            <w:vAlign w:val="center"/>
          </w:tcPr>
          <w:p w14:paraId="643DDE6F">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10.1</w:t>
            </w:r>
          </w:p>
        </w:tc>
        <w:tc>
          <w:tcPr>
            <w:tcW w:w="2227" w:type="dxa"/>
            <w:vAlign w:val="center"/>
          </w:tcPr>
          <w:p w14:paraId="43338678">
            <w:pPr>
              <w:pStyle w:val="40"/>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b w:val="0"/>
                <w:color w:val="auto"/>
                <w:sz w:val="24"/>
                <w:highlight w:val="none"/>
              </w:rPr>
              <w:t>磋商保证金</w:t>
            </w:r>
          </w:p>
        </w:tc>
        <w:tc>
          <w:tcPr>
            <w:tcW w:w="6273" w:type="dxa"/>
            <w:vAlign w:val="center"/>
          </w:tcPr>
          <w:p w14:paraId="1F8F5347">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不收取</w:t>
            </w:r>
          </w:p>
        </w:tc>
      </w:tr>
      <w:tr w14:paraId="7889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6305B93B">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11</w:t>
            </w:r>
            <w:r>
              <w:rPr>
                <w:rFonts w:ascii="宋体" w:hAnsi="宋体" w:eastAsia="宋体"/>
                <w:bCs/>
                <w:color w:val="auto"/>
                <w:kern w:val="2"/>
                <w:highlight w:val="none"/>
              </w:rPr>
              <w:t>.1</w:t>
            </w:r>
          </w:p>
        </w:tc>
        <w:tc>
          <w:tcPr>
            <w:tcW w:w="2227" w:type="dxa"/>
            <w:vAlign w:val="center"/>
          </w:tcPr>
          <w:p w14:paraId="486F82D2">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磋商有效期</w:t>
            </w:r>
          </w:p>
        </w:tc>
        <w:tc>
          <w:tcPr>
            <w:tcW w:w="6273" w:type="dxa"/>
            <w:vAlign w:val="center"/>
          </w:tcPr>
          <w:p w14:paraId="14D6AEB0">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u w:val="single"/>
              </w:rPr>
              <w:t xml:space="preserve"> </w:t>
            </w:r>
            <w:r>
              <w:rPr>
                <w:rFonts w:hint="eastAsia" w:ascii="宋体" w:hAnsi="宋体" w:eastAsia="宋体"/>
                <w:b w:val="0"/>
                <w:color w:val="auto"/>
                <w:sz w:val="24"/>
                <w:highlight w:val="none"/>
                <w:u w:val="single"/>
                <w:lang w:val="en-US" w:eastAsia="zh-CN"/>
              </w:rPr>
              <w:t>90</w:t>
            </w:r>
            <w:r>
              <w:rPr>
                <w:rFonts w:hint="eastAsia" w:ascii="宋体" w:hAnsi="宋体" w:eastAsia="宋体"/>
                <w:b w:val="0"/>
                <w:color w:val="auto"/>
                <w:sz w:val="24"/>
                <w:highlight w:val="none"/>
                <w:u w:val="single"/>
              </w:rPr>
              <w:t xml:space="preserve"> </w:t>
            </w:r>
            <w:r>
              <w:rPr>
                <w:rFonts w:hint="eastAsia" w:ascii="宋体" w:hAnsi="宋体" w:eastAsia="宋体"/>
                <w:b w:val="0"/>
                <w:color w:val="auto"/>
                <w:sz w:val="24"/>
                <w:highlight w:val="none"/>
              </w:rPr>
              <w:t>日历日</w:t>
            </w:r>
          </w:p>
        </w:tc>
      </w:tr>
      <w:tr w14:paraId="4126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099" w:type="dxa"/>
            <w:vAlign w:val="center"/>
          </w:tcPr>
          <w:p w14:paraId="23ADA665">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12</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3</w:t>
            </w:r>
          </w:p>
        </w:tc>
        <w:tc>
          <w:tcPr>
            <w:tcW w:w="2227" w:type="dxa"/>
            <w:vAlign w:val="center"/>
          </w:tcPr>
          <w:p w14:paraId="288A06B2">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响应文件</w:t>
            </w:r>
            <w:r>
              <w:rPr>
                <w:rFonts w:hint="eastAsia" w:ascii="宋体" w:hAnsi="宋体" w:eastAsia="宋体"/>
                <w:b w:val="0"/>
                <w:color w:val="auto"/>
                <w:sz w:val="24"/>
                <w:highlight w:val="none"/>
                <w:lang w:val="en-US" w:eastAsia="zh-CN"/>
              </w:rPr>
              <w:t>份数</w:t>
            </w:r>
          </w:p>
        </w:tc>
        <w:tc>
          <w:tcPr>
            <w:tcW w:w="6273" w:type="dxa"/>
            <w:vAlign w:val="center"/>
          </w:tcPr>
          <w:p w14:paraId="14B1F630">
            <w:pPr>
              <w:pStyle w:val="40"/>
              <w:widowControl w:val="0"/>
              <w:spacing w:before="0" w:beforeAutospacing="0" w:after="0" w:afterAutospacing="0" w:line="360" w:lineRule="auto"/>
              <w:jc w:val="both"/>
              <w:rPr>
                <w:rFonts w:ascii="宋体" w:hAnsi="宋体" w:eastAsia="宋体"/>
                <w:b w:val="0"/>
                <w:color w:val="auto"/>
                <w:sz w:val="24"/>
                <w:highlight w:val="none"/>
                <w:u w:val="single"/>
              </w:rPr>
            </w:pPr>
            <w:r>
              <w:rPr>
                <w:rFonts w:hint="eastAsia" w:ascii="宋体" w:hAnsi="宋体" w:eastAsia="宋体"/>
                <w:b/>
                <w:bCs w:val="0"/>
                <w:color w:val="auto"/>
                <w:sz w:val="24"/>
                <w:highlight w:val="none"/>
                <w:u w:val="single"/>
                <w:lang w:val="en-US" w:eastAsia="zh-CN"/>
              </w:rPr>
              <w:t>1正2副，密封在一个密封袋中即可</w:t>
            </w:r>
          </w:p>
        </w:tc>
      </w:tr>
      <w:tr w14:paraId="0D39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99" w:type="dxa"/>
            <w:vAlign w:val="center"/>
          </w:tcPr>
          <w:p w14:paraId="692B5F20">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14.2</w:t>
            </w:r>
          </w:p>
        </w:tc>
        <w:tc>
          <w:tcPr>
            <w:tcW w:w="2227" w:type="dxa"/>
            <w:vAlign w:val="center"/>
          </w:tcPr>
          <w:p w14:paraId="47BA5F7D">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评审方法</w:t>
            </w:r>
          </w:p>
        </w:tc>
        <w:tc>
          <w:tcPr>
            <w:tcW w:w="6273" w:type="dxa"/>
            <w:vAlign w:val="center"/>
          </w:tcPr>
          <w:p w14:paraId="4082CFC5">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u w:val="none"/>
              </w:rPr>
              <w:t>综合评分法</w:t>
            </w:r>
          </w:p>
        </w:tc>
      </w:tr>
      <w:tr w14:paraId="09BD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Merge w:val="restart"/>
            <w:vAlign w:val="center"/>
          </w:tcPr>
          <w:p w14:paraId="69026597">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19</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1</w:t>
            </w:r>
          </w:p>
        </w:tc>
        <w:tc>
          <w:tcPr>
            <w:tcW w:w="2227" w:type="dxa"/>
            <w:vMerge w:val="restart"/>
            <w:vAlign w:val="center"/>
          </w:tcPr>
          <w:p w14:paraId="4270E6D2">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6273" w:type="dxa"/>
            <w:vAlign w:val="center"/>
          </w:tcPr>
          <w:p w14:paraId="5CA36B9D">
            <w:pPr>
              <w:pStyle w:val="40"/>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rPr>
              <w:t>磋商小组推荐成交</w:t>
            </w:r>
            <w:r>
              <w:rPr>
                <w:rFonts w:ascii="宋体" w:hAnsi="宋体" w:eastAsia="宋体"/>
                <w:b w:val="0"/>
                <w:color w:val="auto"/>
                <w:sz w:val="24"/>
                <w:highlight w:val="none"/>
              </w:rPr>
              <w:t>候选</w:t>
            </w:r>
            <w:r>
              <w:rPr>
                <w:rFonts w:hint="eastAsia" w:ascii="宋体" w:hAnsi="宋体" w:eastAsia="宋体"/>
                <w:b w:val="0"/>
                <w:color w:val="auto"/>
                <w:sz w:val="24"/>
                <w:highlight w:val="none"/>
              </w:rPr>
              <w:t>供应商的</w:t>
            </w:r>
            <w:r>
              <w:rPr>
                <w:rFonts w:ascii="宋体" w:hAnsi="宋体" w:eastAsia="宋体"/>
                <w:b w:val="0"/>
                <w:color w:val="auto"/>
                <w:sz w:val="24"/>
                <w:highlight w:val="none"/>
              </w:rPr>
              <w:t>数</w:t>
            </w:r>
            <w:r>
              <w:rPr>
                <w:rFonts w:hint="eastAsia" w:ascii="宋体" w:hAnsi="宋体" w:eastAsia="宋体"/>
                <w:b w:val="0"/>
                <w:color w:val="auto"/>
                <w:sz w:val="24"/>
                <w:highlight w:val="none"/>
              </w:rPr>
              <w:t>量：3家</w:t>
            </w:r>
            <w:r>
              <w:rPr>
                <w:rFonts w:hint="eastAsia" w:ascii="宋体" w:hAnsi="宋体" w:eastAsia="宋体"/>
                <w:b w:val="0"/>
                <w:color w:val="auto"/>
                <w:sz w:val="24"/>
                <w:highlight w:val="none"/>
                <w:lang w:val="en-US" w:eastAsia="zh-CN"/>
              </w:rPr>
              <w:t>以上</w:t>
            </w:r>
          </w:p>
          <w:p w14:paraId="185BEB55">
            <w:pPr>
              <w:pStyle w:val="40"/>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u w:val="single"/>
                <w:lang w:val="en-US" w:eastAsia="zh-CN" w:bidi="ar-SA"/>
              </w:rPr>
            </w:pPr>
            <w:r>
              <w:rPr>
                <w:rFonts w:hint="eastAsia" w:ascii="宋体" w:hAnsi="宋体" w:eastAsia="宋体"/>
                <w:b w:val="0"/>
                <w:color w:val="auto"/>
                <w:sz w:val="24"/>
                <w:highlight w:val="none"/>
                <w:lang w:val="en-US" w:eastAsia="zh-CN"/>
              </w:rPr>
              <w:t>注：法律、法规另有规定的，从其规定</w:t>
            </w:r>
          </w:p>
        </w:tc>
      </w:tr>
      <w:tr w14:paraId="5CC3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Merge w:val="continue"/>
            <w:vAlign w:val="center"/>
          </w:tcPr>
          <w:p w14:paraId="332AB5C2">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p>
        </w:tc>
        <w:tc>
          <w:tcPr>
            <w:tcW w:w="2227" w:type="dxa"/>
            <w:vMerge w:val="continue"/>
            <w:vAlign w:val="center"/>
          </w:tcPr>
          <w:p w14:paraId="383FFB3E">
            <w:pPr>
              <w:pStyle w:val="40"/>
              <w:widowControl w:val="0"/>
              <w:spacing w:before="0" w:beforeAutospacing="0" w:after="0" w:afterAutospacing="0" w:line="360" w:lineRule="auto"/>
              <w:jc w:val="both"/>
              <w:rPr>
                <w:rFonts w:ascii="宋体" w:hAnsi="宋体" w:eastAsia="宋体"/>
                <w:b w:val="0"/>
                <w:color w:val="auto"/>
                <w:sz w:val="24"/>
                <w:highlight w:val="none"/>
              </w:rPr>
            </w:pPr>
          </w:p>
        </w:tc>
        <w:tc>
          <w:tcPr>
            <w:tcW w:w="6273" w:type="dxa"/>
            <w:vAlign w:val="center"/>
          </w:tcPr>
          <w:p w14:paraId="088274BB">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确定成交供应商：</w:t>
            </w:r>
          </w:p>
          <w:p w14:paraId="7370FADA">
            <w:pPr>
              <w:pStyle w:val="40"/>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bCs/>
                <w:color w:val="auto"/>
                <w:sz w:val="24"/>
                <w:highlight w:val="none"/>
              </w:rPr>
              <w:sym w:font="Wingdings" w:char="00A8"/>
            </w:r>
            <w:r>
              <w:rPr>
                <w:rFonts w:hint="eastAsia" w:ascii="宋体" w:hAnsi="宋体" w:eastAsia="宋体"/>
                <w:b w:val="0"/>
                <w:color w:val="auto"/>
                <w:sz w:val="24"/>
                <w:highlight w:val="none"/>
              </w:rPr>
              <w:t xml:space="preserve">采购人委托磋商小组确定 </w:t>
            </w:r>
            <w:r>
              <w:rPr>
                <w:rFonts w:ascii="宋体" w:hAnsi="宋体" w:eastAsia="宋体"/>
                <w:b w:val="0"/>
                <w:color w:val="auto"/>
                <w:sz w:val="24"/>
                <w:highlight w:val="none"/>
              </w:rPr>
              <w:t xml:space="preserve">   </w:t>
            </w:r>
            <w:r>
              <w:rPr>
                <w:rFonts w:hint="eastAsia" w:ascii="宋体" w:hAnsi="宋体" w:eastAsia="宋体"/>
                <w:b w:val="0"/>
                <w:color w:val="auto"/>
                <w:sz w:val="24"/>
                <w:highlight w:val="none"/>
              </w:rPr>
              <w:t xml:space="preserve"> </w:t>
            </w:r>
            <w:r>
              <w:rPr>
                <w:rFonts w:hint="eastAsia" w:ascii="宋体" w:hAnsi="宋体" w:eastAsia="宋体"/>
                <w:b w:val="0"/>
                <w:color w:val="auto"/>
                <w:sz w:val="24"/>
                <w:highlight w:val="none"/>
                <w:lang w:eastAsia="zh-CN"/>
              </w:rPr>
              <w:t>☑</w:t>
            </w:r>
            <w:r>
              <w:rPr>
                <w:rFonts w:hint="eastAsia" w:ascii="宋体" w:hAnsi="宋体" w:eastAsia="宋体"/>
                <w:b w:val="0"/>
                <w:color w:val="auto"/>
                <w:sz w:val="24"/>
                <w:highlight w:val="none"/>
              </w:rPr>
              <w:t>采购人确定</w:t>
            </w:r>
          </w:p>
        </w:tc>
      </w:tr>
      <w:tr w14:paraId="218F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48B16408">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22</w:t>
            </w:r>
            <w:r>
              <w:rPr>
                <w:rFonts w:ascii="宋体" w:hAnsi="宋体" w:eastAsia="宋体"/>
                <w:bCs/>
                <w:color w:val="auto"/>
                <w:kern w:val="2"/>
                <w:highlight w:val="none"/>
              </w:rPr>
              <w:t>.</w:t>
            </w:r>
            <w:r>
              <w:rPr>
                <w:rFonts w:hint="eastAsia" w:ascii="宋体" w:hAnsi="宋体" w:eastAsia="宋体"/>
                <w:bCs/>
                <w:color w:val="auto"/>
                <w:kern w:val="2"/>
                <w:highlight w:val="none"/>
              </w:rPr>
              <w:t>2</w:t>
            </w:r>
          </w:p>
        </w:tc>
        <w:tc>
          <w:tcPr>
            <w:tcW w:w="2227" w:type="dxa"/>
            <w:vAlign w:val="center"/>
          </w:tcPr>
          <w:p w14:paraId="45E43D63">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随</w:t>
            </w:r>
            <w:r>
              <w:rPr>
                <w:rFonts w:hint="eastAsia" w:ascii="宋体" w:hAnsi="宋体" w:eastAsia="宋体"/>
                <w:b w:val="0"/>
                <w:color w:val="auto"/>
                <w:sz w:val="24"/>
                <w:highlight w:val="none"/>
                <w:lang w:val="en-US" w:eastAsia="zh-CN"/>
              </w:rPr>
              <w:t>成交</w:t>
            </w:r>
            <w:r>
              <w:rPr>
                <w:rFonts w:hint="eastAsia" w:ascii="宋体" w:hAnsi="宋体" w:eastAsia="宋体"/>
                <w:b w:val="0"/>
                <w:color w:val="auto"/>
                <w:sz w:val="24"/>
                <w:highlight w:val="none"/>
              </w:rPr>
              <w:t>结果公告同时</w:t>
            </w:r>
            <w:r>
              <w:rPr>
                <w:rFonts w:hint="eastAsia" w:ascii="宋体" w:hAnsi="宋体" w:eastAsia="宋体"/>
                <w:b w:val="0"/>
                <w:color w:val="auto"/>
                <w:sz w:val="24"/>
                <w:highlight w:val="none"/>
                <w:lang w:val="en-US" w:eastAsia="zh-CN"/>
              </w:rPr>
              <w:t>公告</w:t>
            </w:r>
            <w:r>
              <w:rPr>
                <w:rFonts w:hint="eastAsia" w:ascii="宋体" w:hAnsi="宋体" w:eastAsia="宋体"/>
                <w:b w:val="0"/>
                <w:color w:val="auto"/>
                <w:sz w:val="24"/>
                <w:highlight w:val="none"/>
              </w:rPr>
              <w:t>的内容</w:t>
            </w:r>
          </w:p>
        </w:tc>
        <w:tc>
          <w:tcPr>
            <w:tcW w:w="6273" w:type="dxa"/>
            <w:vAlign w:val="center"/>
          </w:tcPr>
          <w:p w14:paraId="2D78A2FF">
            <w:pPr>
              <w:pStyle w:val="40"/>
              <w:widowControl w:val="0"/>
              <w:spacing w:before="0" w:beforeAutospacing="0" w:after="0" w:afterAutospacing="0" w:line="360" w:lineRule="auto"/>
              <w:jc w:val="both"/>
              <w:rPr>
                <w:rFonts w:ascii="宋体" w:hAnsi="宋体" w:eastAsia="宋体"/>
                <w:b w:val="0"/>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r>
              <w:rPr>
                <w:rFonts w:hint="eastAsia" w:ascii="宋体" w:hAnsi="宋体" w:eastAsia="宋体"/>
                <w:b w:val="0"/>
                <w:i/>
                <w:iCs/>
                <w:color w:val="auto"/>
                <w:sz w:val="24"/>
                <w:highlight w:val="none"/>
                <w:u w:val="none"/>
              </w:rPr>
              <w:t>（如有）</w:t>
            </w:r>
          </w:p>
          <w:p w14:paraId="3771E2D0">
            <w:pPr>
              <w:pStyle w:val="40"/>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14:paraId="43C4E04D">
            <w:pPr>
              <w:pStyle w:val="40"/>
              <w:widowControl w:val="0"/>
              <w:spacing w:before="0" w:beforeAutospacing="0" w:after="0" w:afterAutospacing="0" w:line="360" w:lineRule="auto"/>
              <w:jc w:val="both"/>
              <w:rPr>
                <w:rFonts w:ascii="宋体" w:hAnsi="宋体" w:eastAsia="宋体" w:cs="@仿宋_GB2312"/>
                <w:b w:val="0"/>
                <w:bCs w:val="0"/>
                <w:color w:val="auto"/>
                <w:kern w:val="0"/>
                <w:sz w:val="24"/>
                <w:szCs w:val="24"/>
                <w:highlight w:val="none"/>
                <w:lang w:val="en-US" w:eastAsia="zh-CN" w:bidi="ar-SA"/>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3</w:t>
            </w:r>
            <w:r>
              <w:rPr>
                <w:rFonts w:hint="eastAsia" w:ascii="宋体" w:hAnsi="宋体" w:eastAsia="宋体"/>
                <w:b w:val="0"/>
                <w:color w:val="auto"/>
                <w:sz w:val="24"/>
                <w:highlight w:val="none"/>
                <w:u w:val="none"/>
              </w:rPr>
              <w:t>）因落实政府采购政策等原因进行价格扣除后中标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供应商的评审报价</w:t>
            </w:r>
            <w:r>
              <w:rPr>
                <w:rFonts w:hint="eastAsia" w:ascii="宋体" w:hAnsi="宋体" w:eastAsia="宋体"/>
                <w:b w:val="0"/>
                <w:color w:val="auto"/>
                <w:sz w:val="24"/>
                <w:highlight w:val="none"/>
                <w:u w:val="none"/>
                <w:lang w:eastAsia="zh-CN"/>
              </w:rPr>
              <w:t>；</w:t>
            </w:r>
          </w:p>
        </w:tc>
      </w:tr>
      <w:tr w14:paraId="5F7A6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4BCAC121">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rPr>
              <w:t>2</w:t>
            </w:r>
            <w:r>
              <w:rPr>
                <w:rFonts w:hint="eastAsia" w:ascii="宋体" w:hAnsi="宋体" w:eastAsia="宋体"/>
                <w:bCs/>
                <w:color w:val="auto"/>
                <w:kern w:val="2"/>
                <w:highlight w:val="none"/>
                <w:lang w:val="en-US" w:eastAsia="zh-CN"/>
              </w:rPr>
              <w:t>3</w:t>
            </w:r>
            <w:r>
              <w:rPr>
                <w:rFonts w:ascii="宋体" w:hAnsi="宋体" w:eastAsia="宋体"/>
                <w:bCs/>
                <w:color w:val="auto"/>
                <w:kern w:val="2"/>
                <w:highlight w:val="none"/>
              </w:rPr>
              <w:t>.1</w:t>
            </w:r>
          </w:p>
        </w:tc>
        <w:tc>
          <w:tcPr>
            <w:tcW w:w="2227" w:type="dxa"/>
            <w:vAlign w:val="center"/>
          </w:tcPr>
          <w:p w14:paraId="39F6AA52">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成交通知书发出的形式</w:t>
            </w:r>
          </w:p>
        </w:tc>
        <w:tc>
          <w:tcPr>
            <w:tcW w:w="6273" w:type="dxa"/>
            <w:vAlign w:val="center"/>
          </w:tcPr>
          <w:p w14:paraId="03C4F9F4">
            <w:pPr>
              <w:pStyle w:val="40"/>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eastAsia="zh-CN"/>
              </w:rPr>
              <w:t>☑</w:t>
            </w:r>
            <w:r>
              <w:rPr>
                <w:rFonts w:hint="eastAsia" w:ascii="宋体" w:hAnsi="宋体" w:eastAsia="宋体"/>
                <w:b w:val="0"/>
                <w:color w:val="auto"/>
                <w:sz w:val="24"/>
                <w:highlight w:val="none"/>
              </w:rPr>
              <w:t xml:space="preserve">书面 </w:t>
            </w:r>
            <w:r>
              <w:rPr>
                <w:rFonts w:ascii="宋体" w:hAnsi="宋体" w:eastAsia="宋体"/>
                <w:b w:val="0"/>
                <w:color w:val="auto"/>
                <w:sz w:val="24"/>
                <w:highlight w:val="none"/>
              </w:rPr>
              <w:t xml:space="preserve">    </w:t>
            </w:r>
            <w:r>
              <w:rPr>
                <w:rFonts w:hint="eastAsia" w:ascii="宋体" w:hAnsi="宋体" w:eastAsia="宋体"/>
                <w:b w:val="0"/>
                <w:bCs w:val="0"/>
                <w:color w:val="auto"/>
                <w:sz w:val="24"/>
                <w:szCs w:val="24"/>
                <w:highlight w:val="none"/>
              </w:rPr>
              <w:sym w:font="Wingdings" w:char="00A8"/>
            </w:r>
            <w:r>
              <w:rPr>
                <w:rFonts w:hint="eastAsia" w:ascii="宋体" w:hAnsi="宋体" w:eastAsia="宋体"/>
                <w:b w:val="0"/>
                <w:color w:val="auto"/>
                <w:sz w:val="24"/>
                <w:highlight w:val="none"/>
              </w:rPr>
              <w:t>数据电文</w:t>
            </w:r>
          </w:p>
        </w:tc>
      </w:tr>
      <w:tr w14:paraId="50BE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16F04BD2">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24</w:t>
            </w:r>
            <w:r>
              <w:rPr>
                <w:rFonts w:ascii="宋体" w:hAnsi="宋体" w:eastAsia="宋体"/>
                <w:bCs/>
                <w:color w:val="auto"/>
                <w:kern w:val="2"/>
                <w:highlight w:val="none"/>
              </w:rPr>
              <w:t>.1</w:t>
            </w:r>
          </w:p>
        </w:tc>
        <w:tc>
          <w:tcPr>
            <w:tcW w:w="2227" w:type="dxa"/>
            <w:vAlign w:val="center"/>
          </w:tcPr>
          <w:p w14:paraId="7CC346C4">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告知磋商结果的形式</w:t>
            </w:r>
          </w:p>
        </w:tc>
        <w:tc>
          <w:tcPr>
            <w:tcW w:w="6273" w:type="dxa"/>
            <w:vAlign w:val="center"/>
          </w:tcPr>
          <w:p w14:paraId="4F4E4462">
            <w:pPr>
              <w:pStyle w:val="40"/>
              <w:widowControl w:val="0"/>
              <w:spacing w:before="0" w:beforeAutospacing="0" w:after="0" w:afterAutospacing="0" w:line="360" w:lineRule="auto"/>
              <w:jc w:val="both"/>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sym w:font="Wingdings" w:char="00A8"/>
            </w:r>
            <w:r>
              <w:rPr>
                <w:rFonts w:hint="eastAsia" w:ascii="宋体" w:hAnsi="宋体" w:eastAsia="宋体"/>
                <w:b w:val="0"/>
                <w:bCs w:val="0"/>
                <w:color w:val="auto"/>
                <w:sz w:val="24"/>
                <w:szCs w:val="24"/>
                <w:highlight w:val="none"/>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ascii="宋体" w:hAnsi="宋体" w:eastAsia="宋体"/>
                <w:b w:val="0"/>
                <w:bCs w:val="0"/>
                <w:color w:val="auto"/>
                <w:sz w:val="24"/>
                <w:szCs w:val="24"/>
                <w:highlight w:val="none"/>
              </w:rPr>
              <w:t>系统查看</w:t>
            </w:r>
          </w:p>
          <w:p w14:paraId="757C62F5">
            <w:pPr>
              <w:pStyle w:val="40"/>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eastAsia="zh-CN"/>
              </w:rPr>
              <w:t>☑</w:t>
            </w:r>
            <w:r>
              <w:rPr>
                <w:rFonts w:hint="eastAsia" w:ascii="宋体" w:hAnsi="宋体" w:eastAsia="宋体"/>
                <w:b w:val="0"/>
                <w:color w:val="auto"/>
                <w:sz w:val="24"/>
                <w:highlight w:val="none"/>
                <w:lang w:val="en-US" w:eastAsia="zh-CN"/>
              </w:rPr>
              <w:t>谈判现场告知</w:t>
            </w:r>
            <w:r>
              <w:rPr>
                <w:rFonts w:hint="eastAsia" w:ascii="宋体" w:hAnsi="宋体" w:eastAsia="宋体"/>
                <w:b w:val="0"/>
                <w:color w:val="auto"/>
                <w:sz w:val="24"/>
                <w:highlight w:val="none"/>
                <w:lang w:eastAsia="zh-CN"/>
              </w:rPr>
              <w:t>，</w:t>
            </w:r>
            <w:r>
              <w:rPr>
                <w:rFonts w:hint="eastAsia" w:ascii="宋体" w:hAnsi="宋体" w:eastAsia="宋体"/>
                <w:b w:val="0"/>
                <w:color w:val="auto"/>
                <w:sz w:val="24"/>
                <w:highlight w:val="none"/>
                <w:lang w:val="en-US" w:eastAsia="zh-CN"/>
              </w:rPr>
              <w:t>网上公示</w:t>
            </w:r>
          </w:p>
        </w:tc>
      </w:tr>
      <w:tr w14:paraId="4D91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5DDAFEFB">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25</w:t>
            </w:r>
            <w:r>
              <w:rPr>
                <w:rFonts w:ascii="宋体" w:hAnsi="宋体" w:eastAsia="宋体"/>
                <w:bCs/>
                <w:color w:val="auto"/>
                <w:kern w:val="2"/>
                <w:highlight w:val="none"/>
              </w:rPr>
              <w:t>.1</w:t>
            </w:r>
          </w:p>
        </w:tc>
        <w:tc>
          <w:tcPr>
            <w:tcW w:w="2227" w:type="dxa"/>
            <w:vAlign w:val="center"/>
          </w:tcPr>
          <w:p w14:paraId="52B44E3B">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履约保证金</w:t>
            </w:r>
          </w:p>
        </w:tc>
        <w:tc>
          <w:tcPr>
            <w:tcW w:w="6273" w:type="dxa"/>
            <w:vAlign w:val="top"/>
          </w:tcPr>
          <w:p w14:paraId="7B8A77F9">
            <w:pPr>
              <w:spacing w:line="360" w:lineRule="auto"/>
              <w:rPr>
                <w:rFonts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（1）金额：</w:t>
            </w:r>
          </w:p>
          <w:p w14:paraId="1973B60D">
            <w:pPr>
              <w:spacing w:line="360" w:lineRule="auto"/>
              <w:rPr>
                <w:rFonts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免收</w:t>
            </w:r>
          </w:p>
          <w:p w14:paraId="5FF4C0D4">
            <w:pPr>
              <w:spacing w:line="360" w:lineRule="auto"/>
              <w:rPr>
                <w:rFonts w:ascii="宋体" w:hAnsi="宋体" w:eastAsia="宋体"/>
                <w:bCs/>
                <w:color w:val="auto"/>
                <w:kern w:val="0"/>
                <w:sz w:val="24"/>
                <w:szCs w:val="28"/>
                <w:highlight w:val="none"/>
              </w:rPr>
            </w:pPr>
            <w:r>
              <w:rPr>
                <w:rFonts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rPr>
              <w:t>合同价的</w:t>
            </w:r>
            <w:r>
              <w:rPr>
                <w:rFonts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u w:val="single"/>
                <w:lang w:val="en-US" w:eastAsia="zh-CN"/>
              </w:rPr>
              <w:t>/</w:t>
            </w:r>
            <w:r>
              <w:rPr>
                <w:rFonts w:ascii="宋体" w:hAnsi="宋体" w:eastAsia="宋体"/>
                <w:bCs/>
                <w:color w:val="auto"/>
                <w:kern w:val="0"/>
                <w:sz w:val="24"/>
                <w:szCs w:val="28"/>
                <w:highlight w:val="none"/>
                <w:u w:val="single"/>
              </w:rPr>
              <w:t xml:space="preserve">  </w:t>
            </w:r>
            <w:r>
              <w:rPr>
                <w:rFonts w:ascii="宋体" w:hAnsi="宋体" w:eastAsia="宋体"/>
                <w:bCs/>
                <w:color w:val="auto"/>
                <w:kern w:val="0"/>
                <w:sz w:val="24"/>
                <w:szCs w:val="28"/>
                <w:highlight w:val="none"/>
              </w:rPr>
              <w:t>%</w:t>
            </w:r>
          </w:p>
          <w:p w14:paraId="2CE389F6">
            <w:pPr>
              <w:spacing w:line="360" w:lineRule="auto"/>
              <w:rPr>
                <w:rFonts w:ascii="宋体" w:hAnsi="宋体" w:eastAsia="宋体"/>
                <w:bCs/>
                <w:color w:val="auto"/>
                <w:kern w:val="0"/>
                <w:sz w:val="24"/>
                <w:szCs w:val="28"/>
                <w:highlight w:val="none"/>
              </w:rPr>
            </w:pPr>
            <w:r>
              <w:rPr>
                <w:rFonts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rPr>
              <w:t>定额收取：人民币</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u w:val="single"/>
                <w:lang w:val="en-US" w:eastAsia="zh-CN"/>
              </w:rPr>
              <w:t>/</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元</w:t>
            </w:r>
          </w:p>
          <w:p w14:paraId="758D982B">
            <w:pPr>
              <w:spacing w:line="360" w:lineRule="auto"/>
              <w:rPr>
                <w:rFonts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（2）支付方式：</w:t>
            </w:r>
          </w:p>
          <w:p w14:paraId="2C17A02D">
            <w:pPr>
              <w:spacing w:line="360" w:lineRule="auto"/>
              <w:rPr>
                <w:rFonts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转账/电汇</w:t>
            </w:r>
            <w:r>
              <w:rPr>
                <w:rFonts w:hint="eastAsia" w:ascii="宋体" w:hAnsi="宋体" w:eastAsia="宋体"/>
                <w:bCs/>
                <w:color w:val="auto"/>
                <w:kern w:val="0"/>
                <w:sz w:val="24"/>
                <w:szCs w:val="28"/>
                <w:highlight w:val="none"/>
              </w:rPr>
              <w:t xml:space="preserve"> </w:t>
            </w: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 xml:space="preserve">支票 </w:t>
            </w: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汇票</w:t>
            </w:r>
            <w:r>
              <w:rPr>
                <w:rFonts w:hint="eastAsia" w:ascii="宋体" w:hAnsi="宋体" w:eastAsia="宋体"/>
                <w:bCs/>
                <w:color w:val="auto"/>
                <w:kern w:val="0"/>
                <w:sz w:val="24"/>
                <w:szCs w:val="28"/>
                <w:highlight w:val="none"/>
              </w:rPr>
              <w:t xml:space="preserve"> </w:t>
            </w:r>
            <w:r>
              <w:rPr>
                <w:rFonts w:hint="eastAsia" w:ascii="宋体" w:hAnsi="宋体" w:eastAsia="宋体"/>
                <w:bCs/>
                <w:color w:val="auto"/>
                <w:kern w:val="0"/>
                <w:sz w:val="24"/>
                <w:szCs w:val="28"/>
                <w:highlight w:val="none"/>
              </w:rPr>
              <w:sym w:font="Wingdings" w:char="00A8"/>
            </w:r>
            <w:r>
              <w:rPr>
                <w:rFonts w:hint="eastAsia" w:ascii="宋体" w:hAnsi="宋体" w:eastAsia="宋体"/>
                <w:bCs/>
                <w:color w:val="auto"/>
                <w:kern w:val="0"/>
                <w:sz w:val="24"/>
                <w:szCs w:val="28"/>
                <w:highlight w:val="none"/>
              </w:rPr>
              <w:t xml:space="preserve">本票 </w:t>
            </w: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保</w:t>
            </w:r>
            <w:r>
              <w:rPr>
                <w:rFonts w:hint="eastAsia" w:ascii="宋体" w:hAnsi="宋体" w:eastAsia="宋体"/>
                <w:bCs/>
                <w:color w:val="auto"/>
                <w:kern w:val="0"/>
                <w:sz w:val="24"/>
                <w:szCs w:val="28"/>
                <w:highlight w:val="none"/>
              </w:rPr>
              <w:t xml:space="preserve">险 </w:t>
            </w:r>
            <w:r>
              <w:rPr>
                <w:rFonts w:hint="eastAsia" w:ascii="宋体" w:hAnsi="宋体" w:eastAsia="宋体"/>
                <w:bCs/>
                <w:color w:val="auto"/>
                <w:kern w:val="0"/>
                <w:sz w:val="24"/>
                <w:szCs w:val="28"/>
                <w:highlight w:val="none"/>
              </w:rPr>
              <w:sym w:font="Wingdings" w:char="00A8"/>
            </w:r>
            <w:r>
              <w:rPr>
                <w:rFonts w:hint="eastAsia" w:ascii="宋体" w:hAnsi="宋体" w:eastAsia="宋体"/>
                <w:bCs/>
                <w:color w:val="auto"/>
                <w:kern w:val="0"/>
                <w:sz w:val="24"/>
                <w:szCs w:val="28"/>
                <w:highlight w:val="none"/>
              </w:rPr>
              <w:t>保</w:t>
            </w:r>
            <w:r>
              <w:rPr>
                <w:rFonts w:ascii="宋体" w:hAnsi="宋体" w:eastAsia="宋体"/>
                <w:bCs/>
                <w:color w:val="auto"/>
                <w:kern w:val="0"/>
                <w:sz w:val="24"/>
                <w:szCs w:val="28"/>
                <w:highlight w:val="none"/>
              </w:rPr>
              <w:t>函</w:t>
            </w:r>
          </w:p>
          <w:p w14:paraId="03D4F8D3">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14:paraId="77187BB8">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              </w:t>
            </w:r>
          </w:p>
          <w:p w14:paraId="63EAF337">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 xml:space="preserve">              </w:t>
            </w:r>
          </w:p>
          <w:p w14:paraId="29E75D64">
            <w:pPr>
              <w:spacing w:line="360" w:lineRule="auto"/>
              <w:rPr>
                <w:rFonts w:ascii="宋体" w:hAnsi="宋体" w:eastAsia="宋体"/>
                <w:b/>
                <w:bCs/>
                <w:color w:val="auto"/>
                <w:kern w:val="0"/>
                <w:sz w:val="24"/>
                <w:szCs w:val="24"/>
                <w:highlight w:val="none"/>
              </w:rPr>
            </w:pPr>
            <w:r>
              <w:rPr>
                <w:rFonts w:hint="eastAsia" w:ascii="宋体" w:hAnsi="宋体" w:eastAsia="宋体"/>
                <w:b/>
                <w:bCs/>
                <w:color w:val="auto"/>
                <w:kern w:val="0"/>
                <w:sz w:val="24"/>
                <w:szCs w:val="24"/>
                <w:highlight w:val="none"/>
              </w:rPr>
              <w:t>注意事项：</w:t>
            </w:r>
          </w:p>
          <w:p w14:paraId="55BB0D80">
            <w:pPr>
              <w:spacing w:line="360" w:lineRule="auto"/>
              <w:rPr>
                <w:rFonts w:ascii="宋体" w:hAnsi="宋体" w:eastAsia="宋体"/>
                <w:b/>
                <w:bCs/>
                <w:color w:val="auto"/>
                <w:kern w:val="0"/>
                <w:sz w:val="24"/>
                <w:szCs w:val="24"/>
                <w:highlight w:val="none"/>
              </w:rPr>
            </w:pPr>
            <w:r>
              <w:rPr>
                <w:rFonts w:hint="eastAsia" w:ascii="宋体" w:hAnsi="宋体" w:eastAsia="宋体"/>
                <w:b/>
                <w:bCs/>
                <w:color w:val="auto"/>
                <w:kern w:val="0"/>
                <w:sz w:val="24"/>
                <w:szCs w:val="24"/>
                <w:highlight w:val="none"/>
              </w:rPr>
              <w:t>（1）以上各类机构出具的以担保函、保证保险承担责任的方式均须满足无条件见索即付条件。</w:t>
            </w:r>
          </w:p>
          <w:p w14:paraId="2A2F1BF2">
            <w:pPr>
              <w:pStyle w:val="40"/>
              <w:widowControl w:val="0"/>
              <w:spacing w:before="0" w:beforeAutospacing="0" w:after="0" w:afterAutospacing="0" w:line="360" w:lineRule="auto"/>
              <w:jc w:val="both"/>
              <w:rPr>
                <w:rFonts w:ascii="宋体" w:hAnsi="宋体" w:eastAsia="宋体" w:cs="@仿宋_GB2312"/>
                <w:b/>
                <w:bCs/>
                <w:color w:val="auto"/>
                <w:kern w:val="0"/>
                <w:sz w:val="24"/>
                <w:szCs w:val="28"/>
                <w:highlight w:val="none"/>
                <w:lang w:val="en-US" w:eastAsia="zh-CN" w:bidi="ar-SA"/>
              </w:rPr>
            </w:pPr>
            <w:r>
              <w:rPr>
                <w:rFonts w:hint="eastAsia" w:ascii="宋体" w:hAnsi="宋体" w:eastAsia="宋体"/>
                <w:bCs w:val="0"/>
                <w:color w:val="auto"/>
                <w:sz w:val="24"/>
                <w:szCs w:val="24"/>
                <w:highlight w:val="none"/>
              </w:rPr>
              <w:t>（2）以担保函、保证保险形式缴纳履约保证金的，受益人和收取单位须为采购人。</w:t>
            </w:r>
          </w:p>
        </w:tc>
      </w:tr>
      <w:tr w14:paraId="30BE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0B8FD1BF">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26</w:t>
            </w:r>
            <w:r>
              <w:rPr>
                <w:rFonts w:ascii="宋体" w:hAnsi="宋体" w:eastAsia="宋体"/>
                <w:bCs/>
                <w:color w:val="auto"/>
                <w:kern w:val="2"/>
                <w:highlight w:val="none"/>
              </w:rPr>
              <w:t>.1</w:t>
            </w:r>
          </w:p>
        </w:tc>
        <w:tc>
          <w:tcPr>
            <w:tcW w:w="2227" w:type="dxa"/>
            <w:vAlign w:val="center"/>
          </w:tcPr>
          <w:p w14:paraId="44A589E4">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lang w:val="en-US" w:eastAsia="zh-CN"/>
              </w:rPr>
              <w:t>代理费用</w:t>
            </w:r>
          </w:p>
        </w:tc>
        <w:tc>
          <w:tcPr>
            <w:tcW w:w="6273" w:type="dxa"/>
            <w:vAlign w:val="center"/>
          </w:tcPr>
          <w:p w14:paraId="088165E5">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kern w:val="0"/>
                <w:sz w:val="24"/>
                <w:szCs w:val="28"/>
                <w:highlight w:val="none"/>
                <w:lang w:eastAsia="zh-CN"/>
              </w:rPr>
              <w:t>（</w:t>
            </w:r>
            <w:r>
              <w:rPr>
                <w:rFonts w:hint="eastAsia" w:ascii="宋体" w:hAnsi="宋体" w:eastAsia="宋体" w:cs="宋体"/>
                <w:bCs/>
                <w:color w:val="auto"/>
                <w:kern w:val="0"/>
                <w:sz w:val="24"/>
                <w:szCs w:val="28"/>
                <w:highlight w:val="none"/>
                <w:lang w:val="en-US" w:eastAsia="zh-CN"/>
              </w:rPr>
              <w:t>1</w:t>
            </w:r>
            <w:r>
              <w:rPr>
                <w:rFonts w:hint="eastAsia" w:ascii="宋体" w:hAnsi="宋体" w:eastAsia="宋体" w:cs="宋体"/>
                <w:bCs/>
                <w:color w:val="auto"/>
                <w:kern w:val="0"/>
                <w:sz w:val="24"/>
                <w:szCs w:val="28"/>
                <w:highlight w:val="none"/>
                <w:lang w:eastAsia="zh-CN"/>
              </w:rPr>
              <w:t>）</w:t>
            </w:r>
            <w:r>
              <w:rPr>
                <w:rFonts w:hint="eastAsia" w:ascii="宋体" w:hAnsi="宋体" w:eastAsia="宋体" w:cs="宋体"/>
                <w:bCs/>
                <w:color w:val="auto"/>
                <w:kern w:val="0"/>
                <w:sz w:val="24"/>
                <w:szCs w:val="28"/>
                <w:highlight w:val="none"/>
              </w:rPr>
              <w:t>收费对象</w:t>
            </w:r>
            <w:r>
              <w:rPr>
                <w:rFonts w:hint="eastAsia" w:ascii="宋体" w:hAnsi="宋体" w:eastAsia="宋体" w:cs="宋体"/>
                <w:color w:val="auto"/>
                <w:spacing w:val="-12"/>
                <w:sz w:val="24"/>
                <w:szCs w:val="24"/>
              </w:rPr>
              <w:t>：</w:t>
            </w:r>
            <w:r>
              <w:rPr>
                <w:rFonts w:hint="eastAsia" w:ascii="宋体" w:hAnsi="宋体" w:eastAsia="宋体" w:cs="宋体"/>
                <w:bCs/>
                <w:color w:val="auto"/>
                <w:kern w:val="0"/>
                <w:sz w:val="24"/>
                <w:szCs w:val="28"/>
                <w:highlight w:val="none"/>
              </w:rPr>
              <w:sym w:font="Wingdings" w:char="00A8"/>
            </w:r>
            <w:r>
              <w:rPr>
                <w:rFonts w:hint="eastAsia" w:ascii="宋体" w:hAnsi="宋体" w:eastAsia="宋体" w:cs="宋体"/>
                <w:color w:val="auto"/>
                <w:spacing w:val="14"/>
                <w:sz w:val="24"/>
                <w:szCs w:val="24"/>
              </w:rPr>
              <w:t>采购人</w:t>
            </w:r>
            <w:r>
              <w:rPr>
                <w:rFonts w:hint="eastAsia" w:ascii="宋体" w:hAnsi="宋体" w:eastAsia="宋体" w:cs="宋体"/>
                <w:color w:val="auto"/>
                <w:spacing w:val="14"/>
                <w:sz w:val="24"/>
                <w:szCs w:val="24"/>
                <w:lang w:val="en-US" w:eastAsia="zh-CN"/>
              </w:rPr>
              <w:t xml:space="preserve">   </w:t>
            </w:r>
            <w:r>
              <w:rPr>
                <w:rFonts w:hint="eastAsia" w:ascii="宋体" w:hAnsi="宋体" w:eastAsia="宋体" w:cs="宋体"/>
                <w:bCs/>
                <w:color w:val="auto"/>
                <w:kern w:val="0"/>
                <w:sz w:val="24"/>
                <w:szCs w:val="28"/>
                <w:highlight w:val="none"/>
              </w:rPr>
              <w:sym w:font="Wingdings" w:char="00FE"/>
            </w:r>
            <w:r>
              <w:rPr>
                <w:rFonts w:hint="eastAsia" w:ascii="宋体" w:hAnsi="宋体" w:eastAsia="宋体" w:cs="宋体"/>
                <w:bCs/>
                <w:color w:val="auto"/>
                <w:kern w:val="0"/>
                <w:sz w:val="24"/>
                <w:szCs w:val="28"/>
                <w:highlight w:val="none"/>
                <w:lang w:val="en-US" w:eastAsia="zh-CN"/>
              </w:rPr>
              <w:t>成交供应商</w:t>
            </w:r>
          </w:p>
          <w:p w14:paraId="3C97AA95">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cs="宋体"/>
                <w:bCs/>
                <w:color w:val="auto"/>
                <w:kern w:val="0"/>
                <w:sz w:val="24"/>
                <w:szCs w:val="28"/>
                <w:highlight w:val="none"/>
              </w:rPr>
            </w:pPr>
            <w:r>
              <w:rPr>
                <w:rFonts w:hint="eastAsia" w:ascii="宋体" w:hAnsi="宋体" w:eastAsia="宋体" w:cs="宋体"/>
                <w:bCs/>
                <w:color w:val="auto"/>
                <w:kern w:val="0"/>
                <w:sz w:val="24"/>
                <w:szCs w:val="28"/>
                <w:highlight w:val="none"/>
              </w:rPr>
              <w:t>（2）收取方式</w:t>
            </w:r>
            <w:r>
              <w:rPr>
                <w:rFonts w:hint="eastAsia" w:ascii="宋体" w:hAnsi="宋体" w:eastAsia="宋体" w:cs="宋体"/>
                <w:color w:val="auto"/>
                <w:sz w:val="24"/>
                <w:szCs w:val="24"/>
              </w:rPr>
              <w:t>：</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z w:val="24"/>
                <w:szCs w:val="24"/>
                <w:u w:val="single" w:color="auto"/>
                <w:lang w:val="en-US" w:eastAsia="zh-CN"/>
              </w:rPr>
              <w:t>转账</w:t>
            </w:r>
            <w:r>
              <w:rPr>
                <w:rFonts w:hint="eastAsia" w:ascii="宋体" w:hAnsi="宋体" w:eastAsia="宋体" w:cs="宋体"/>
                <w:color w:val="auto"/>
                <w:sz w:val="24"/>
                <w:szCs w:val="24"/>
                <w:u w:val="single" w:color="auto"/>
              </w:rPr>
              <w:t xml:space="preserve"> </w:t>
            </w:r>
          </w:p>
          <w:p w14:paraId="519B648A">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bCs w:val="0"/>
                <w:color w:val="auto"/>
                <w:kern w:val="0"/>
                <w:sz w:val="24"/>
                <w:szCs w:val="28"/>
                <w:highlight w:val="none"/>
              </w:rPr>
              <w:t>（3）</w:t>
            </w:r>
            <w:r>
              <w:rPr>
                <w:rFonts w:hint="eastAsia" w:ascii="宋体" w:hAnsi="宋体" w:eastAsia="宋体" w:cs="宋体"/>
                <w:b w:val="0"/>
                <w:bCs/>
                <w:color w:val="auto"/>
                <w:kern w:val="0"/>
                <w:sz w:val="24"/>
                <w:szCs w:val="28"/>
                <w:highlight w:val="none"/>
                <w:lang w:val="en-US" w:eastAsia="zh-CN" w:bidi="ar-SA"/>
              </w:rPr>
              <w:t>收费标准：</w:t>
            </w:r>
            <w:r>
              <w:rPr>
                <w:rFonts w:hint="eastAsia" w:ascii="宋体" w:hAnsi="宋体" w:eastAsia="宋体" w:cs="宋体"/>
                <w:color w:val="auto"/>
                <w:sz w:val="24"/>
                <w:szCs w:val="24"/>
                <w:u w:val="single" w:color="auto"/>
              </w:rPr>
              <w:t xml:space="preserve"> </w:t>
            </w:r>
            <w:r>
              <w:rPr>
                <w:rFonts w:hint="eastAsia" w:ascii="宋体" w:hAnsi="宋体" w:eastAsia="宋体" w:cs="宋体"/>
                <w:b w:val="0"/>
                <w:bCs w:val="0"/>
                <w:color w:val="auto"/>
                <w:sz w:val="24"/>
                <w:szCs w:val="24"/>
                <w:u w:val="single" w:color="auto"/>
                <w:lang w:val="en-US" w:eastAsia="zh-CN" w:bidi="ar-SA"/>
              </w:rPr>
              <w:t>参考《国家计委关于印发&lt;招标代理服务收费管理暂行办法&gt;的通知》(计价格【2002】1980号)执行，代理费：3000.00元。</w:t>
            </w:r>
          </w:p>
        </w:tc>
      </w:tr>
      <w:tr w14:paraId="7036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76347D80">
            <w:pPr>
              <w:pStyle w:val="41"/>
              <w:pBdr>
                <w:bottom w:val="none" w:color="auto" w:sz="0" w:space="0"/>
              </w:pBdr>
              <w:tabs>
                <w:tab w:val="clear" w:pos="4153"/>
                <w:tab w:val="clear" w:pos="8306"/>
              </w:tabs>
              <w:adjustRightInd/>
              <w:spacing w:line="360" w:lineRule="auto"/>
              <w:textAlignment w:val="auto"/>
              <w:rPr>
                <w:rFonts w:hint="eastAsia"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27.1</w:t>
            </w:r>
          </w:p>
        </w:tc>
        <w:tc>
          <w:tcPr>
            <w:tcW w:w="2227" w:type="dxa"/>
            <w:vAlign w:val="center"/>
          </w:tcPr>
          <w:p w14:paraId="357F2951">
            <w:pPr>
              <w:pStyle w:val="40"/>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签订合同和合同公告时间</w:t>
            </w:r>
          </w:p>
        </w:tc>
        <w:tc>
          <w:tcPr>
            <w:tcW w:w="6273" w:type="dxa"/>
            <w:vAlign w:val="center"/>
          </w:tcPr>
          <w:p w14:paraId="222C270F">
            <w:pPr>
              <w:pStyle w:val="40"/>
              <w:widowControl w:val="0"/>
              <w:spacing w:before="0" w:beforeAutospacing="0" w:after="0" w:afterAutospacing="0" w:line="360" w:lineRule="auto"/>
              <w:jc w:val="both"/>
              <w:rPr>
                <w:rFonts w:hint="eastAsia" w:ascii="宋体" w:hAnsi="宋体" w:eastAsia="宋体" w:cs="宋体"/>
                <w:b w:val="0"/>
                <w:bCs w:val="0"/>
                <w:color w:val="auto"/>
                <w:kern w:val="2"/>
                <w:sz w:val="24"/>
                <w:szCs w:val="24"/>
                <w:u w:val="single" w:color="auto"/>
                <w:lang w:val="en-US" w:eastAsia="zh-CN" w:bidi="ar-SA"/>
              </w:rPr>
            </w:pPr>
            <w:r>
              <w:rPr>
                <w:rFonts w:hint="eastAsia" w:ascii="宋体" w:hAnsi="宋体" w:eastAsia="宋体" w:cs="宋体"/>
                <w:b w:val="0"/>
                <w:bCs w:val="0"/>
                <w:color w:val="auto"/>
                <w:kern w:val="2"/>
                <w:sz w:val="24"/>
                <w:szCs w:val="24"/>
                <w:u w:val="single" w:color="auto"/>
                <w:lang w:val="en-US" w:eastAsia="zh-CN" w:bidi="ar-SA"/>
              </w:rPr>
              <w:t>（1）采购人与成交供应商应当自发出成交通知书之日起7个工作日内签订合同，采购合同签订之日起2个工作日内完成政府采购合同公开。</w:t>
            </w:r>
          </w:p>
          <w:p w14:paraId="438D7EAE">
            <w:pPr>
              <w:pStyle w:val="40"/>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cs="宋体"/>
                <w:b w:val="0"/>
                <w:bCs w:val="0"/>
                <w:color w:val="auto"/>
                <w:kern w:val="2"/>
                <w:sz w:val="24"/>
                <w:szCs w:val="24"/>
                <w:u w:val="single" w:color="auto"/>
                <w:lang w:val="en-US" w:eastAsia="zh-CN" w:bidi="ar-SA"/>
              </w:rPr>
              <w:t>（2）采购人与成交供应商不得擅自变更合同，依照政府采购法确需变更政府采购合同内容的。</w:t>
            </w:r>
          </w:p>
        </w:tc>
      </w:tr>
      <w:tr w14:paraId="679B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05CD9514">
            <w:pPr>
              <w:pStyle w:val="41"/>
              <w:pBdr>
                <w:bottom w:val="none" w:color="auto" w:sz="0" w:space="0"/>
              </w:pBdr>
              <w:tabs>
                <w:tab w:val="clear" w:pos="4153"/>
                <w:tab w:val="clear" w:pos="8306"/>
              </w:tabs>
              <w:adjustRightInd/>
              <w:spacing w:line="360" w:lineRule="auto"/>
              <w:textAlignment w:val="auto"/>
              <w:rPr>
                <w:rFonts w:hint="eastAsia" w:ascii="宋体" w:hAnsi="宋体" w:eastAsia="宋体"/>
                <w:bCs/>
                <w:color w:val="auto"/>
                <w:kern w:val="2"/>
                <w:highlight w:val="none"/>
                <w:lang w:eastAsia="zh-CN"/>
              </w:rPr>
            </w:pPr>
            <w:r>
              <w:rPr>
                <w:rFonts w:hint="eastAsia" w:ascii="宋体" w:hAnsi="宋体" w:eastAsia="宋体"/>
                <w:bCs/>
                <w:color w:val="auto"/>
                <w:kern w:val="2"/>
                <w:highlight w:val="none"/>
                <w:lang w:val="en-US" w:eastAsia="zh-CN"/>
              </w:rPr>
              <w:t>29.3</w:t>
            </w:r>
          </w:p>
        </w:tc>
        <w:tc>
          <w:tcPr>
            <w:tcW w:w="2227" w:type="dxa"/>
            <w:vAlign w:val="center"/>
          </w:tcPr>
          <w:p w14:paraId="1C385EF5">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质疑函递交方式、接收部门、联系电话和通讯地址</w:t>
            </w:r>
          </w:p>
        </w:tc>
        <w:tc>
          <w:tcPr>
            <w:tcW w:w="6273" w:type="dxa"/>
            <w:vAlign w:val="center"/>
          </w:tcPr>
          <w:p w14:paraId="20D8544A">
            <w:pPr>
              <w:pStyle w:val="40"/>
              <w:widowControl w:val="0"/>
              <w:spacing w:before="0" w:beforeAutospacing="0" w:after="0" w:afterAutospacing="0" w:line="360" w:lineRule="auto"/>
              <w:jc w:val="both"/>
              <w:rPr>
                <w:rFonts w:hint="eastAsia" w:ascii="宋体" w:hAnsi="宋体" w:eastAsia="宋体" w:cs="宋体"/>
                <w:b w:val="0"/>
                <w:color w:val="auto"/>
                <w:sz w:val="24"/>
                <w:highlight w:val="none"/>
              </w:rPr>
            </w:pPr>
            <w:r>
              <w:rPr>
                <w:rFonts w:hint="eastAsia" w:ascii="宋体" w:hAnsi="宋体" w:eastAsia="宋体" w:cs="宋体"/>
                <w:b w:val="0"/>
                <w:color w:val="auto"/>
                <w:sz w:val="24"/>
                <w:highlight w:val="none"/>
              </w:rPr>
              <w:t>递交方式：</w:t>
            </w:r>
            <w:r>
              <w:rPr>
                <w:rFonts w:hint="eastAsia" w:ascii="宋体" w:hAnsi="宋体" w:eastAsia="宋体" w:cs="宋体"/>
                <w:bCs/>
                <w:color w:val="auto"/>
                <w:kern w:val="0"/>
                <w:sz w:val="24"/>
                <w:szCs w:val="28"/>
                <w:highlight w:val="none"/>
                <w:u w:val="single"/>
              </w:rPr>
              <w:t xml:space="preserve"> </w:t>
            </w:r>
            <w:r>
              <w:rPr>
                <w:rFonts w:hint="eastAsia" w:ascii="宋体" w:hAnsi="宋体" w:eastAsia="宋体" w:cs="宋体"/>
                <w:b w:val="0"/>
                <w:bCs/>
                <w:color w:val="auto"/>
                <w:kern w:val="0"/>
                <w:sz w:val="24"/>
                <w:szCs w:val="28"/>
                <w:highlight w:val="none"/>
                <w:u w:val="single"/>
              </w:rPr>
              <w:t>如供应商对</w:t>
            </w:r>
            <w:r>
              <w:rPr>
                <w:rFonts w:hint="eastAsia" w:ascii="宋体" w:hAnsi="宋体" w:eastAsia="宋体" w:cs="宋体"/>
                <w:b w:val="0"/>
                <w:bCs/>
                <w:color w:val="auto"/>
                <w:kern w:val="0"/>
                <w:sz w:val="24"/>
                <w:szCs w:val="28"/>
                <w:highlight w:val="none"/>
                <w:u w:val="single"/>
                <w:lang w:val="en-US" w:eastAsia="zh-CN"/>
              </w:rPr>
              <w:t>谈判</w:t>
            </w:r>
            <w:r>
              <w:rPr>
                <w:rFonts w:hint="eastAsia" w:ascii="宋体" w:hAnsi="宋体" w:eastAsia="宋体" w:cs="宋体"/>
                <w:b w:val="0"/>
                <w:bCs/>
                <w:color w:val="auto"/>
                <w:kern w:val="0"/>
                <w:sz w:val="24"/>
                <w:szCs w:val="28"/>
                <w:highlight w:val="none"/>
                <w:u w:val="single"/>
              </w:rPr>
              <w:t>文件有质疑，依据中华人民共和国财政部令第94号《政府采购质疑和投诉办法》规定提出质疑；</w:t>
            </w:r>
            <w:r>
              <w:rPr>
                <w:rFonts w:hint="eastAsia" w:ascii="宋体" w:hAnsi="宋体" w:eastAsia="宋体" w:cs="宋体"/>
                <w:bCs/>
                <w:color w:val="auto"/>
                <w:kern w:val="0"/>
                <w:sz w:val="24"/>
                <w:szCs w:val="28"/>
                <w:highlight w:val="none"/>
                <w:u w:val="single"/>
              </w:rPr>
              <w:t xml:space="preserve"> </w:t>
            </w:r>
          </w:p>
          <w:p w14:paraId="514BED91">
            <w:pPr>
              <w:pStyle w:val="40"/>
              <w:widowControl w:val="0"/>
              <w:spacing w:before="0" w:beforeAutospacing="0" w:after="0" w:afterAutospacing="0" w:line="360" w:lineRule="auto"/>
              <w:jc w:val="both"/>
              <w:rPr>
                <w:rFonts w:hint="eastAsia" w:ascii="宋体" w:hAnsi="宋体" w:eastAsia="宋体" w:cs="宋体"/>
                <w:b w:val="0"/>
                <w:bCs w:val="0"/>
                <w:color w:val="auto"/>
                <w:sz w:val="24"/>
                <w:szCs w:val="18"/>
                <w:highlight w:val="none"/>
                <w:lang w:val="en-US" w:eastAsia="zh-CN"/>
              </w:rPr>
            </w:pPr>
            <w:r>
              <w:rPr>
                <w:rFonts w:hint="eastAsia" w:ascii="宋体" w:hAnsi="宋体" w:eastAsia="宋体" w:cs="宋体"/>
                <w:b w:val="0"/>
                <w:color w:val="auto"/>
                <w:sz w:val="24"/>
                <w:highlight w:val="none"/>
              </w:rPr>
              <w:t>接收部门：</w:t>
            </w:r>
            <w:r>
              <w:rPr>
                <w:rFonts w:hint="eastAsia" w:ascii="宋体" w:hAnsi="宋体" w:eastAsia="宋体" w:cs="宋体"/>
                <w:b w:val="0"/>
                <w:bCs w:val="0"/>
                <w:color w:val="auto"/>
                <w:kern w:val="0"/>
                <w:sz w:val="24"/>
                <w:szCs w:val="28"/>
                <w:highlight w:val="none"/>
                <w:u w:val="single"/>
                <w:lang w:val="en-US" w:eastAsia="zh-CN"/>
              </w:rPr>
              <w:t>定远县总医院、安徽三辰工程项目管理有限公司</w:t>
            </w:r>
          </w:p>
          <w:p w14:paraId="2413CB80">
            <w:pPr>
              <w:pStyle w:val="40"/>
              <w:widowControl w:val="0"/>
              <w:spacing w:before="0" w:beforeAutospacing="0" w:after="0" w:afterAutospacing="0" w:line="360" w:lineRule="auto"/>
              <w:jc w:val="both"/>
              <w:rPr>
                <w:rFonts w:hint="eastAsia" w:ascii="宋体" w:hAnsi="宋体" w:eastAsia="宋体" w:cs="宋体"/>
                <w:b w:val="0"/>
                <w:bCs/>
                <w:color w:val="auto"/>
                <w:sz w:val="24"/>
                <w:szCs w:val="24"/>
                <w:highlight w:val="none"/>
                <w:lang w:val="en-US"/>
              </w:rPr>
            </w:pPr>
            <w:r>
              <w:rPr>
                <w:rFonts w:hint="eastAsia" w:ascii="宋体" w:hAnsi="宋体" w:eastAsia="宋体" w:cs="宋体"/>
                <w:b w:val="0"/>
                <w:bCs/>
                <w:color w:val="auto"/>
                <w:sz w:val="24"/>
                <w:szCs w:val="24"/>
                <w:highlight w:val="none"/>
              </w:rPr>
              <w:t>联系电话：</w:t>
            </w:r>
            <w:r>
              <w:rPr>
                <w:rFonts w:hint="eastAsia" w:ascii="宋体" w:hAnsi="宋体" w:eastAsia="宋体" w:cs="宋体"/>
                <w:b w:val="0"/>
                <w:bCs/>
                <w:color w:val="auto"/>
                <w:sz w:val="24"/>
                <w:szCs w:val="24"/>
                <w:highlight w:val="none"/>
                <w:u w:val="single"/>
                <w:lang w:val="en-US" w:eastAsia="zh-CN"/>
              </w:rPr>
              <w:t xml:space="preserve"> 13855031948 、13855066936</w:t>
            </w:r>
          </w:p>
          <w:p w14:paraId="55122745">
            <w:pPr>
              <w:pStyle w:val="40"/>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color w:val="auto"/>
                <w:sz w:val="24"/>
                <w:highlight w:val="none"/>
              </w:rPr>
              <w:t>通讯地址：</w:t>
            </w:r>
            <w:r>
              <w:rPr>
                <w:rFonts w:hint="eastAsia" w:ascii="宋体" w:hAnsi="宋体" w:eastAsia="宋体" w:cs="宋体"/>
                <w:b w:val="0"/>
                <w:bCs w:val="0"/>
                <w:color w:val="auto"/>
                <w:kern w:val="0"/>
                <w:sz w:val="24"/>
                <w:szCs w:val="28"/>
                <w:highlight w:val="none"/>
                <w:u w:val="single"/>
                <w:lang w:val="en-US" w:eastAsia="zh-CN"/>
              </w:rPr>
              <w:t>定远县总医院</w:t>
            </w:r>
            <w:r>
              <w:rPr>
                <w:rFonts w:hint="eastAsia" w:ascii="宋体" w:hAnsi="宋体" w:eastAsia="宋体" w:cs="宋体"/>
                <w:b w:val="0"/>
                <w:color w:val="auto"/>
                <w:sz w:val="24"/>
                <w:highlight w:val="none"/>
                <w:u w:val="single"/>
                <w:lang w:val="en-US" w:eastAsia="zh-CN"/>
              </w:rPr>
              <w:t>、定远县定城镇长征西路</w:t>
            </w:r>
          </w:p>
        </w:tc>
      </w:tr>
      <w:tr w14:paraId="711E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99" w:type="dxa"/>
            <w:vAlign w:val="center"/>
          </w:tcPr>
          <w:p w14:paraId="056CCF51">
            <w:pPr>
              <w:pStyle w:val="41"/>
              <w:pBdr>
                <w:bottom w:val="none" w:color="auto" w:sz="0" w:space="0"/>
              </w:pBdr>
              <w:tabs>
                <w:tab w:val="clear" w:pos="4153"/>
                <w:tab w:val="clear" w:pos="8306"/>
              </w:tabs>
              <w:adjustRightInd/>
              <w:spacing w:line="36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lang w:val="en-US" w:eastAsia="zh-CN"/>
              </w:rPr>
              <w:t>30</w:t>
            </w:r>
          </w:p>
        </w:tc>
        <w:tc>
          <w:tcPr>
            <w:tcW w:w="2227" w:type="dxa"/>
            <w:vAlign w:val="center"/>
          </w:tcPr>
          <w:p w14:paraId="430E1278">
            <w:pPr>
              <w:pStyle w:val="40"/>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其他内容</w:t>
            </w:r>
          </w:p>
        </w:tc>
        <w:tc>
          <w:tcPr>
            <w:tcW w:w="6273" w:type="dxa"/>
            <w:vAlign w:val="center"/>
          </w:tcPr>
          <w:p w14:paraId="3270A5D5">
            <w:pPr>
              <w:spacing w:line="360" w:lineRule="auto"/>
              <w:rPr>
                <w:rFonts w:hint="default"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14:paraId="11CCEDF6">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文件的各个组成文件应互为解释，互为说明；</w:t>
            </w:r>
          </w:p>
          <w:p w14:paraId="48C2BC3A">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7D200390">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2DAB7732">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磋商</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磋商及响应文件提交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竞争性磋商</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磋商邀请、供应商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5CD84C35">
            <w:pPr>
              <w:spacing w:line="360" w:lineRule="auto"/>
              <w:rPr>
                <w:rFonts w:hint="eastAsia" w:cs="@仿宋_GB2312" w:asciiTheme="minorEastAsia" w:hAnsiTheme="minorEastAsia" w:eastAsiaTheme="minorEastAsia"/>
                <w:bCs/>
                <w:color w:val="auto"/>
                <w:kern w:val="2"/>
                <w:sz w:val="24"/>
                <w:szCs w:val="24"/>
                <w:highlight w:val="none"/>
                <w:lang w:val="en-US" w:eastAsia="zh-CN" w:bidi="ar-SA"/>
              </w:rPr>
            </w:pPr>
            <w:r>
              <w:rPr>
                <w:rFonts w:hint="eastAsia" w:asciiTheme="minorEastAsia" w:hAnsiTheme="minorEastAsia" w:eastAsiaTheme="minorEastAsia"/>
                <w:bCs/>
                <w:color w:val="auto"/>
                <w:sz w:val="24"/>
                <w:szCs w:val="24"/>
                <w:highlight w:val="none"/>
              </w:rPr>
              <w:t>（5）</w:t>
            </w:r>
            <w:r>
              <w:rPr>
                <w:rFonts w:asciiTheme="minorEastAsia" w:hAnsiTheme="minorEastAsia" w:eastAsiaTheme="minorEastAsia"/>
                <w:bCs/>
                <w:color w:val="auto"/>
                <w:sz w:val="24"/>
                <w:szCs w:val="24"/>
                <w:highlight w:val="none"/>
              </w:rPr>
              <w:t>按本款前述规定仍不能形成结论的，由</w:t>
            </w:r>
            <w:r>
              <w:rPr>
                <w:rFonts w:hint="eastAsia" w:asciiTheme="minorEastAsia" w:hAnsiTheme="minorEastAsia" w:eastAsiaTheme="minorEastAsia"/>
                <w:bCs/>
                <w:color w:val="auto"/>
                <w:sz w:val="24"/>
                <w:szCs w:val="24"/>
                <w:highlight w:val="none"/>
              </w:rPr>
              <w:t>采购</w:t>
            </w:r>
            <w:r>
              <w:rPr>
                <w:rFonts w:asciiTheme="minorEastAsia" w:hAnsiTheme="minorEastAsia" w:eastAsiaTheme="minorEastAsia"/>
                <w:bCs/>
                <w:color w:val="auto"/>
                <w:sz w:val="24"/>
                <w:szCs w:val="24"/>
                <w:highlight w:val="none"/>
              </w:rPr>
              <w:t>人负责解释。</w:t>
            </w:r>
          </w:p>
        </w:tc>
      </w:tr>
    </w:tbl>
    <w:p w14:paraId="460904D9">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50" w:name="_Toc14293"/>
      <w:bookmarkStart w:id="51" w:name="_Toc27470"/>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50"/>
      <w:bookmarkEnd w:id="51"/>
    </w:p>
    <w:p w14:paraId="0E3E51D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14:paraId="0DCAFBE6">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.1采购人：是指依法开展政府采购活动的国家机关、事业单位、团体组织。</w:t>
      </w:r>
    </w:p>
    <w:p w14:paraId="05952EDA">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.2采购代理机构：是指集中采购机构或从事采购代理业务的社会中介机构。</w:t>
      </w:r>
    </w:p>
    <w:p w14:paraId="56777B4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.3政府采购监督管理部门：</w:t>
      </w:r>
      <w:r>
        <w:rPr>
          <w:rFonts w:hint="eastAsia" w:ascii="宋体" w:hAnsi="宋体" w:eastAsia="宋体"/>
          <w:color w:val="auto"/>
          <w:sz w:val="24"/>
          <w:highlight w:val="none"/>
        </w:rPr>
        <w:t>各级人民政府指定的有关部门依法履行与政府采购活动有关的监督管理职责</w:t>
      </w:r>
      <w:r>
        <w:rPr>
          <w:rFonts w:ascii="宋体" w:hAnsi="宋体" w:eastAsia="宋体"/>
          <w:color w:val="auto"/>
          <w:sz w:val="24"/>
          <w:highlight w:val="none"/>
        </w:rPr>
        <w:t>。</w:t>
      </w:r>
    </w:p>
    <w:p w14:paraId="28ED0CD0">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.4</w:t>
      </w:r>
      <w:r>
        <w:rPr>
          <w:rFonts w:hint="eastAsia" w:ascii="宋体" w:hAnsi="宋体" w:eastAsia="宋体"/>
          <w:color w:val="auto"/>
          <w:sz w:val="24"/>
          <w:highlight w:val="none"/>
        </w:rPr>
        <w:t>供应商</w:t>
      </w:r>
      <w:r>
        <w:rPr>
          <w:rFonts w:ascii="宋体" w:hAnsi="宋体" w:eastAsia="宋体"/>
          <w:color w:val="auto"/>
          <w:sz w:val="24"/>
          <w:highlight w:val="none"/>
        </w:rPr>
        <w:t>：是指向采购人提供货物、工程或者服务的法人、</w:t>
      </w:r>
      <w:r>
        <w:rPr>
          <w:rFonts w:hint="eastAsia" w:ascii="宋体" w:hAnsi="宋体" w:eastAsia="宋体"/>
          <w:color w:val="auto"/>
          <w:sz w:val="24"/>
          <w:highlight w:val="none"/>
          <w:lang w:val="en-US" w:eastAsia="zh-CN"/>
        </w:rPr>
        <w:t>其他</w:t>
      </w:r>
      <w:r>
        <w:rPr>
          <w:rFonts w:ascii="宋体" w:hAnsi="宋体" w:eastAsia="宋体"/>
          <w:color w:val="auto"/>
          <w:sz w:val="24"/>
          <w:highlight w:val="none"/>
        </w:rPr>
        <w:t>组织或者自然人。</w:t>
      </w:r>
      <w:r>
        <w:rPr>
          <w:rFonts w:hint="eastAsia" w:ascii="宋体" w:hAnsi="宋体" w:eastAsia="宋体"/>
          <w:color w:val="auto"/>
          <w:sz w:val="24"/>
          <w:highlight w:val="none"/>
        </w:rPr>
        <w:t>分支机构不得参加政府采购活动，但银行、保险、石油石化、电力、电信等特殊行业除外。</w:t>
      </w:r>
      <w:r>
        <w:rPr>
          <w:rFonts w:ascii="宋体" w:hAnsi="宋体" w:eastAsia="宋体"/>
          <w:color w:val="auto"/>
          <w:sz w:val="24"/>
          <w:highlight w:val="none"/>
        </w:rPr>
        <w:t>本项目的</w:t>
      </w:r>
      <w:r>
        <w:rPr>
          <w:rFonts w:hint="eastAsia" w:ascii="宋体" w:hAnsi="宋体" w:eastAsia="宋体"/>
          <w:color w:val="auto"/>
          <w:sz w:val="24"/>
          <w:highlight w:val="none"/>
        </w:rPr>
        <w:t>供应商</w:t>
      </w:r>
      <w:r>
        <w:rPr>
          <w:rFonts w:ascii="宋体" w:hAnsi="宋体" w:eastAsia="宋体"/>
          <w:color w:val="auto"/>
          <w:sz w:val="24"/>
          <w:highlight w:val="none"/>
        </w:rPr>
        <w:t>及其</w:t>
      </w:r>
      <w:r>
        <w:rPr>
          <w:rFonts w:hint="eastAsia" w:ascii="宋体" w:hAnsi="宋体" w:eastAsia="宋体"/>
          <w:color w:val="auto"/>
          <w:sz w:val="24"/>
          <w:highlight w:val="none"/>
        </w:rPr>
        <w:t>所</w:t>
      </w:r>
      <w:r>
        <w:rPr>
          <w:rFonts w:ascii="宋体" w:hAnsi="宋体" w:eastAsia="宋体"/>
          <w:color w:val="auto"/>
          <w:sz w:val="24"/>
          <w:highlight w:val="none"/>
        </w:rPr>
        <w:t>投货物须满足以下条件：</w:t>
      </w:r>
    </w:p>
    <w:p w14:paraId="43947823">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eastAsia="zh-CN"/>
        </w:rPr>
        <w:t>1.</w:t>
      </w:r>
      <w:r>
        <w:rPr>
          <w:rFonts w:ascii="宋体" w:hAnsi="宋体" w:eastAsia="宋体"/>
          <w:color w:val="auto"/>
          <w:sz w:val="24"/>
          <w:highlight w:val="none"/>
        </w:rPr>
        <w:t>4.</w:t>
      </w:r>
      <w:r>
        <w:rPr>
          <w:rFonts w:hint="eastAsia" w:ascii="宋体" w:hAnsi="宋体" w:eastAsia="宋体"/>
          <w:color w:val="auto"/>
          <w:sz w:val="24"/>
          <w:highlight w:val="none"/>
          <w:lang w:val="en-US" w:eastAsia="zh-CN"/>
        </w:rPr>
        <w:t>1</w:t>
      </w:r>
      <w:r>
        <w:rPr>
          <w:rFonts w:ascii="宋体" w:hAnsi="宋体" w:eastAsia="宋体"/>
          <w:color w:val="auto"/>
          <w:sz w:val="24"/>
          <w:highlight w:val="none"/>
        </w:rPr>
        <w:t>具备《中华人民共和国政府采购法》第二十二条关于供应商条件的规定，遵守本项目采购人本级和上级财政部门政府采购的有关规定。</w:t>
      </w:r>
    </w:p>
    <w:p w14:paraId="4641A812">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eastAsia="zh-CN"/>
        </w:rPr>
        <w:t>1.</w:t>
      </w:r>
      <w:r>
        <w:rPr>
          <w:rFonts w:ascii="宋体" w:hAnsi="宋体" w:eastAsia="宋体"/>
          <w:color w:val="auto"/>
          <w:sz w:val="24"/>
          <w:highlight w:val="none"/>
        </w:rPr>
        <w:t>4.</w:t>
      </w:r>
      <w:r>
        <w:rPr>
          <w:rFonts w:hint="eastAsia" w:ascii="宋体" w:hAnsi="宋体" w:eastAsia="宋体"/>
          <w:color w:val="auto"/>
          <w:sz w:val="24"/>
          <w:highlight w:val="none"/>
          <w:lang w:val="en-US" w:eastAsia="zh-CN"/>
        </w:rPr>
        <w:t>2</w:t>
      </w:r>
      <w:r>
        <w:rPr>
          <w:rFonts w:ascii="宋体" w:hAnsi="宋体" w:eastAsia="宋体"/>
          <w:color w:val="auto"/>
          <w:sz w:val="24"/>
          <w:highlight w:val="none"/>
        </w:rPr>
        <w:t>以采购代理机构认可的方式获得了本项目的</w:t>
      </w:r>
      <w:r>
        <w:rPr>
          <w:rFonts w:hint="eastAsia" w:ascii="宋体" w:hAnsi="宋体" w:eastAsia="宋体"/>
          <w:color w:val="auto"/>
          <w:sz w:val="24"/>
          <w:highlight w:val="none"/>
          <w:lang w:val="en-US" w:eastAsia="zh-CN"/>
        </w:rPr>
        <w:t>磋商</w:t>
      </w:r>
      <w:r>
        <w:rPr>
          <w:rFonts w:ascii="宋体" w:hAnsi="宋体" w:eastAsia="宋体"/>
          <w:color w:val="auto"/>
          <w:sz w:val="24"/>
          <w:highlight w:val="none"/>
        </w:rPr>
        <w:t>文件。</w:t>
      </w:r>
    </w:p>
    <w:p w14:paraId="10959CB3">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eastAsia="zh-CN"/>
        </w:rPr>
        <w:t>1.</w:t>
      </w:r>
      <w:r>
        <w:rPr>
          <w:rFonts w:ascii="宋体" w:hAnsi="宋体" w:eastAsia="宋体"/>
          <w:color w:val="auto"/>
          <w:sz w:val="24"/>
          <w:highlight w:val="none"/>
        </w:rPr>
        <w:t>4.</w:t>
      </w:r>
      <w:r>
        <w:rPr>
          <w:rFonts w:hint="eastAsia" w:ascii="宋体" w:hAnsi="宋体" w:eastAsia="宋体"/>
          <w:color w:val="auto"/>
          <w:sz w:val="24"/>
          <w:highlight w:val="none"/>
          <w:lang w:val="en-US" w:eastAsia="zh-CN"/>
        </w:rPr>
        <w:t>3</w:t>
      </w:r>
      <w:r>
        <w:rPr>
          <w:rFonts w:ascii="宋体" w:hAnsi="宋体" w:eastAsia="宋体"/>
          <w:color w:val="auto"/>
          <w:sz w:val="24"/>
          <w:highlight w:val="none"/>
        </w:rPr>
        <w:t>若</w:t>
      </w:r>
      <w:r>
        <w:rPr>
          <w:rFonts w:hint="eastAsia" w:ascii="宋体" w:hAnsi="宋体" w:eastAsia="宋体"/>
          <w:color w:val="auto"/>
          <w:sz w:val="24"/>
          <w:highlight w:val="none"/>
          <w:lang w:eastAsia="zh-CN"/>
        </w:rPr>
        <w:t>采购需求</w:t>
      </w:r>
      <w:r>
        <w:rPr>
          <w:rFonts w:ascii="宋体" w:hAnsi="宋体" w:eastAsia="宋体"/>
          <w:color w:val="auto"/>
          <w:sz w:val="24"/>
          <w:highlight w:val="none"/>
        </w:rPr>
        <w:t>中写明允许采购进口产品，</w:t>
      </w:r>
      <w:r>
        <w:rPr>
          <w:rFonts w:hint="eastAsia" w:ascii="宋体" w:hAnsi="宋体" w:eastAsia="宋体"/>
          <w:color w:val="auto"/>
          <w:sz w:val="24"/>
          <w:highlight w:val="none"/>
          <w:lang w:val="en-US" w:eastAsia="zh-CN"/>
        </w:rPr>
        <w:t>供应商</w:t>
      </w:r>
      <w:r>
        <w:rPr>
          <w:rFonts w:ascii="宋体" w:hAnsi="宋体" w:eastAsia="宋体"/>
          <w:color w:val="auto"/>
          <w:sz w:val="24"/>
          <w:highlight w:val="none"/>
        </w:rPr>
        <w:t>应保证所投产品可履行合法报通关手续进入中国关境内。</w:t>
      </w:r>
    </w:p>
    <w:p w14:paraId="261E25B8">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若</w:t>
      </w:r>
      <w:r>
        <w:rPr>
          <w:rFonts w:hint="eastAsia" w:ascii="宋体" w:hAnsi="宋体" w:eastAsia="宋体"/>
          <w:color w:val="auto"/>
          <w:sz w:val="24"/>
          <w:highlight w:val="none"/>
          <w:lang w:eastAsia="zh-CN"/>
        </w:rPr>
        <w:t>采购需求</w:t>
      </w:r>
      <w:r>
        <w:rPr>
          <w:rFonts w:hint="eastAsia" w:ascii="宋体" w:hAnsi="宋体" w:eastAsia="宋体"/>
          <w:color w:val="auto"/>
          <w:sz w:val="24"/>
          <w:highlight w:val="none"/>
        </w:rPr>
        <w:t>中未写明允许采购进口产品，如供应商所投产品为进口产品，其响应文件将被认定为</w:t>
      </w:r>
      <w:r>
        <w:rPr>
          <w:rFonts w:hint="eastAsia" w:ascii="宋体" w:hAnsi="宋体" w:eastAsia="宋体"/>
          <w:b/>
          <w:color w:val="auto"/>
          <w:sz w:val="24"/>
          <w:highlight w:val="none"/>
        </w:rPr>
        <w:t>响应无效</w:t>
      </w:r>
      <w:r>
        <w:rPr>
          <w:rFonts w:hint="eastAsia" w:ascii="宋体" w:hAnsi="宋体" w:eastAsia="宋体"/>
          <w:color w:val="auto"/>
          <w:sz w:val="24"/>
          <w:highlight w:val="none"/>
        </w:rPr>
        <w:t>。</w:t>
      </w:r>
    </w:p>
    <w:p w14:paraId="527AF54B">
      <w:pPr>
        <w:spacing w:line="360" w:lineRule="auto"/>
        <w:ind w:firstLine="435"/>
        <w:rPr>
          <w:rFonts w:ascii="宋体" w:hAnsi="宋体" w:eastAsia="宋体"/>
          <w:color w:val="auto"/>
          <w:sz w:val="24"/>
          <w:highlight w:val="none"/>
        </w:rPr>
      </w:pPr>
      <w:bookmarkStart w:id="52" w:name="_Hlk60607583"/>
      <w:r>
        <w:rPr>
          <w:rFonts w:hint="eastAsia" w:ascii="宋体" w:hAnsi="宋体" w:eastAsia="宋体"/>
          <w:bCs/>
          <w:color w:val="auto"/>
          <w:kern w:val="0"/>
          <w:sz w:val="24"/>
          <w:szCs w:val="28"/>
          <w:highlight w:val="none"/>
          <w:lang w:val="en-US" w:eastAsia="zh-CN"/>
        </w:rPr>
        <w:t>1</w:t>
      </w:r>
      <w:r>
        <w:rPr>
          <w:rFonts w:ascii="宋体" w:hAnsi="宋体" w:eastAsia="宋体"/>
          <w:bCs/>
          <w:color w:val="auto"/>
          <w:kern w:val="0"/>
          <w:sz w:val="24"/>
          <w:szCs w:val="28"/>
          <w:highlight w:val="none"/>
        </w:rPr>
        <w:t>.5</w:t>
      </w:r>
      <w:r>
        <w:rPr>
          <w:rFonts w:hint="eastAsia" w:ascii="宋体" w:hAnsi="宋体" w:eastAsia="宋体"/>
          <w:bCs/>
          <w:color w:val="auto"/>
          <w:kern w:val="0"/>
          <w:sz w:val="24"/>
          <w:szCs w:val="28"/>
          <w:highlight w:val="none"/>
        </w:rPr>
        <w:t>若竞争性磋商公告</w:t>
      </w:r>
      <w:r>
        <w:rPr>
          <w:rFonts w:ascii="宋体" w:hAnsi="宋体" w:eastAsia="宋体"/>
          <w:bCs/>
          <w:color w:val="auto"/>
          <w:kern w:val="0"/>
          <w:sz w:val="24"/>
          <w:szCs w:val="28"/>
          <w:highlight w:val="none"/>
        </w:rPr>
        <w:t>中允许联合体</w:t>
      </w:r>
      <w:r>
        <w:rPr>
          <w:rFonts w:hint="eastAsia" w:ascii="宋体" w:hAnsi="宋体" w:eastAsia="宋体"/>
          <w:bCs/>
          <w:color w:val="auto"/>
          <w:kern w:val="0"/>
          <w:sz w:val="24"/>
          <w:szCs w:val="28"/>
          <w:highlight w:val="none"/>
        </w:rPr>
        <w:t>参加磋商</w:t>
      </w:r>
      <w:r>
        <w:rPr>
          <w:rFonts w:ascii="宋体" w:hAnsi="宋体" w:eastAsia="宋体"/>
          <w:bCs/>
          <w:color w:val="auto"/>
          <w:kern w:val="0"/>
          <w:sz w:val="24"/>
          <w:szCs w:val="28"/>
          <w:highlight w:val="none"/>
        </w:rPr>
        <w:t>，对联合体规定如下：</w:t>
      </w:r>
    </w:p>
    <w:bookmarkEnd w:id="52"/>
    <w:p w14:paraId="0A5BEF3E">
      <w:pPr>
        <w:spacing w:line="360" w:lineRule="auto"/>
        <w:ind w:firstLine="435"/>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.1</w:t>
      </w:r>
      <w:r>
        <w:rPr>
          <w:rFonts w:hint="eastAsia" w:ascii="宋体" w:hAnsi="宋体" w:eastAsia="宋体"/>
          <w:color w:val="auto"/>
          <w:sz w:val="24"/>
          <w:highlight w:val="none"/>
        </w:rPr>
        <w:t>两个以上供应商可以组成一个磋商联合体，以一个供应商的身份磋商</w:t>
      </w:r>
      <w:r>
        <w:rPr>
          <w:rFonts w:ascii="宋体" w:hAnsi="宋体" w:eastAsia="宋体"/>
          <w:color w:val="auto"/>
          <w:sz w:val="24"/>
          <w:highlight w:val="none"/>
        </w:rPr>
        <w:t>。</w:t>
      </w:r>
      <w:r>
        <w:rPr>
          <w:rFonts w:ascii="宋体" w:hAnsi="宋体" w:eastAsia="宋体"/>
          <w:b w:val="0"/>
          <w:color w:val="auto"/>
          <w:sz w:val="24"/>
          <w:highlight w:val="none"/>
        </w:rPr>
        <w:t>联合体参加磋商的，</w:t>
      </w:r>
      <w:r>
        <w:rPr>
          <w:rFonts w:hint="eastAsia" w:ascii="宋体" w:hAnsi="宋体" w:eastAsia="宋体"/>
          <w:b w:val="0"/>
          <w:color w:val="auto"/>
          <w:sz w:val="24"/>
          <w:highlight w:val="none"/>
        </w:rPr>
        <w:t>磋商文件获取</w:t>
      </w:r>
      <w:r>
        <w:rPr>
          <w:rFonts w:ascii="宋体" w:hAnsi="宋体" w:eastAsia="宋体"/>
          <w:b w:val="0"/>
          <w:color w:val="auto"/>
          <w:sz w:val="24"/>
          <w:highlight w:val="none"/>
        </w:rPr>
        <w:t>手续由联合体</w:t>
      </w:r>
      <w:r>
        <w:rPr>
          <w:rFonts w:hint="eastAsia" w:ascii="宋体" w:hAnsi="宋体" w:eastAsia="宋体"/>
          <w:b w:val="0"/>
          <w:color w:val="auto"/>
          <w:sz w:val="24"/>
          <w:highlight w:val="none"/>
        </w:rPr>
        <w:t>中</w:t>
      </w:r>
      <w:r>
        <w:rPr>
          <w:rFonts w:ascii="宋体" w:hAnsi="宋体" w:eastAsia="宋体"/>
          <w:b w:val="0"/>
          <w:color w:val="auto"/>
          <w:sz w:val="24"/>
          <w:highlight w:val="none"/>
        </w:rPr>
        <w:t>任一</w:t>
      </w:r>
      <w:r>
        <w:rPr>
          <w:rFonts w:hint="eastAsia" w:ascii="宋体" w:hAnsi="宋体" w:eastAsia="宋体"/>
          <w:b w:val="0"/>
          <w:color w:val="auto"/>
          <w:sz w:val="24"/>
          <w:highlight w:val="none"/>
        </w:rPr>
        <w:t>成员单位</w:t>
      </w:r>
      <w:r>
        <w:rPr>
          <w:rFonts w:ascii="宋体" w:hAnsi="宋体" w:eastAsia="宋体"/>
          <w:b w:val="0"/>
          <w:color w:val="auto"/>
          <w:sz w:val="24"/>
          <w:highlight w:val="none"/>
        </w:rPr>
        <w:t>办理均可。</w:t>
      </w:r>
    </w:p>
    <w:p w14:paraId="15317D4C">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.2联合体各方均应符合《中华人民共和国政府采购法》第二十二条规定的条件。</w:t>
      </w:r>
    </w:p>
    <w:p w14:paraId="16923DC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.3采购人根据采购项目对</w:t>
      </w:r>
      <w:r>
        <w:rPr>
          <w:rFonts w:hint="eastAsia" w:ascii="宋体" w:hAnsi="宋体" w:eastAsia="宋体"/>
          <w:color w:val="auto"/>
          <w:sz w:val="24"/>
          <w:highlight w:val="none"/>
        </w:rPr>
        <w:t>供应商</w:t>
      </w:r>
      <w:r>
        <w:rPr>
          <w:rFonts w:ascii="宋体" w:hAnsi="宋体" w:eastAsia="宋体"/>
          <w:color w:val="auto"/>
          <w:sz w:val="24"/>
          <w:highlight w:val="none"/>
        </w:rPr>
        <w:t>的特殊要求，联合体中至少应当有一方符合相关规定。</w:t>
      </w:r>
    </w:p>
    <w:p w14:paraId="75A7D5B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.4联合体各方应签订</w:t>
      </w:r>
      <w:r>
        <w:rPr>
          <w:rFonts w:hint="eastAsia" w:ascii="宋体" w:hAnsi="宋体" w:eastAsia="宋体"/>
          <w:color w:val="auto"/>
          <w:sz w:val="24"/>
          <w:highlight w:val="none"/>
        </w:rPr>
        <w:t>联合协议</w:t>
      </w:r>
      <w:r>
        <w:rPr>
          <w:rFonts w:ascii="宋体" w:hAnsi="宋体" w:eastAsia="宋体"/>
          <w:color w:val="auto"/>
          <w:sz w:val="24"/>
          <w:highlight w:val="none"/>
        </w:rPr>
        <w:t>，明确约定联合体各方承担的工作和相应的责任，并将</w:t>
      </w:r>
      <w:r>
        <w:rPr>
          <w:rFonts w:hint="eastAsia" w:ascii="宋体" w:hAnsi="宋体" w:eastAsia="宋体"/>
          <w:color w:val="auto"/>
          <w:sz w:val="24"/>
          <w:highlight w:val="none"/>
        </w:rPr>
        <w:t>联合协议</w:t>
      </w:r>
      <w:r>
        <w:rPr>
          <w:rFonts w:ascii="宋体" w:hAnsi="宋体" w:eastAsia="宋体"/>
          <w:color w:val="auto"/>
          <w:sz w:val="24"/>
          <w:highlight w:val="none"/>
        </w:rPr>
        <w:t>作为</w:t>
      </w:r>
      <w:r>
        <w:rPr>
          <w:rFonts w:hint="eastAsia" w:ascii="宋体" w:hAnsi="宋体" w:eastAsia="宋体"/>
          <w:color w:val="auto"/>
          <w:sz w:val="24"/>
          <w:highlight w:val="none"/>
        </w:rPr>
        <w:t>响应</w:t>
      </w:r>
      <w:r>
        <w:rPr>
          <w:rFonts w:ascii="宋体" w:hAnsi="宋体" w:eastAsia="宋体"/>
          <w:color w:val="auto"/>
          <w:sz w:val="24"/>
          <w:highlight w:val="none"/>
        </w:rPr>
        <w:t>文件</w:t>
      </w:r>
      <w:r>
        <w:rPr>
          <w:rFonts w:hint="eastAsia" w:ascii="宋体" w:hAnsi="宋体" w:eastAsia="宋体"/>
          <w:color w:val="auto"/>
          <w:sz w:val="24"/>
          <w:highlight w:val="none"/>
        </w:rPr>
        <w:t>的</w:t>
      </w:r>
      <w:r>
        <w:rPr>
          <w:rFonts w:ascii="宋体" w:hAnsi="宋体" w:eastAsia="宋体"/>
          <w:color w:val="auto"/>
          <w:sz w:val="24"/>
          <w:highlight w:val="none"/>
        </w:rPr>
        <w:t>一部分提交。</w:t>
      </w:r>
    </w:p>
    <w:p w14:paraId="2C01C861">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.5大中型企业、其他自然人、法人或者非法人组织与小型、微型企业组成联合体共同参加</w:t>
      </w:r>
      <w:r>
        <w:rPr>
          <w:rFonts w:hint="eastAsia" w:ascii="宋体" w:hAnsi="宋体" w:eastAsia="宋体"/>
          <w:color w:val="auto"/>
          <w:sz w:val="24"/>
          <w:highlight w:val="none"/>
        </w:rPr>
        <w:t>磋商</w:t>
      </w:r>
      <w:r>
        <w:rPr>
          <w:rFonts w:ascii="宋体" w:hAnsi="宋体" w:eastAsia="宋体"/>
          <w:color w:val="auto"/>
          <w:sz w:val="24"/>
          <w:highlight w:val="none"/>
        </w:rPr>
        <w:t>，</w:t>
      </w:r>
      <w:r>
        <w:rPr>
          <w:rFonts w:hint="eastAsia" w:ascii="宋体" w:hAnsi="宋体" w:eastAsia="宋体"/>
          <w:color w:val="auto"/>
          <w:sz w:val="24"/>
          <w:highlight w:val="none"/>
        </w:rPr>
        <w:t>联合协议中</w:t>
      </w:r>
      <w:r>
        <w:rPr>
          <w:rFonts w:ascii="宋体" w:hAnsi="宋体" w:eastAsia="宋体"/>
          <w:color w:val="auto"/>
          <w:sz w:val="24"/>
          <w:highlight w:val="none"/>
        </w:rPr>
        <w:t>应写明小型、微型企业的协议合同金额占到</w:t>
      </w:r>
      <w:r>
        <w:rPr>
          <w:rFonts w:hint="eastAsia" w:ascii="宋体" w:hAnsi="宋体" w:eastAsia="宋体"/>
          <w:color w:val="auto"/>
          <w:sz w:val="24"/>
          <w:highlight w:val="none"/>
        </w:rPr>
        <w:t>联合协议合同</w:t>
      </w:r>
      <w:r>
        <w:rPr>
          <w:rFonts w:ascii="宋体" w:hAnsi="宋体" w:eastAsia="宋体"/>
          <w:color w:val="auto"/>
          <w:sz w:val="24"/>
          <w:highlight w:val="none"/>
        </w:rPr>
        <w:t>总金额的比例。</w:t>
      </w:r>
    </w:p>
    <w:p w14:paraId="704369B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.5.6</w:t>
      </w:r>
      <w:r>
        <w:rPr>
          <w:rFonts w:hint="eastAsia" w:ascii="宋体" w:hAnsi="宋体" w:eastAsia="宋体"/>
          <w:color w:val="auto"/>
          <w:sz w:val="24"/>
          <w:highlight w:val="none"/>
        </w:rPr>
        <w:t>联合体中有同类资质的供应商按照联合体分工承担相同工作的，</w:t>
      </w:r>
      <w:r>
        <w:rPr>
          <w:rFonts w:ascii="宋体" w:hAnsi="宋体" w:eastAsia="宋体"/>
          <w:color w:val="auto"/>
          <w:sz w:val="24"/>
          <w:highlight w:val="none"/>
        </w:rPr>
        <w:t>应当按照</w:t>
      </w:r>
      <w:r>
        <w:rPr>
          <w:rFonts w:hint="eastAsia" w:ascii="宋体" w:hAnsi="宋体" w:eastAsia="宋体"/>
          <w:color w:val="auto"/>
          <w:sz w:val="24"/>
          <w:highlight w:val="none"/>
        </w:rPr>
        <w:t>资质等级较低的供应商确定资质等级。</w:t>
      </w:r>
    </w:p>
    <w:p w14:paraId="6D28F50D">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.7以联合体形式参加政府采购活动的，联合体各方不得再单独参加或者与其他供应商另外组成联合体参加本项目</w:t>
      </w:r>
      <w:r>
        <w:rPr>
          <w:rFonts w:hint="eastAsia" w:ascii="宋体" w:hAnsi="宋体" w:eastAsia="宋体"/>
          <w:color w:val="auto"/>
          <w:sz w:val="24"/>
          <w:highlight w:val="none"/>
        </w:rPr>
        <w:t>磋商</w:t>
      </w:r>
      <w:r>
        <w:rPr>
          <w:rFonts w:ascii="宋体" w:hAnsi="宋体" w:eastAsia="宋体"/>
          <w:color w:val="auto"/>
          <w:sz w:val="24"/>
          <w:highlight w:val="none"/>
        </w:rPr>
        <w:t>，否则相关</w:t>
      </w:r>
      <w:r>
        <w:rPr>
          <w:rFonts w:hint="eastAsia" w:ascii="宋体" w:hAnsi="宋体" w:eastAsia="宋体"/>
          <w:color w:val="auto"/>
          <w:sz w:val="24"/>
          <w:highlight w:val="none"/>
        </w:rPr>
        <w:t>响应文件将被认定为</w:t>
      </w:r>
      <w:r>
        <w:rPr>
          <w:rFonts w:hint="eastAsia" w:ascii="宋体" w:hAnsi="宋体" w:eastAsia="宋体"/>
          <w:b/>
          <w:color w:val="auto"/>
          <w:sz w:val="24"/>
          <w:highlight w:val="none"/>
        </w:rPr>
        <w:t>响应无效</w:t>
      </w:r>
      <w:r>
        <w:rPr>
          <w:rFonts w:ascii="宋体" w:hAnsi="宋体" w:eastAsia="宋体"/>
          <w:color w:val="auto"/>
          <w:sz w:val="24"/>
          <w:highlight w:val="none"/>
        </w:rPr>
        <w:t>。</w:t>
      </w:r>
    </w:p>
    <w:p w14:paraId="6393E351">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.8对联合体参加磋商的其他资格要求见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rFonts w:ascii="宋体" w:hAnsi="宋体" w:eastAsia="宋体"/>
          <w:color w:val="auto"/>
          <w:sz w:val="24"/>
          <w:highlight w:val="none"/>
        </w:rPr>
        <w:t>。</w:t>
      </w:r>
    </w:p>
    <w:p w14:paraId="20501E35">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14:paraId="645FD31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.1本项目的采购人已获得足以支付本次磋商后所签订的合同项下的资金。</w:t>
      </w:r>
    </w:p>
    <w:p w14:paraId="2C43D4D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磋商费用</w:t>
      </w:r>
    </w:p>
    <w:p w14:paraId="570C00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olor w:val="auto"/>
          <w:sz w:val="24"/>
          <w:highlight w:val="none"/>
        </w:rPr>
      </w:pPr>
      <w:r>
        <w:rPr>
          <w:rFonts w:hint="eastAsia" w:ascii="宋体" w:hAnsi="宋体" w:eastAsia="宋体"/>
          <w:color w:val="auto"/>
          <w:sz w:val="24"/>
          <w:highlight w:val="none"/>
        </w:rPr>
        <w:t>不论磋商的结果如何，供应商应承担其所有与准备和参加磋商有关的费用</w:t>
      </w:r>
    </w:p>
    <w:p w14:paraId="0F377A6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4.适用法律</w:t>
      </w:r>
    </w:p>
    <w:p w14:paraId="24324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olor w:val="auto"/>
          <w:sz w:val="24"/>
          <w:highlight w:val="none"/>
        </w:rPr>
      </w:pPr>
      <w:r>
        <w:rPr>
          <w:rFonts w:hint="eastAsia" w:ascii="宋体" w:hAnsi="宋体" w:eastAsia="宋体"/>
          <w:color w:val="auto"/>
          <w:sz w:val="24"/>
          <w:highlight w:val="none"/>
        </w:rPr>
        <w:t>本项目采购人、采购代理机构、供应商、磋商小组的相关行为均受《中华人民共和国政府采购法》、《中华人民共和国政府采购法实施条例》及本项目本级和上级财政部门、政府采购监督管理部门的政府采购有关规定的约束，其权利受到上述法律法规的保护。</w:t>
      </w:r>
    </w:p>
    <w:p w14:paraId="7B0F78F5">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磋商文件构成</w:t>
      </w:r>
    </w:p>
    <w:p w14:paraId="55CC2B46">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5</w:t>
      </w:r>
      <w:r>
        <w:rPr>
          <w:rFonts w:hint="eastAsia" w:ascii="宋体" w:hAnsi="宋体" w:eastAsia="宋体"/>
          <w:color w:val="auto"/>
          <w:sz w:val="24"/>
          <w:highlight w:val="none"/>
        </w:rPr>
        <w:t>.1磋商文件包括下列内容：</w:t>
      </w:r>
    </w:p>
    <w:p w14:paraId="3B2DAF3C">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磋商邀请</w:t>
      </w:r>
    </w:p>
    <w:p w14:paraId="702D084F">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14:paraId="60B95A53">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14:paraId="74777A66">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14:paraId="2E36FAD9">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14:paraId="1CB742A3">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14:paraId="1DC85C41">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14:paraId="3B57202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考察</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5E4E9B5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文件所有的事项、格式、条款和技术规范等。</w:t>
      </w:r>
    </w:p>
    <w:p w14:paraId="15D98FD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磋商文件的澄清与修改</w:t>
      </w:r>
    </w:p>
    <w:p w14:paraId="3260BB2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文件内容有疑问，必须在</w:t>
      </w:r>
      <w:r>
        <w:rPr>
          <w:rFonts w:ascii="宋体" w:hAnsi="宋体" w:eastAsia="宋体"/>
          <w:color w:val="auto"/>
          <w:sz w:val="24"/>
          <w:highlight w:val="none"/>
          <w:u w:val="single"/>
        </w:rPr>
        <w:t>供应商须知前附表</w:t>
      </w:r>
      <w:r>
        <w:rPr>
          <w:rFonts w:asciiTheme="minorEastAsia" w:hAnsiTheme="minorEastAsia" w:eastAsiaTheme="minorEastAsia"/>
          <w:color w:val="auto"/>
          <w:sz w:val="24"/>
          <w:highlight w:val="none"/>
        </w:rPr>
        <w:t>规定的截止时间前以</w:t>
      </w:r>
      <w:r>
        <w:rPr>
          <w:rFonts w:hint="eastAsia" w:asciiTheme="minorEastAsia" w:hAnsiTheme="minorEastAsia" w:eastAsiaTheme="minorEastAsia"/>
          <w:color w:val="auto"/>
          <w:sz w:val="24"/>
          <w:highlight w:val="none"/>
          <w:lang w:val="en-US" w:eastAsia="zh-CN"/>
        </w:rPr>
        <w:t>书面</w:t>
      </w:r>
      <w:r>
        <w:rPr>
          <w:rFonts w:asciiTheme="minorEastAsia" w:hAnsiTheme="minorEastAsia" w:eastAsiaTheme="minorEastAsia"/>
          <w:color w:val="auto"/>
          <w:sz w:val="24"/>
          <w:highlight w:val="none"/>
        </w:rPr>
        <w:t>提问形式提交给采购代理机构。</w:t>
      </w:r>
    </w:p>
    <w:p w14:paraId="1393542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2采购人可主动地或在</w:t>
      </w:r>
      <w:r>
        <w:rPr>
          <w:rFonts w:hint="eastAsia" w:asciiTheme="minorEastAsia" w:hAnsiTheme="minorEastAsia" w:eastAsiaTheme="minorEastAsia"/>
          <w:color w:val="auto"/>
          <w:sz w:val="24"/>
          <w:highlight w:val="none"/>
          <w:lang w:val="en-US" w:eastAsia="zh-CN"/>
        </w:rPr>
        <w:t>答复供应商</w:t>
      </w:r>
      <w:r>
        <w:rPr>
          <w:rFonts w:hint="eastAsia" w:asciiTheme="minorEastAsia" w:hAnsiTheme="minorEastAsia" w:eastAsiaTheme="minorEastAsia"/>
          <w:color w:val="auto"/>
          <w:sz w:val="24"/>
          <w:highlight w:val="none"/>
        </w:rPr>
        <w:t>提出的</w:t>
      </w:r>
      <w:r>
        <w:rPr>
          <w:rFonts w:hint="eastAsia" w:asciiTheme="minorEastAsia" w:hAnsiTheme="minorEastAsia" w:eastAsiaTheme="minorEastAsia"/>
          <w:color w:val="auto"/>
          <w:sz w:val="24"/>
          <w:highlight w:val="none"/>
          <w:lang w:val="en-US" w:eastAsia="zh-CN"/>
        </w:rPr>
        <w:t>询问</w:t>
      </w:r>
      <w:r>
        <w:rPr>
          <w:rFonts w:hint="eastAsia" w:asciiTheme="minorEastAsia" w:hAnsiTheme="minorEastAsia" w:eastAsiaTheme="minorEastAsia"/>
          <w:color w:val="auto"/>
          <w:sz w:val="24"/>
          <w:highlight w:val="none"/>
        </w:rPr>
        <w:t>时对</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文件进行澄清与修改。采购代理机构将</w:t>
      </w:r>
      <w:r>
        <w:rPr>
          <w:rFonts w:hint="eastAsia" w:asciiTheme="minorEastAsia" w:hAnsiTheme="minorEastAsia" w:eastAsiaTheme="minorEastAsia"/>
          <w:b/>
          <w:bCs/>
          <w:color w:val="auto"/>
          <w:sz w:val="24"/>
          <w:highlight w:val="none"/>
        </w:rPr>
        <w:t>在</w:t>
      </w:r>
      <w:r>
        <w:rPr>
          <w:rFonts w:hint="eastAsia" w:asciiTheme="minorEastAsia" w:hAnsiTheme="minorEastAsia" w:eastAsiaTheme="minorEastAsia"/>
          <w:b/>
          <w:bCs/>
          <w:color w:val="auto"/>
          <w:sz w:val="24"/>
          <w:highlight w:val="none"/>
          <w:lang w:val="en-US" w:eastAsia="zh-CN"/>
        </w:rPr>
        <w:t>定远县人民政府网（http://www.dyxzyy.com/xxgk.html）--政务信息公开--定远县总医院</w:t>
      </w:r>
      <w:r>
        <w:rPr>
          <w:rFonts w:hint="eastAsia" w:asciiTheme="minorEastAsia" w:hAnsiTheme="minorEastAsia" w:eastAsiaTheme="minorEastAsia"/>
          <w:b/>
          <w:bCs/>
          <w:color w:val="auto"/>
          <w:sz w:val="24"/>
          <w:highlight w:val="none"/>
        </w:rPr>
        <w:t>发布</w:t>
      </w:r>
      <w:r>
        <w:rPr>
          <w:rFonts w:hint="eastAsia" w:asciiTheme="minorEastAsia" w:hAnsiTheme="minorEastAsia" w:eastAsiaTheme="minorEastAsia"/>
          <w:color w:val="auto"/>
          <w:sz w:val="24"/>
          <w:highlight w:val="none"/>
        </w:rPr>
        <w:t>更正公告的方式澄清或者修改磋商文件，更正公告的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14:paraId="3CDF7B7F">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6</w:t>
      </w:r>
      <w:r>
        <w:rPr>
          <w:rFonts w:hint="eastAsia" w:ascii="宋体" w:hAnsi="宋体" w:eastAsia="宋体"/>
          <w:color w:val="auto"/>
          <w:sz w:val="24"/>
          <w:highlight w:val="none"/>
        </w:rPr>
        <w:t>.3任何人或任何组织向供应商提供的任何书面或口头资料，未经采购代理机构在网上发布或书面通知，均作无效处理，不得作为磋商文件的组成部分。采购代理机构对供应商由此而做出的推论、理解和结论概不负责。</w:t>
      </w:r>
    </w:p>
    <w:p w14:paraId="4AA77080">
      <w:pPr>
        <w:spacing w:line="360" w:lineRule="auto"/>
        <w:ind w:firstLine="435"/>
        <w:rPr>
          <w:rFonts w:hint="eastAsia" w:asciiTheme="minorEastAsia" w:hAnsiTheme="minorEastAsia" w:eastAsiaTheme="minorEastAsia"/>
          <w:iCs/>
          <w:color w:val="auto"/>
          <w:sz w:val="24"/>
          <w:highlight w:val="none"/>
          <w:lang w:eastAsia="zh-CN"/>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rFonts w:ascii="宋体" w:hAnsi="宋体" w:eastAsia="宋体"/>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本磋商</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lang w:eastAsia="zh-CN"/>
        </w:rPr>
        <w:t>。</w:t>
      </w:r>
    </w:p>
    <w:p w14:paraId="0B11B21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磋商范围及响应文件中标准和计量单位的使用</w:t>
      </w:r>
    </w:p>
    <w:p w14:paraId="18E5016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的磋商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14:paraId="629627A0">
      <w:pPr>
        <w:spacing w:line="360" w:lineRule="auto"/>
        <w:ind w:firstLine="435"/>
        <w:rPr>
          <w:rFonts w:hint="default" w:eastAsiaTheme="minorEastAsia"/>
          <w:highlight w:val="none"/>
          <w:lang w:val="en-US" w:eastAsia="zh-CN"/>
        </w:rPr>
      </w:pPr>
      <w:r>
        <w:rPr>
          <w:rFonts w:hint="eastAsia" w:asciiTheme="minorEastAsia" w:hAnsiTheme="minorEastAsia" w:eastAsiaTheme="minorEastAsia"/>
          <w:color w:val="auto"/>
          <w:sz w:val="24"/>
          <w:highlight w:val="none"/>
          <w:lang w:val="en-US" w:eastAsia="zh-CN"/>
        </w:rPr>
        <w:t>7.2 供应商</w:t>
      </w:r>
      <w:r>
        <w:rPr>
          <w:rFonts w:asciiTheme="minorEastAsia" w:hAnsiTheme="minorEastAsia" w:eastAsiaTheme="minorEastAsia"/>
          <w:color w:val="auto"/>
          <w:sz w:val="24"/>
          <w:highlight w:val="none"/>
        </w:rPr>
        <w:t>应当对所投分包</w:t>
      </w:r>
      <w:r>
        <w:rPr>
          <w:rFonts w:hint="eastAsia" w:asciiTheme="minorEastAsia" w:hAnsiTheme="minorEastAsia" w:eastAsiaTheme="minorEastAsia"/>
          <w:color w:val="auto"/>
          <w:sz w:val="24"/>
          <w:highlight w:val="none"/>
          <w:lang w:val="en-US" w:eastAsia="zh-CN"/>
        </w:rPr>
        <w:t>磋商</w:t>
      </w:r>
      <w:r>
        <w:rPr>
          <w:rFonts w:asciiTheme="minorEastAsia" w:hAnsiTheme="minorEastAsia" w:eastAsiaTheme="minorEastAsia"/>
          <w:color w:val="auto"/>
          <w:sz w:val="24"/>
          <w:highlight w:val="none"/>
        </w:rPr>
        <w:t>文件中“</w:t>
      </w:r>
      <w:r>
        <w:rPr>
          <w:rFonts w:hint="eastAsia" w:asciiTheme="minorEastAsia" w:hAnsiTheme="minorEastAsia" w:eastAsiaTheme="minorEastAsia"/>
          <w:color w:val="auto"/>
          <w:sz w:val="24"/>
          <w:highlight w:val="none"/>
        </w:rPr>
        <w:t>采购</w:t>
      </w:r>
      <w:r>
        <w:rPr>
          <w:rFonts w:asciiTheme="minorEastAsia" w:hAnsiTheme="minorEastAsia" w:eastAsiaTheme="minorEastAsia"/>
          <w:color w:val="auto"/>
          <w:sz w:val="24"/>
          <w:highlight w:val="none"/>
        </w:rPr>
        <w:t>需求”所列的所有内容进行</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，如仅响应</w:t>
      </w:r>
      <w:r>
        <w:rPr>
          <w:rFonts w:hint="eastAsia" w:asciiTheme="minorEastAsia" w:hAnsiTheme="minorEastAsia" w:eastAsiaTheme="minorEastAsia"/>
          <w:color w:val="auto"/>
          <w:sz w:val="24"/>
          <w:highlight w:val="none"/>
        </w:rPr>
        <w:t>所投包别</w:t>
      </w:r>
      <w:r>
        <w:rPr>
          <w:rFonts w:asciiTheme="minorEastAsia" w:hAnsiTheme="minorEastAsia" w:eastAsiaTheme="minorEastAsia"/>
          <w:color w:val="auto"/>
          <w:sz w:val="24"/>
          <w:highlight w:val="none"/>
        </w:rPr>
        <w:t>中的部分内容，其</w:t>
      </w:r>
      <w:r>
        <w:rPr>
          <w:rFonts w:hint="eastAsia" w:asciiTheme="minorEastAsia" w:hAnsiTheme="minorEastAsia" w:eastAsiaTheme="minorEastAsia"/>
          <w:color w:val="auto"/>
          <w:sz w:val="24"/>
          <w:highlight w:val="none"/>
        </w:rPr>
        <w:t>所投包别的</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将被认定为</w:t>
      </w:r>
      <w:r>
        <w:rPr>
          <w:rFonts w:hint="eastAsia" w:asciiTheme="minorEastAsia" w:hAnsiTheme="minorEastAsia" w:eastAsiaTheme="minorEastAsia"/>
          <w:b/>
          <w:color w:val="auto"/>
          <w:sz w:val="24"/>
          <w:highlight w:val="none"/>
          <w:lang w:val="en-US" w:eastAsia="zh-CN"/>
        </w:rPr>
        <w:t>响应</w:t>
      </w:r>
      <w:r>
        <w:rPr>
          <w:rFonts w:asciiTheme="minorEastAsia" w:hAnsiTheme="minorEastAsia" w:eastAsiaTheme="minorEastAsia"/>
          <w:b/>
          <w:color w:val="auto"/>
          <w:sz w:val="24"/>
          <w:highlight w:val="none"/>
        </w:rPr>
        <w:t>无效</w:t>
      </w:r>
      <w:r>
        <w:rPr>
          <w:rFonts w:asciiTheme="minorEastAsia" w:hAnsiTheme="minorEastAsia" w:eastAsiaTheme="minorEastAsia"/>
          <w:color w:val="auto"/>
          <w:sz w:val="24"/>
          <w:highlight w:val="none"/>
        </w:rPr>
        <w:t>。</w:t>
      </w:r>
    </w:p>
    <w:p w14:paraId="70A2D5D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无论磋商文件中是否要求，供应商所投货物及伴随的服务和工程均应符合国家强制性标准。</w:t>
      </w:r>
    </w:p>
    <w:p w14:paraId="37D5109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供应商与采购代理机构之间与磋商有关的所有往来通知、函件和响应文件均用中文表述。供应商随响应文件提供的证明文件和资料可以为其它语言，但必须附中文译文。翻译的中文资料与外文资料如果出现差异时，以中文为准。</w:t>
      </w:r>
    </w:p>
    <w:p w14:paraId="25945D8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除磋商文件中有特殊要求外，响应文件中所使用的计量单位，应采用中华人民共和国法定计量单位。</w:t>
      </w:r>
    </w:p>
    <w:p w14:paraId="614F106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14:paraId="7A191C4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w:t>
      </w:r>
      <w:r>
        <w:rPr>
          <w:rFonts w:hint="eastAsia" w:ascii="宋体" w:hAnsi="宋体" w:eastAsia="宋体"/>
          <w:color w:val="auto"/>
          <w:sz w:val="24"/>
          <w:highlight w:val="none"/>
          <w:lang w:val="en-US" w:eastAsia="zh-CN"/>
        </w:rPr>
        <w:t>供应商</w:t>
      </w:r>
      <w:r>
        <w:rPr>
          <w:rFonts w:asciiTheme="minorEastAsia" w:hAnsiTheme="minorEastAsia" w:eastAsiaTheme="minorEastAsia"/>
          <w:color w:val="auto"/>
          <w:sz w:val="24"/>
          <w:highlight w:val="none"/>
        </w:rPr>
        <w:t>应完整地按</w:t>
      </w:r>
      <w:r>
        <w:rPr>
          <w:rFonts w:hint="eastAsia" w:asciiTheme="minorEastAsia" w:hAnsiTheme="minorEastAsia" w:eastAsiaTheme="minorEastAsia"/>
          <w:color w:val="auto"/>
          <w:sz w:val="24"/>
          <w:highlight w:val="none"/>
          <w:lang w:val="en-US" w:eastAsia="zh-CN"/>
        </w:rPr>
        <w:t>磋商</w:t>
      </w:r>
      <w:r>
        <w:rPr>
          <w:rFonts w:asciiTheme="minorEastAsia" w:hAnsiTheme="minorEastAsia" w:eastAsiaTheme="minorEastAsia"/>
          <w:color w:val="auto"/>
          <w:sz w:val="24"/>
          <w:highlight w:val="none"/>
        </w:rPr>
        <w:t>文件提供的</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文件格式及要求</w:t>
      </w:r>
      <w:r>
        <w:rPr>
          <w:rFonts w:hint="eastAsia" w:asciiTheme="minorEastAsia" w:hAnsiTheme="minorEastAsia" w:eastAsiaTheme="minorEastAsia"/>
          <w:color w:val="auto"/>
          <w:sz w:val="24"/>
          <w:highlight w:val="none"/>
        </w:rPr>
        <w:t>编</w:t>
      </w:r>
      <w:r>
        <w:rPr>
          <w:rFonts w:asciiTheme="minorEastAsia" w:hAnsiTheme="minorEastAsia" w:eastAsiaTheme="minorEastAsia"/>
          <w:color w:val="auto"/>
          <w:sz w:val="24"/>
          <w:highlight w:val="none"/>
        </w:rPr>
        <w:t>写</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具体内容详见本项目</w:t>
      </w:r>
      <w:r>
        <w:rPr>
          <w:rFonts w:hint="eastAsia" w:asciiTheme="minorEastAsia" w:hAnsiTheme="minorEastAsia" w:eastAsiaTheme="minorEastAsia"/>
          <w:color w:val="auto"/>
          <w:sz w:val="24"/>
          <w:highlight w:val="none"/>
          <w:lang w:val="en-US" w:eastAsia="zh-CN"/>
        </w:rPr>
        <w:t>响应</w:t>
      </w:r>
      <w:r>
        <w:rPr>
          <w:rFonts w:hint="eastAsia" w:asciiTheme="minorEastAsia" w:hAnsiTheme="minorEastAsia" w:eastAsiaTheme="minorEastAsia"/>
          <w:color w:val="auto"/>
          <w:sz w:val="24"/>
          <w:highlight w:val="none"/>
        </w:rPr>
        <w:t>文件格式的相关内容。</w:t>
      </w:r>
    </w:p>
    <w:p w14:paraId="6CB4B4B3">
      <w:pPr>
        <w:spacing w:line="360" w:lineRule="auto"/>
        <w:ind w:firstLine="435"/>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8.2</w:t>
      </w:r>
      <w:r>
        <w:rPr>
          <w:rFonts w:hint="eastAsia" w:ascii="宋体" w:hAnsi="宋体" w:eastAsia="宋体"/>
          <w:color w:val="auto"/>
          <w:sz w:val="24"/>
          <w:highlight w:val="none"/>
          <w:lang w:val="en-US" w:eastAsia="zh-CN"/>
        </w:rPr>
        <w:t>供应商</w:t>
      </w:r>
      <w:r>
        <w:rPr>
          <w:rFonts w:asciiTheme="minorEastAsia" w:hAnsiTheme="minorEastAsia" w:eastAsiaTheme="minorEastAsia"/>
          <w:color w:val="auto"/>
          <w:sz w:val="24"/>
          <w:highlight w:val="none"/>
        </w:rPr>
        <w:t>应提交</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文件要求的</w:t>
      </w:r>
      <w:r>
        <w:rPr>
          <w:rFonts w:asciiTheme="minorEastAsia" w:hAnsiTheme="minorEastAsia" w:eastAsiaTheme="minorEastAsia"/>
          <w:color w:val="auto"/>
          <w:sz w:val="24"/>
          <w:highlight w:val="none"/>
        </w:rPr>
        <w:t>证明文件，证明其</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内容符合</w:t>
      </w:r>
      <w:r>
        <w:rPr>
          <w:rFonts w:hint="eastAsia" w:asciiTheme="minorEastAsia" w:hAnsiTheme="minorEastAsia" w:eastAsiaTheme="minorEastAsia"/>
          <w:color w:val="auto"/>
          <w:sz w:val="24"/>
          <w:highlight w:val="none"/>
          <w:lang w:val="en-US" w:eastAsia="zh-CN"/>
        </w:rPr>
        <w:t>磋商</w:t>
      </w:r>
      <w:r>
        <w:rPr>
          <w:rFonts w:asciiTheme="minorEastAsia" w:hAnsiTheme="minorEastAsia" w:eastAsiaTheme="minorEastAsia"/>
          <w:color w:val="auto"/>
          <w:sz w:val="24"/>
          <w:highlight w:val="none"/>
        </w:rPr>
        <w:t>文件规定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该证明文件是</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文件的一部分</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r>
        <w:rPr>
          <w:rFonts w:hint="eastAsia" w:asciiTheme="minorEastAsia" w:hAnsiTheme="minorEastAsia" w:eastAsiaTheme="minorEastAsia"/>
          <w:color w:val="auto"/>
          <w:sz w:val="24"/>
          <w:highlight w:val="none"/>
          <w:lang w:val="en-US" w:eastAsia="zh-CN"/>
        </w:rPr>
        <w:t>等。</w:t>
      </w:r>
    </w:p>
    <w:p w14:paraId="1888B900">
      <w:pPr>
        <w:spacing w:line="360" w:lineRule="auto"/>
        <w:ind w:firstLine="435"/>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8.3</w:t>
      </w:r>
      <w:r>
        <w:rPr>
          <w:rFonts w:asciiTheme="minorEastAsia" w:hAnsiTheme="minorEastAsia" w:eastAsiaTheme="minorEastAsia"/>
          <w:color w:val="auto"/>
          <w:sz w:val="24"/>
          <w:highlight w:val="none"/>
        </w:rPr>
        <w:t>为保证</w:t>
      </w:r>
      <w:r>
        <w:rPr>
          <w:rFonts w:ascii="宋体" w:hAnsi="宋体" w:eastAsia="宋体"/>
          <w:color w:val="auto"/>
          <w:sz w:val="24"/>
          <w:highlight w:val="none"/>
        </w:rPr>
        <w:t>公平</w:t>
      </w:r>
      <w:r>
        <w:rPr>
          <w:rFonts w:asciiTheme="minorEastAsia" w:hAnsiTheme="minorEastAsia" w:eastAsiaTheme="minorEastAsia"/>
          <w:color w:val="auto"/>
          <w:sz w:val="24"/>
          <w:highlight w:val="none"/>
        </w:rPr>
        <w:t>公正，除非另有规定或说明，</w:t>
      </w:r>
      <w:r>
        <w:rPr>
          <w:rFonts w:hint="eastAsia" w:asciiTheme="minorEastAsia" w:hAnsiTheme="minorEastAsia" w:eastAsiaTheme="minorEastAsia"/>
          <w:color w:val="auto"/>
          <w:sz w:val="24"/>
          <w:highlight w:val="none"/>
          <w:lang w:val="en-US" w:eastAsia="zh-CN"/>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lang w:val="en-US" w:eastAsia="zh-CN"/>
        </w:rPr>
        <w:t>磋商</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w:t>
      </w:r>
      <w:r>
        <w:rPr>
          <w:rFonts w:hint="eastAsia" w:asciiTheme="minorEastAsia" w:hAnsiTheme="minorEastAsia" w:eastAsiaTheme="minorEastAsia"/>
          <w:color w:val="auto"/>
          <w:sz w:val="24"/>
          <w:highlight w:val="none"/>
          <w:lang w:val="en-US" w:eastAsia="zh-CN"/>
        </w:rPr>
        <w:t>磋商</w:t>
      </w:r>
      <w:r>
        <w:rPr>
          <w:rFonts w:asciiTheme="minorEastAsia" w:hAnsiTheme="minorEastAsia" w:eastAsiaTheme="minorEastAsia"/>
          <w:color w:val="auto"/>
          <w:sz w:val="24"/>
          <w:highlight w:val="none"/>
        </w:rPr>
        <w:t>方案。</w:t>
      </w:r>
    </w:p>
    <w:p w14:paraId="6989ED6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14:paraId="5EF56D9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全部采购需求所应提供的</w:t>
      </w:r>
      <w:r>
        <w:rPr>
          <w:rFonts w:hint="eastAsia" w:asciiTheme="minorEastAsia" w:hAnsiTheme="minorEastAsia" w:eastAsiaTheme="minorEastAsia"/>
          <w:color w:val="auto"/>
          <w:sz w:val="24"/>
          <w:highlight w:val="none"/>
        </w:rPr>
        <w:t>货物，</w:t>
      </w:r>
      <w:r>
        <w:rPr>
          <w:rFonts w:asciiTheme="minorEastAsia" w:hAnsiTheme="minorEastAsia" w:eastAsiaTheme="minorEastAsia"/>
          <w:color w:val="auto"/>
          <w:sz w:val="24"/>
          <w:highlight w:val="none"/>
        </w:rPr>
        <w:t>以及伴随的</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和工程</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除磋商文件另有规定外，</w:t>
      </w:r>
      <w:r>
        <w:rPr>
          <w:rFonts w:hint="eastAsia" w:asciiTheme="minorEastAsia" w:hAnsiTheme="minorEastAsia" w:eastAsiaTheme="minorEastAsia"/>
          <w:color w:val="auto"/>
          <w:sz w:val="24"/>
          <w:highlight w:val="none"/>
        </w:rPr>
        <w:t>所有内容均应以人民币报价，供应商的磋商报价应遵守《中华人民共和国价格法》。</w:t>
      </w:r>
    </w:p>
    <w:p w14:paraId="655DAFC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除非磋商文件另有规定或经采购人同意支付的，最后报价均不得高于磋商文件（公告）列明的项目预算，否则其响应文件将被认定为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491631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39A5318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14:paraId="4BDC58A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磋商保证金</w:t>
      </w:r>
    </w:p>
    <w:p w14:paraId="4DAD8D6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10</w:t>
      </w:r>
      <w:r>
        <w:rPr>
          <w:rFonts w:hint="eastAsia" w:asciiTheme="minorEastAsia" w:hAnsiTheme="minorEastAsia" w:eastAsiaTheme="minorEastAsia"/>
          <w:color w:val="auto"/>
          <w:sz w:val="24"/>
          <w:highlight w:val="none"/>
        </w:rPr>
        <w:t>.1本项目不收取磋商保证金。</w:t>
      </w:r>
    </w:p>
    <w:p w14:paraId="41CBBF6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磋商有效期</w:t>
      </w:r>
    </w:p>
    <w:p w14:paraId="4D56841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11</w:t>
      </w:r>
      <w:r>
        <w:rPr>
          <w:rFonts w:asciiTheme="minorEastAsia" w:hAnsiTheme="minorEastAsia" w:eastAsiaTheme="minorEastAsia"/>
          <w:color w:val="auto"/>
          <w:sz w:val="24"/>
          <w:highlight w:val="none"/>
        </w:rPr>
        <w:t>.1磋商有效期为从响应文件提交截止之日算起的日历天数，磋商有效期详见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7E92B87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11</w:t>
      </w:r>
      <w:r>
        <w:rPr>
          <w:rFonts w:asciiTheme="minorEastAsia" w:hAnsiTheme="minorEastAsia" w:eastAsiaTheme="minorEastAsia"/>
          <w:color w:val="auto"/>
          <w:sz w:val="24"/>
          <w:highlight w:val="none"/>
        </w:rPr>
        <w:t>.2在磋商有效期内，供应商的磋商保持有效，供应商不得要求撤销或修改其响应文件。磋商有效期不满足要求的响应，其响应文件将被认定为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150D266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11</w:t>
      </w:r>
      <w:r>
        <w:rPr>
          <w:rFonts w:asciiTheme="minorEastAsia" w:hAnsiTheme="minorEastAsia" w:eastAsiaTheme="minorEastAsia"/>
          <w:color w:val="auto"/>
          <w:sz w:val="24"/>
          <w:highlight w:val="none"/>
        </w:rPr>
        <w:t>.3为保证有充分时间签订合同，采购人或采购代理机构可根据实际情况，在原磋商有效期截止之前，要求供应商延长磋商有效期。接受该要求的供应商将不会被要求和允许修正其响应文件。供应商可以拒绝延长磋商有效期的要求，且不承担任何责任。上述要求和答复都应以书面形式提交。</w:t>
      </w:r>
    </w:p>
    <w:p w14:paraId="672315B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14:paraId="7CA381C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12</w:t>
      </w:r>
      <w:r>
        <w:rPr>
          <w:rFonts w:hint="eastAsia" w:asciiTheme="minorEastAsia" w:hAnsiTheme="minorEastAsia" w:eastAsiaTheme="minorEastAsia"/>
          <w:color w:val="auto"/>
          <w:sz w:val="24"/>
          <w:highlight w:val="none"/>
        </w:rPr>
        <w:t>.1供应商应当在第一章</w:t>
      </w:r>
      <w:r>
        <w:rPr>
          <w:rFonts w:hint="eastAsia" w:asciiTheme="minorEastAsia" w:hAnsiTheme="minorEastAsia" w:eastAsiaTheme="minorEastAsia"/>
          <w:color w:val="auto"/>
          <w:sz w:val="24"/>
          <w:highlight w:val="none"/>
          <w:u w:val="none"/>
          <w:lang w:val="en-US" w:eastAsia="zh-CN"/>
        </w:rPr>
        <w:t>竞争性磋商公告</w:t>
      </w:r>
      <w:r>
        <w:rPr>
          <w:rFonts w:hint="eastAsia" w:asciiTheme="minorEastAsia" w:hAnsiTheme="minorEastAsia" w:eastAsiaTheme="minorEastAsia"/>
          <w:color w:val="auto"/>
          <w:sz w:val="24"/>
          <w:highlight w:val="none"/>
        </w:rPr>
        <w:t>规定的响应文件提交截止时间前</w:t>
      </w:r>
      <w:r>
        <w:rPr>
          <w:rFonts w:hint="eastAsia" w:asciiTheme="minorEastAsia" w:hAnsiTheme="minorEastAsia" w:eastAsiaTheme="minorEastAsia"/>
          <w:color w:val="auto"/>
          <w:sz w:val="24"/>
          <w:highlight w:val="none"/>
          <w:lang w:val="en-US" w:eastAsia="zh-CN"/>
        </w:rPr>
        <w:t>书面提交</w:t>
      </w:r>
      <w:r>
        <w:rPr>
          <w:rFonts w:asciiTheme="minorEastAsia" w:hAnsiTheme="minorEastAsia" w:eastAsiaTheme="minorEastAsia"/>
          <w:color w:val="auto"/>
          <w:sz w:val="24"/>
          <w:highlight w:val="none"/>
        </w:rPr>
        <w:t>。</w:t>
      </w:r>
    </w:p>
    <w:p w14:paraId="5C3375B0">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12</w:t>
      </w:r>
      <w:r>
        <w:rPr>
          <w:rFonts w:hint="eastAsia" w:asciiTheme="minorEastAsia" w:hAnsiTheme="minorEastAsia" w:eastAsiaTheme="minorEastAsia"/>
          <w:color w:val="auto"/>
          <w:sz w:val="24"/>
          <w:highlight w:val="none"/>
        </w:rPr>
        <w:t>.2供应商应当在响应文件提交截止时间前完成响应文件的提交，并可以补充、修改或者撤回响应文件。</w:t>
      </w:r>
    </w:p>
    <w:p w14:paraId="3CAA54EE">
      <w:pPr>
        <w:spacing w:line="360" w:lineRule="auto"/>
        <w:ind w:firstLine="435"/>
        <w:rPr>
          <w:rFonts w:ascii="宋体" w:hAnsi="宋体" w:eastAsia="宋体"/>
          <w:color w:val="auto"/>
          <w:sz w:val="24"/>
          <w:highlight w:val="none"/>
        </w:rPr>
      </w:pPr>
      <w:r>
        <w:rPr>
          <w:rFonts w:hint="eastAsia" w:asciiTheme="minorEastAsia" w:hAnsiTheme="minorEastAsia" w:eastAsiaTheme="minorEastAsia"/>
          <w:color w:val="auto"/>
          <w:sz w:val="24"/>
          <w:highlight w:val="none"/>
          <w:lang w:val="en-US" w:eastAsia="zh-CN"/>
        </w:rPr>
        <w:t>12</w:t>
      </w:r>
      <w:r>
        <w:rPr>
          <w:rFonts w:hint="eastAsia" w:asciiTheme="minorEastAsia" w:hAnsiTheme="minorEastAsia" w:eastAsiaTheme="minorEastAsia"/>
          <w:color w:val="auto"/>
          <w:sz w:val="24"/>
          <w:highlight w:val="none"/>
        </w:rPr>
        <w:t>.4在响应文件提交截止时间之后，供应商不得对其响应文件做任何修改。</w:t>
      </w:r>
      <w:r>
        <w:rPr>
          <w:rFonts w:hint="eastAsia" w:ascii="宋体" w:hAnsi="宋体" w:eastAsia="宋体"/>
          <w:color w:val="auto"/>
          <w:sz w:val="24"/>
          <w:highlight w:val="none"/>
        </w:rPr>
        <w:t>但属于磋商小组在评审中发现的计算错误并进行核实的修改、按照磋商文件的变动情况和磋商小组的要求重新提交响应文件的，不在此列。</w:t>
      </w:r>
    </w:p>
    <w:p w14:paraId="5C17EA3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磋商小组</w:t>
      </w:r>
    </w:p>
    <w:p w14:paraId="034EC64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13</w:t>
      </w:r>
      <w:r>
        <w:rPr>
          <w:rFonts w:asciiTheme="minorEastAsia" w:hAnsiTheme="minorEastAsia" w:eastAsiaTheme="minorEastAsia"/>
          <w:color w:val="auto"/>
          <w:sz w:val="24"/>
          <w:highlight w:val="none"/>
        </w:rPr>
        <w:t>.1本项目将依法组建磋商小组，磋商小组成员由3人以上</w:t>
      </w:r>
      <w:r>
        <w:rPr>
          <w:rFonts w:hint="eastAsia" w:asciiTheme="minorEastAsia" w:hAnsiTheme="minorEastAsia" w:eastAsiaTheme="minorEastAsia"/>
          <w:color w:val="auto"/>
          <w:sz w:val="24"/>
          <w:highlight w:val="none"/>
        </w:rPr>
        <w:t>（含）</w:t>
      </w:r>
      <w:r>
        <w:rPr>
          <w:rFonts w:asciiTheme="minorEastAsia" w:hAnsiTheme="minorEastAsia" w:eastAsiaTheme="minorEastAsia"/>
          <w:color w:val="auto"/>
          <w:sz w:val="24"/>
          <w:highlight w:val="none"/>
        </w:rPr>
        <w:t>单数组成，磋商小组及其成员应当依照政府采购的有关规定履行相关职责和义务。</w:t>
      </w:r>
    </w:p>
    <w:p w14:paraId="486D84A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13</w:t>
      </w:r>
      <w:r>
        <w:rPr>
          <w:rFonts w:asciiTheme="minorEastAsia" w:hAnsiTheme="minorEastAsia" w:eastAsiaTheme="minorEastAsia"/>
          <w:color w:val="auto"/>
          <w:sz w:val="24"/>
          <w:highlight w:val="none"/>
        </w:rPr>
        <w:t>.2磋商小组依法对响应文件进行评审，并根据磋商文件规定的程序、评定成交的标准等事项与实质性响应磋商文件要求的供应商进行磋商。</w:t>
      </w:r>
    </w:p>
    <w:p w14:paraId="6EC58FA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13</w:t>
      </w:r>
      <w:r>
        <w:rPr>
          <w:rFonts w:asciiTheme="minorEastAsia" w:hAnsiTheme="minorEastAsia" w:eastAsiaTheme="minorEastAsia"/>
          <w:color w:val="auto"/>
          <w:sz w:val="24"/>
          <w:highlight w:val="none"/>
        </w:rPr>
        <w:t>.3磋商小组应当从质量和服务均能满足磋商文件实质性响应要求的供应商中，按照评审方法和标准</w:t>
      </w:r>
      <w:r>
        <w:rPr>
          <w:rFonts w:hint="eastAsia" w:asciiTheme="minorEastAsia" w:hAnsiTheme="minorEastAsia" w:eastAsiaTheme="minorEastAsia"/>
          <w:color w:val="auto"/>
          <w:sz w:val="24"/>
          <w:highlight w:val="none"/>
        </w:rPr>
        <w:t>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14:paraId="1CF2F8C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14</w:t>
      </w:r>
      <w:r>
        <w:rPr>
          <w:rFonts w:asciiTheme="minorEastAsia" w:hAnsiTheme="minorEastAsia" w:eastAsiaTheme="minorEastAsia"/>
          <w:b/>
          <w:color w:val="auto"/>
          <w:sz w:val="24"/>
          <w:highlight w:val="none"/>
        </w:rPr>
        <w:t>.响应文件的评审与磋商</w:t>
      </w:r>
    </w:p>
    <w:p w14:paraId="6AC7ECC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1采购人和采购代理机构将在</w:t>
      </w:r>
      <w:r>
        <w:rPr>
          <w:rFonts w:hint="eastAsia" w:asciiTheme="minorEastAsia" w:hAnsiTheme="minorEastAsia" w:eastAsiaTheme="minorEastAsia"/>
          <w:color w:val="auto"/>
          <w:sz w:val="24"/>
          <w:highlight w:val="none"/>
          <w:u w:val="none"/>
          <w:lang w:val="en-US" w:eastAsia="zh-CN"/>
        </w:rPr>
        <w:t>竞争性磋商公告</w:t>
      </w:r>
      <w:r>
        <w:rPr>
          <w:rFonts w:hint="eastAsia" w:asciiTheme="minorEastAsia" w:hAnsiTheme="minorEastAsia" w:eastAsiaTheme="minorEastAsia"/>
          <w:color w:val="auto"/>
          <w:sz w:val="24"/>
          <w:highlight w:val="none"/>
        </w:rPr>
        <w:t>规定的时间和地点组织磋商。</w:t>
      </w:r>
    </w:p>
    <w:p w14:paraId="06C2AAC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.2竞争性磋商活动采用综合评分法评审。</w:t>
      </w:r>
    </w:p>
    <w:p w14:paraId="5B322EA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综合评分法，是指响应文件满足磋商文件全部实质性要求且按评审因素的量化指标评审得分最高的供应商为成交候选供应商的评审方法。</w:t>
      </w:r>
    </w:p>
    <w:p w14:paraId="22B0F5E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.3磋商小组将按照磋商文件规定的评审方法和标准对供应商独立进行评审。评审程序如下：</w:t>
      </w:r>
    </w:p>
    <w:p w14:paraId="0AAB1EF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。磋商小组对供应商必须满足和实质性响应的内容进行评审，供应商未实质性响应磋商文件要求导致响应无效的，磋商小组将以书面询标的方式告知有关供应商。</w:t>
      </w:r>
    </w:p>
    <w:p w14:paraId="7B5E092D">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14:paraId="62607574">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的，联合体成员存在以上不良信用记录的，联合体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14:paraId="5E85607D">
      <w:pPr>
        <w:spacing w:line="360" w:lineRule="auto"/>
        <w:ind w:firstLine="435"/>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14:paraId="33770DC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磋商</w:t>
      </w:r>
      <w:r>
        <w:rPr>
          <w:rFonts w:hint="eastAsia" w:asciiTheme="minorEastAsia" w:hAnsiTheme="minorEastAsia" w:eastAsiaTheme="minorEastAsia"/>
          <w:color w:val="auto"/>
          <w:sz w:val="24"/>
          <w:highlight w:val="none"/>
        </w:rPr>
        <w:t>。初审合格后，磋商小组将按响应文件提交顺序集中与单一供应商分别进行磋商，并给予所有参加磋商的供应商平等的磋商机会。</w:t>
      </w:r>
    </w:p>
    <w:p w14:paraId="5DCCC47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磋商结束后，磋商小组应当要求所有</w:t>
      </w:r>
      <w:r>
        <w:rPr>
          <w:rFonts w:hint="eastAsia" w:asciiTheme="minorEastAsia" w:hAnsiTheme="minorEastAsia" w:eastAsiaTheme="minorEastAsia"/>
          <w:color w:val="auto"/>
          <w:sz w:val="24"/>
          <w:highlight w:val="none"/>
        </w:rPr>
        <w:t>实质性响应</w:t>
      </w:r>
      <w:r>
        <w:rPr>
          <w:rFonts w:asciiTheme="minorEastAsia" w:hAnsiTheme="minorEastAsia" w:eastAsiaTheme="minorEastAsia"/>
          <w:color w:val="auto"/>
          <w:sz w:val="24"/>
          <w:highlight w:val="none"/>
        </w:rPr>
        <w:t>的供应商在规定时间内提交最后报价</w:t>
      </w:r>
      <w:r>
        <w:rPr>
          <w:rFonts w:hint="eastAsia" w:ascii="宋体" w:hAnsi="宋体" w:eastAsia="宋体"/>
          <w:color w:val="auto"/>
          <w:sz w:val="24"/>
          <w:highlight w:val="none"/>
        </w:rPr>
        <w:t>。</w:t>
      </w:r>
    </w:p>
    <w:p w14:paraId="0F16B530">
      <w:pPr>
        <w:spacing w:line="360" w:lineRule="auto"/>
        <w:ind w:firstLine="435"/>
        <w:rPr>
          <w:highlight w:val="none"/>
        </w:rPr>
      </w:pPr>
      <w:r>
        <w:rPr>
          <w:rFonts w:hint="eastAsia" w:asciiTheme="minorEastAsia" w:hAnsiTheme="minorEastAsia" w:eastAsiaTheme="minorEastAsia"/>
          <w:sz w:val="24"/>
          <w:highlight w:val="none"/>
          <w:lang w:val="en-US" w:eastAsia="zh-CN"/>
        </w:rPr>
        <w:t xml:space="preserve">14.3.4 </w:t>
      </w:r>
      <w:r>
        <w:rPr>
          <w:rFonts w:hint="eastAsia" w:asciiTheme="minorEastAsia" w:hAnsiTheme="minorEastAsia" w:eastAsiaTheme="minorEastAsia"/>
          <w:b/>
          <w:bCs/>
          <w:sz w:val="24"/>
          <w:highlight w:val="none"/>
          <w:lang w:val="en-US" w:eastAsia="zh-CN"/>
        </w:rPr>
        <w:t>异常低价响应审查。</w:t>
      </w:r>
      <w:r>
        <w:rPr>
          <w:rFonts w:hint="eastAsia" w:ascii="宋体" w:hAnsi="宋体" w:eastAsia="宋体"/>
          <w:sz w:val="24"/>
          <w:highlight w:val="none"/>
        </w:rPr>
        <w:t>根据《</w:t>
      </w:r>
      <w:r>
        <w:rPr>
          <w:rFonts w:hint="eastAsia" w:ascii="宋体" w:hAnsi="宋体" w:eastAsia="宋体"/>
          <w:sz w:val="24"/>
          <w:highlight w:val="none"/>
          <w:lang w:val="en-US" w:eastAsia="zh-CN"/>
        </w:rPr>
        <w:t>关于推进解决政府采购异常低价问题的通知</w:t>
      </w:r>
      <w:r>
        <w:rPr>
          <w:rFonts w:hint="eastAsia" w:ascii="宋体" w:hAnsi="宋体" w:eastAsia="宋体"/>
          <w:sz w:val="24"/>
          <w:highlight w:val="none"/>
        </w:rPr>
        <w:t>》（财库〔</w:t>
      </w:r>
      <w:r>
        <w:rPr>
          <w:rFonts w:ascii="宋体" w:hAnsi="宋体" w:eastAsia="宋体"/>
          <w:sz w:val="24"/>
          <w:highlight w:val="none"/>
        </w:rPr>
        <w:t>202</w:t>
      </w:r>
      <w:r>
        <w:rPr>
          <w:rFonts w:hint="eastAsia" w:ascii="宋体" w:hAnsi="宋体" w:eastAsia="宋体"/>
          <w:sz w:val="24"/>
          <w:highlight w:val="none"/>
          <w:lang w:val="en-US" w:eastAsia="zh-CN"/>
        </w:rPr>
        <w:t>6</w:t>
      </w:r>
      <w:r>
        <w:rPr>
          <w:rFonts w:ascii="宋体" w:hAnsi="宋体" w:eastAsia="宋体"/>
          <w:sz w:val="24"/>
          <w:highlight w:val="none"/>
        </w:rPr>
        <w:t>〕</w:t>
      </w:r>
      <w:r>
        <w:rPr>
          <w:rFonts w:hint="eastAsia" w:ascii="宋体" w:hAnsi="宋体" w:eastAsia="宋体"/>
          <w:sz w:val="24"/>
          <w:highlight w:val="none"/>
          <w:lang w:val="en-US" w:eastAsia="zh-CN"/>
        </w:rPr>
        <w:t>2</w:t>
      </w:r>
      <w:r>
        <w:rPr>
          <w:rFonts w:ascii="宋体" w:hAnsi="宋体" w:eastAsia="宋体"/>
          <w:sz w:val="24"/>
          <w:highlight w:val="none"/>
        </w:rPr>
        <w:t>号</w:t>
      </w:r>
      <w:r>
        <w:rPr>
          <w:rFonts w:hint="eastAsia" w:ascii="宋体" w:hAnsi="宋体" w:eastAsia="宋体"/>
          <w:sz w:val="24"/>
          <w:highlight w:val="none"/>
        </w:rPr>
        <w:t>）</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磋商小组进行异常低价响应审查。</w:t>
      </w:r>
    </w:p>
    <w:p w14:paraId="00B1A04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lang w:val="en-US" w:eastAsia="zh-CN"/>
        </w:rPr>
        <w:t>5</w:t>
      </w:r>
      <w:r>
        <w:rPr>
          <w:rFonts w:hint="eastAsia" w:asciiTheme="minorEastAsia" w:hAnsiTheme="minorEastAsia" w:eastAsiaTheme="minorEastAsia"/>
          <w:b/>
          <w:color w:val="auto"/>
          <w:sz w:val="24"/>
          <w:highlight w:val="none"/>
        </w:rPr>
        <w:t>综合评分</w:t>
      </w:r>
      <w:r>
        <w:rPr>
          <w:rFonts w:hint="eastAsia" w:asciiTheme="minorEastAsia" w:hAnsiTheme="minorEastAsia" w:eastAsiaTheme="minorEastAsia"/>
          <w:color w:val="auto"/>
          <w:sz w:val="24"/>
          <w:highlight w:val="none"/>
        </w:rPr>
        <w:t>。磋商小组只对通过初审</w:t>
      </w:r>
      <w:r>
        <w:rPr>
          <w:rFonts w:hint="eastAsia" w:asciiTheme="minorEastAsia" w:hAnsiTheme="minorEastAsia" w:eastAsiaTheme="minorEastAsia"/>
          <w:sz w:val="24"/>
          <w:highlight w:val="none"/>
          <w:lang w:eastAsia="zh-CN"/>
        </w:rPr>
        <w:t>、</w:t>
      </w:r>
      <w:r>
        <w:rPr>
          <w:rFonts w:hint="eastAsia" w:ascii="宋体" w:hAnsi="宋体" w:eastAsia="宋体"/>
          <w:sz w:val="24"/>
          <w:highlight w:val="none"/>
          <w:lang w:val="en-US" w:eastAsia="zh-CN"/>
        </w:rPr>
        <w:t>异常低价响应审查</w:t>
      </w:r>
      <w:r>
        <w:rPr>
          <w:rFonts w:hint="eastAsia" w:asciiTheme="minorEastAsia" w:hAnsiTheme="minorEastAsia" w:eastAsiaTheme="minorEastAsia"/>
          <w:color w:val="auto"/>
          <w:sz w:val="24"/>
          <w:highlight w:val="none"/>
        </w:rPr>
        <w:t>，实质上响应磋商文件要求的响应文件进行综合评分。经磋商确定最终采购需求和提交最后报价的供应商后，由磋商小组采用综合评分法对提交最后报价的供应商的响应文件和最后报价进行综合评分。</w:t>
      </w:r>
    </w:p>
    <w:p w14:paraId="50D37FE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.4相关说明。</w:t>
      </w:r>
    </w:p>
    <w:p w14:paraId="2DD5A16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.4.1为保证磋商活动顺利进行，供应商可派相关技术人员进行</w:t>
      </w:r>
      <w:r>
        <w:rPr>
          <w:rFonts w:hint="eastAsia" w:asciiTheme="minorEastAsia" w:hAnsiTheme="minorEastAsia" w:eastAsiaTheme="minorEastAsia"/>
          <w:color w:val="auto"/>
          <w:sz w:val="24"/>
          <w:highlight w:val="none"/>
          <w:lang w:val="en-US" w:eastAsia="zh-CN"/>
        </w:rPr>
        <w:t>现场</w:t>
      </w:r>
      <w:r>
        <w:rPr>
          <w:rFonts w:hint="eastAsia" w:asciiTheme="minorEastAsia" w:hAnsiTheme="minorEastAsia" w:eastAsiaTheme="minorEastAsia"/>
          <w:color w:val="auto"/>
          <w:sz w:val="24"/>
          <w:highlight w:val="none"/>
        </w:rPr>
        <w:t xml:space="preserve">答疑； </w:t>
      </w:r>
    </w:p>
    <w:p w14:paraId="611B935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.4.2磋</w:t>
      </w:r>
      <w:r>
        <w:rPr>
          <w:rFonts w:asciiTheme="minorEastAsia" w:hAnsiTheme="minorEastAsia" w:eastAsiaTheme="minorEastAsia"/>
          <w:color w:val="auto"/>
          <w:sz w:val="24"/>
          <w:highlight w:val="none"/>
        </w:rPr>
        <w:t>商小组根据与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磋商情况可能实质性变动</w:t>
      </w:r>
      <w:r>
        <w:rPr>
          <w:rFonts w:hint="eastAsia" w:asciiTheme="minorEastAsia" w:hAnsiTheme="minorEastAsia" w:eastAsiaTheme="minorEastAsia"/>
          <w:color w:val="auto"/>
          <w:sz w:val="24"/>
          <w:highlight w:val="none"/>
        </w:rPr>
        <w:t>磋商文件</w:t>
      </w:r>
      <w:r>
        <w:rPr>
          <w:rFonts w:asciiTheme="minorEastAsia" w:hAnsiTheme="minorEastAsia" w:eastAsiaTheme="minorEastAsia"/>
          <w:color w:val="auto"/>
          <w:sz w:val="24"/>
          <w:highlight w:val="none"/>
        </w:rPr>
        <w:t>的内容，包括采购需求中的技术、服务要求以及合同草案条款。磋商文件有实质性变动的，</w:t>
      </w:r>
      <w:r>
        <w:rPr>
          <w:rFonts w:hint="eastAsia" w:asciiTheme="minorEastAsia" w:hAnsiTheme="minorEastAsia" w:eastAsiaTheme="minorEastAsia"/>
          <w:color w:val="auto"/>
          <w:sz w:val="24"/>
          <w:highlight w:val="none"/>
        </w:rPr>
        <w:t>经采购人代表确认作为磋商文件的有效组成部分，</w:t>
      </w:r>
      <w:r>
        <w:rPr>
          <w:rFonts w:asciiTheme="minorEastAsia" w:hAnsiTheme="minorEastAsia" w:eastAsiaTheme="minorEastAsia"/>
          <w:color w:val="auto"/>
          <w:sz w:val="24"/>
          <w:highlight w:val="none"/>
        </w:rPr>
        <w:t>磋商小组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以书面形式通知所有参加磋商的供应商。</w:t>
      </w:r>
    </w:p>
    <w:p w14:paraId="00B2AAF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.4.</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lang w:val="en-US" w:eastAsia="zh-CN"/>
        </w:rPr>
        <w:t>投标文件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小组可以视同其未提供。</w:t>
      </w:r>
    </w:p>
    <w:p w14:paraId="22250CB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14</w:t>
      </w:r>
      <w:r>
        <w:rPr>
          <w:rFonts w:hint="eastAsia" w:asciiTheme="minorEastAsia" w:hAnsiTheme="minorEastAsia" w:eastAsiaTheme="minorEastAsia"/>
          <w:color w:val="auto"/>
          <w:sz w:val="24"/>
          <w:highlight w:val="none"/>
        </w:rPr>
        <w:t>.4.</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14:paraId="5EE6AF7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磋商过程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14:paraId="2C3FCA07">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.终止竞争性磋商</w:t>
      </w:r>
    </w:p>
    <w:p w14:paraId="465F79A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.1出现下列情况之一时，采购人和采购代理机构有权宣布终止竞争性磋商采购，并将理由通知所有供应商：</w:t>
      </w:r>
    </w:p>
    <w:p w14:paraId="435C741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（1）有效供应商数量不足，导致本次磋商缺乏竞争的；</w:t>
      </w:r>
    </w:p>
    <w:p w14:paraId="623DB1F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14:paraId="24E5CD6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14:paraId="43850891">
      <w:pPr>
        <w:spacing w:line="360" w:lineRule="auto"/>
        <w:ind w:firstLine="437"/>
        <w:outlineLvl w:val="2"/>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14:paraId="44CE1D7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14:paraId="623D987F">
      <w:pPr>
        <w:spacing w:line="360" w:lineRule="auto"/>
        <w:ind w:firstLine="470" w:firstLineChars="196"/>
        <w:rPr>
          <w:rFonts w:ascii="宋体" w:hAnsi="宋体" w:eastAsia="宋体"/>
          <w:color w:val="auto"/>
          <w:sz w:val="24"/>
          <w:highlight w:val="none"/>
        </w:rPr>
      </w:pPr>
      <w:r>
        <w:rPr>
          <w:rFonts w:hint="eastAsia" w:ascii="宋体" w:hAnsi="宋体" w:eastAsia="宋体"/>
          <w:color w:val="auto"/>
          <w:sz w:val="24"/>
          <w:highlight w:val="none"/>
          <w:lang w:val="en-US" w:eastAsia="zh-CN"/>
        </w:rPr>
        <w:t>16</w:t>
      </w:r>
      <w:r>
        <w:rPr>
          <w:rFonts w:hint="eastAsia" w:ascii="宋体" w:hAnsi="宋体" w:eastAsia="宋体"/>
          <w:color w:val="auto"/>
          <w:sz w:val="24"/>
          <w:highlight w:val="none"/>
        </w:rPr>
        <w:t>.1磋商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4916DDC0">
      <w:pPr>
        <w:spacing w:line="360" w:lineRule="auto"/>
        <w:ind w:firstLine="470" w:firstLineChars="196"/>
        <w:rPr>
          <w:rFonts w:ascii="宋体" w:hAnsi="宋体" w:eastAsia="宋体"/>
          <w:color w:val="auto"/>
          <w:sz w:val="24"/>
          <w:highlight w:val="none"/>
        </w:rPr>
      </w:pPr>
      <w:r>
        <w:rPr>
          <w:rFonts w:hint="eastAsia" w:ascii="宋体" w:hAnsi="宋体" w:eastAsia="宋体"/>
          <w:color w:val="auto"/>
          <w:sz w:val="24"/>
          <w:highlight w:val="none"/>
          <w:lang w:val="en-US" w:eastAsia="zh-CN"/>
        </w:rPr>
        <w:t>16</w:t>
      </w:r>
      <w:r>
        <w:rPr>
          <w:rFonts w:hint="eastAsia" w:ascii="宋体" w:hAnsi="宋体" w:eastAsia="宋体"/>
          <w:color w:val="auto"/>
          <w:sz w:val="24"/>
          <w:highlight w:val="none"/>
        </w:rPr>
        <w:t>.2磋商小组要求供应商澄清、说明或者更正响应文件应当以书面形式（询标）作出。供应商的澄清、说明或者更正应当由法定代表人或其授权代表签字或者加盖公章。</w:t>
      </w:r>
    </w:p>
    <w:p w14:paraId="3E2B3D3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14:paraId="722AB06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磋商并不限定只进行二轮报价，如果磋商小组认为有必要，可以要求供应商进行多轮报价。</w:t>
      </w: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b/>
          <w:bCs/>
          <w:color w:val="auto"/>
          <w:sz w:val="24"/>
          <w:highlight w:val="none"/>
          <w:lang w:val="en-US" w:eastAsia="zh-CN"/>
        </w:rPr>
        <w:t>注：本项目约定为两次报价）</w:t>
      </w:r>
    </w:p>
    <w:p w14:paraId="6F175301">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在磋商内容不做实质性变更或重大调整的前提下，供应商下轮报价不得高于上一轮报价</w:t>
      </w:r>
      <w:r>
        <w:rPr>
          <w:rFonts w:hint="eastAsia" w:asciiTheme="minorEastAsia" w:hAnsiTheme="minorEastAsia" w:eastAsiaTheme="minorEastAsia"/>
          <w:color w:val="auto"/>
          <w:sz w:val="24"/>
          <w:highlight w:val="none"/>
        </w:rPr>
        <w:t>。</w:t>
      </w:r>
    </w:p>
    <w:p w14:paraId="4D7837E2">
      <w:pPr>
        <w:spacing w:line="360" w:lineRule="auto"/>
        <w:ind w:firstLine="435"/>
      </w:pPr>
      <w:r>
        <w:rPr>
          <w:rFonts w:hint="eastAsia" w:asciiTheme="majorEastAsia" w:hAnsiTheme="majorEastAsia" w:eastAsiaTheme="majorEastAsia"/>
          <w:color w:val="auto"/>
          <w:sz w:val="24"/>
          <w:highlight w:val="none"/>
          <w:lang w:val="en-US" w:eastAsia="zh-CN"/>
        </w:rPr>
        <w:t>若供应商未在规定的时间内进行二次报价（最后报价）或二次报价被谈判小组认为不符合要求的，谈判小组默认其响应文件中（商务报价第一次）填报的价格为供应商的最后报价。</w:t>
      </w:r>
    </w:p>
    <w:p w14:paraId="42048D0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14:paraId="59CBF7D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14:paraId="61756781">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1</w:t>
      </w:r>
      <w:r>
        <w:rPr>
          <w:rFonts w:hint="eastAsia" w:asciiTheme="minorEastAsia" w:hAnsiTheme="minorEastAsia" w:eastAsiaTheme="minorEastAsia"/>
          <w:color w:val="auto"/>
          <w:sz w:val="24"/>
          <w:highlight w:val="none"/>
        </w:rPr>
        <w:t>磋商小组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磋商</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和标准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按照有效供应商综合总得分由高到低依次推荐成交候选供应商。综合总得分出现两家或两家以上相同者，按最后报价由低到高排序推荐成交候选供应商；综合总得分且最后报价均相同的，</w:t>
      </w:r>
      <w:r>
        <w:rPr>
          <w:rFonts w:asciiTheme="minorEastAsia" w:hAnsiTheme="minorEastAsia" w:eastAsiaTheme="minorEastAsia"/>
          <w:color w:val="auto"/>
          <w:sz w:val="24"/>
          <w:highlight w:val="none"/>
        </w:rPr>
        <w:t>则</w:t>
      </w:r>
      <w:r>
        <w:rPr>
          <w:rFonts w:hint="eastAsia"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采购人</w:t>
      </w:r>
      <w:r>
        <w:rPr>
          <w:rFonts w:hint="eastAsia" w:asciiTheme="minorEastAsia" w:hAnsiTheme="minorEastAsia" w:eastAsiaTheme="minorEastAsia"/>
          <w:color w:val="auto"/>
          <w:sz w:val="24"/>
          <w:highlight w:val="none"/>
        </w:rPr>
        <w:t>采取随机抽取方式确定。</w:t>
      </w:r>
    </w:p>
    <w:p w14:paraId="10C5AB9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14:paraId="6865C19A">
      <w:pPr>
        <w:spacing w:line="360" w:lineRule="auto"/>
        <w:ind w:firstLine="435"/>
        <w:rPr>
          <w:rFonts w:asciiTheme="minorEastAsia" w:hAnsiTheme="minorEastAsia" w:eastAsiaTheme="minorEastAsia"/>
          <w:color w:val="auto"/>
          <w:sz w:val="24"/>
          <w:highlight w:val="none"/>
        </w:rPr>
      </w:pPr>
      <w:r>
        <w:rPr>
          <w:rFonts w:hint="eastAsia" w:ascii="宋体" w:hAnsi="宋体" w:eastAsia="宋体"/>
          <w:color w:val="auto"/>
          <w:sz w:val="24"/>
          <w:highlight w:val="none"/>
          <w:lang w:val="en-US" w:eastAsia="zh-CN"/>
        </w:rPr>
        <w:t>19</w:t>
      </w:r>
      <w:r>
        <w:rPr>
          <w:rFonts w:hint="eastAsia" w:ascii="宋体" w:hAnsi="宋体" w:eastAsia="宋体"/>
          <w:color w:val="auto"/>
          <w:sz w:val="24"/>
          <w:highlight w:val="none"/>
        </w:rPr>
        <w:t>.1磋商小组根据综合评分的结果和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ascii="宋体" w:hAnsi="宋体" w:eastAsia="宋体"/>
          <w:color w:val="auto"/>
          <w:sz w:val="24"/>
          <w:highlight w:val="none"/>
        </w:rPr>
        <w:t>确定成交候选供应商，并标明排列顺序。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磋商小组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14:paraId="63FCD94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14:paraId="437E0B5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磋商小组成员签字的原始评审记录和评审结果编写的报告，评审报告由磋商小组全体成员签字。对评审结论持有异议的磋商小组成员可以书面方式阐述其不同意见和理由。磋商小组成员拒绝在评审报告上签字且不陈述其不同意见和理由的，视为同意评审结论。</w:t>
      </w:r>
    </w:p>
    <w:p w14:paraId="249C733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14:paraId="0AD2AB36">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21</w:t>
      </w:r>
      <w:r>
        <w:rPr>
          <w:rFonts w:hint="eastAsia" w:ascii="宋体" w:hAnsi="宋体" w:eastAsia="宋体"/>
          <w:color w:val="auto"/>
          <w:sz w:val="24"/>
          <w:highlight w:val="none"/>
        </w:rPr>
        <w:t>.1评审将在严格保密的情况下进行。</w:t>
      </w:r>
    </w:p>
    <w:p w14:paraId="677DC72B">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21</w:t>
      </w:r>
      <w:r>
        <w:rPr>
          <w:rFonts w:hint="eastAsia" w:ascii="宋体" w:hAnsi="宋体" w:eastAsia="宋体"/>
          <w:color w:val="auto"/>
          <w:sz w:val="24"/>
          <w:highlight w:val="none"/>
        </w:rPr>
        <w:t>.2有关人员</w:t>
      </w:r>
      <w:r>
        <w:rPr>
          <w:rFonts w:ascii="宋体" w:hAnsi="宋体" w:eastAsia="宋体"/>
          <w:color w:val="auto"/>
          <w:sz w:val="24"/>
          <w:highlight w:val="none"/>
        </w:rPr>
        <w:t>应当</w:t>
      </w:r>
      <w:r>
        <w:rPr>
          <w:rFonts w:hint="eastAsia" w:ascii="宋体" w:hAnsi="宋体" w:eastAsia="宋体"/>
          <w:color w:val="auto"/>
          <w:sz w:val="24"/>
          <w:highlight w:val="none"/>
        </w:rPr>
        <w:t>遵</w:t>
      </w:r>
      <w:r>
        <w:rPr>
          <w:rFonts w:ascii="宋体" w:hAnsi="宋体" w:eastAsia="宋体"/>
          <w:color w:val="auto"/>
          <w:sz w:val="24"/>
          <w:highlight w:val="none"/>
        </w:rPr>
        <w:t>守</w:t>
      </w:r>
      <w:r>
        <w:rPr>
          <w:rFonts w:hint="eastAsia" w:ascii="宋体" w:hAnsi="宋体" w:eastAsia="宋体"/>
          <w:color w:val="auto"/>
          <w:sz w:val="24"/>
          <w:highlight w:val="none"/>
        </w:rPr>
        <w:t>评审</w:t>
      </w:r>
      <w:r>
        <w:rPr>
          <w:rFonts w:ascii="宋体" w:hAnsi="宋体" w:eastAsia="宋体"/>
          <w:color w:val="auto"/>
          <w:sz w:val="24"/>
          <w:highlight w:val="none"/>
        </w:rPr>
        <w:t>工作纪律，不得</w:t>
      </w:r>
      <w:r>
        <w:rPr>
          <w:rFonts w:hint="eastAsia" w:ascii="宋体" w:hAnsi="宋体" w:eastAsia="宋体"/>
          <w:color w:val="auto"/>
          <w:sz w:val="24"/>
          <w:highlight w:val="none"/>
        </w:rPr>
        <w:t>泄露评审文件</w:t>
      </w:r>
      <w:r>
        <w:rPr>
          <w:rFonts w:ascii="宋体" w:hAnsi="宋体" w:eastAsia="宋体"/>
          <w:color w:val="auto"/>
          <w:sz w:val="24"/>
          <w:highlight w:val="none"/>
        </w:rPr>
        <w:t>、</w:t>
      </w:r>
      <w:r>
        <w:rPr>
          <w:rFonts w:hint="eastAsia" w:ascii="宋体" w:hAnsi="宋体" w:eastAsia="宋体"/>
          <w:color w:val="auto"/>
          <w:sz w:val="24"/>
          <w:highlight w:val="none"/>
        </w:rPr>
        <w:t>评审</w:t>
      </w:r>
      <w:r>
        <w:rPr>
          <w:rFonts w:ascii="宋体" w:hAnsi="宋体" w:eastAsia="宋体"/>
          <w:color w:val="auto"/>
          <w:sz w:val="24"/>
          <w:highlight w:val="none"/>
        </w:rPr>
        <w:t>情况和</w:t>
      </w:r>
      <w:r>
        <w:rPr>
          <w:rFonts w:hint="eastAsia" w:ascii="宋体" w:hAnsi="宋体" w:eastAsia="宋体"/>
          <w:color w:val="auto"/>
          <w:sz w:val="24"/>
          <w:highlight w:val="none"/>
        </w:rPr>
        <w:t>评审</w:t>
      </w:r>
      <w:r>
        <w:rPr>
          <w:rFonts w:ascii="宋体" w:hAnsi="宋体" w:eastAsia="宋体"/>
          <w:color w:val="auto"/>
          <w:sz w:val="24"/>
          <w:highlight w:val="none"/>
        </w:rPr>
        <w:t>中获悉的</w:t>
      </w:r>
      <w:r>
        <w:rPr>
          <w:rFonts w:hint="eastAsia" w:ascii="宋体" w:hAnsi="宋体" w:eastAsia="宋体"/>
          <w:color w:val="auto"/>
          <w:sz w:val="24"/>
          <w:highlight w:val="none"/>
        </w:rPr>
        <w:t>国家秘密、</w:t>
      </w:r>
      <w:r>
        <w:rPr>
          <w:rFonts w:ascii="宋体" w:hAnsi="宋体" w:eastAsia="宋体"/>
          <w:color w:val="auto"/>
          <w:sz w:val="24"/>
          <w:highlight w:val="none"/>
        </w:rPr>
        <w:t>商业秘密。</w:t>
      </w:r>
    </w:p>
    <w:p w14:paraId="2AEAB145">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22</w:t>
      </w:r>
      <w:r>
        <w:rPr>
          <w:rFonts w:asciiTheme="minorEastAsia" w:hAnsiTheme="minorEastAsia" w:eastAsiaTheme="minorEastAsia"/>
          <w:b/>
          <w:color w:val="auto"/>
          <w:sz w:val="24"/>
          <w:highlight w:val="none"/>
        </w:rPr>
        <w:t>.成交结果公告</w:t>
      </w:r>
    </w:p>
    <w:p w14:paraId="7D3A1A5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22</w:t>
      </w:r>
      <w:r>
        <w:rPr>
          <w:rFonts w:asciiTheme="minorEastAsia" w:hAnsiTheme="minorEastAsia" w:eastAsiaTheme="minorEastAsia"/>
          <w:color w:val="auto"/>
          <w:sz w:val="24"/>
          <w:highlight w:val="none"/>
        </w:rPr>
        <w:t>.1为体现“公开、公平、公正”的原则，磋商结束后，</w:t>
      </w:r>
      <w:r>
        <w:rPr>
          <w:rFonts w:hint="eastAsia" w:asciiTheme="minorEastAsia" w:hAnsiTheme="minorEastAsia" w:eastAsiaTheme="minorEastAsia"/>
          <w:color w:val="auto"/>
          <w:sz w:val="24"/>
          <w:highlight w:val="none"/>
        </w:rPr>
        <w:t>采购代理机构将</w:t>
      </w:r>
      <w:r>
        <w:rPr>
          <w:rFonts w:hint="eastAsia"/>
          <w:color w:val="auto"/>
          <w:sz w:val="24"/>
          <w:szCs w:val="18"/>
          <w:highlight w:val="none"/>
        </w:rPr>
        <w:t>在</w:t>
      </w:r>
      <w:r>
        <w:rPr>
          <w:rFonts w:hint="eastAsia" w:asciiTheme="minorEastAsia" w:hAnsiTheme="minorEastAsia" w:eastAsiaTheme="minorEastAsia" w:cstheme="minorEastAsia"/>
          <w:color w:val="auto"/>
          <w:kern w:val="0"/>
          <w:sz w:val="24"/>
          <w:szCs w:val="24"/>
          <w:highlight w:val="none"/>
          <w:u w:val="single"/>
          <w:lang w:val="en-US" w:eastAsia="zh-CN"/>
        </w:rPr>
        <w:t>定远县人民政府网（http://www.dyxzyy.com/xxgk.html）</w:t>
      </w:r>
      <w:r>
        <w:rPr>
          <w:rFonts w:hint="eastAsia" w:cs="宋体"/>
          <w:color w:val="auto"/>
          <w:sz w:val="21"/>
          <w:szCs w:val="21"/>
          <w:u w:val="singl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政务信息公开</w:t>
      </w:r>
      <w:r>
        <w:rPr>
          <w:rFonts w:hint="eastAsia" w:cs="宋体"/>
          <w:color w:val="auto"/>
          <w:sz w:val="21"/>
          <w:szCs w:val="21"/>
          <w:u w:val="single"/>
          <w:lang w:val="en-US" w:eastAsia="zh-CN"/>
        </w:rPr>
        <w:t>--</w:t>
      </w:r>
      <w:r>
        <w:rPr>
          <w:rFonts w:hint="eastAsia"/>
          <w:color w:val="auto"/>
          <w:sz w:val="24"/>
          <w:szCs w:val="18"/>
          <w:highlight w:val="none"/>
          <w:u w:val="single"/>
          <w:lang w:val="en-US" w:eastAsia="zh-CN"/>
        </w:rPr>
        <w:t>定远县总医院</w:t>
      </w:r>
      <w:r>
        <w:rPr>
          <w:rFonts w:hint="eastAsia"/>
          <w:color w:val="auto"/>
          <w:sz w:val="24"/>
          <w:szCs w:val="18"/>
          <w:highlight w:val="none"/>
        </w:rPr>
        <w:t>上</w:t>
      </w:r>
      <w:r>
        <w:rPr>
          <w:rFonts w:asciiTheme="minorEastAsia" w:hAnsiTheme="minorEastAsia" w:eastAsiaTheme="minorEastAsia"/>
          <w:color w:val="auto"/>
          <w:sz w:val="24"/>
          <w:highlight w:val="none"/>
        </w:rPr>
        <w:t>发布成交结果公告。</w:t>
      </w:r>
    </w:p>
    <w:p w14:paraId="5234171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14:paraId="56A7D9BB">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23</w:t>
      </w:r>
      <w:r>
        <w:rPr>
          <w:rFonts w:ascii="宋体" w:hAnsi="宋体" w:eastAsia="宋体"/>
          <w:b/>
          <w:color w:val="auto"/>
          <w:sz w:val="24"/>
          <w:highlight w:val="none"/>
        </w:rPr>
        <w:t>.成交</w:t>
      </w:r>
      <w:r>
        <w:rPr>
          <w:rFonts w:asciiTheme="minorEastAsia" w:hAnsiTheme="minorEastAsia" w:eastAsiaTheme="minorEastAsia"/>
          <w:b/>
          <w:color w:val="auto"/>
          <w:sz w:val="24"/>
          <w:highlight w:val="none"/>
        </w:rPr>
        <w:t>通知书</w:t>
      </w:r>
    </w:p>
    <w:p w14:paraId="51977549">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23</w:t>
      </w:r>
      <w:r>
        <w:rPr>
          <w:rFonts w:ascii="宋体" w:hAnsi="宋体" w:eastAsia="宋体"/>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rFonts w:ascii="宋体" w:hAnsi="宋体" w:eastAsia="宋体"/>
          <w:color w:val="auto"/>
          <w:sz w:val="24"/>
          <w:highlight w:val="none"/>
        </w:rPr>
        <w:t>向成交供应商发出成交通知书。</w:t>
      </w:r>
    </w:p>
    <w:p w14:paraId="2A354449">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23</w:t>
      </w:r>
      <w:r>
        <w:rPr>
          <w:rFonts w:ascii="宋体" w:hAnsi="宋体" w:eastAsia="宋体"/>
          <w:color w:val="auto"/>
          <w:sz w:val="24"/>
          <w:highlight w:val="none"/>
        </w:rPr>
        <w:t>.2成交通知书对采购人和成交供应商具有同等法律效力。成交通知书发出以后，采购人改变成交结果或者成交供应商放弃成交资格，应当承担相应的法律责任。</w:t>
      </w:r>
    </w:p>
    <w:p w14:paraId="675F89A7">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23</w:t>
      </w:r>
      <w:r>
        <w:rPr>
          <w:rFonts w:ascii="宋体" w:hAnsi="宋体" w:eastAsia="宋体"/>
          <w:color w:val="auto"/>
          <w:sz w:val="24"/>
          <w:highlight w:val="none"/>
        </w:rPr>
        <w:t>.3成交通知书是合同的组成部分。</w:t>
      </w:r>
    </w:p>
    <w:p w14:paraId="380EC39A">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24</w:t>
      </w:r>
      <w:r>
        <w:rPr>
          <w:rFonts w:ascii="宋体" w:hAnsi="宋体" w:eastAsia="宋体"/>
          <w:b/>
          <w:color w:val="auto"/>
          <w:sz w:val="24"/>
          <w:highlight w:val="none"/>
        </w:rPr>
        <w:t>.告知</w:t>
      </w:r>
      <w:r>
        <w:rPr>
          <w:rFonts w:hint="eastAsia" w:ascii="宋体" w:hAnsi="宋体" w:eastAsia="宋体"/>
          <w:b/>
          <w:color w:val="auto"/>
          <w:sz w:val="24"/>
          <w:highlight w:val="none"/>
        </w:rPr>
        <w:t>磋商</w:t>
      </w:r>
      <w:r>
        <w:rPr>
          <w:rFonts w:ascii="宋体" w:hAnsi="宋体" w:eastAsia="宋体"/>
          <w:b/>
          <w:color w:val="auto"/>
          <w:sz w:val="24"/>
          <w:highlight w:val="none"/>
        </w:rPr>
        <w:t>结果</w:t>
      </w:r>
    </w:p>
    <w:p w14:paraId="31748D0F">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24</w:t>
      </w:r>
      <w:r>
        <w:rPr>
          <w:rFonts w:ascii="宋体" w:hAnsi="宋体" w:eastAsia="宋体"/>
          <w:color w:val="auto"/>
          <w:sz w:val="24"/>
          <w:highlight w:val="none"/>
        </w:rPr>
        <w:t>.1在公告</w:t>
      </w:r>
      <w:r>
        <w:rPr>
          <w:rFonts w:hint="eastAsia" w:ascii="宋体" w:hAnsi="宋体" w:eastAsia="宋体"/>
          <w:color w:val="auto"/>
          <w:sz w:val="24"/>
          <w:highlight w:val="none"/>
        </w:rPr>
        <w:t>成交</w:t>
      </w:r>
      <w:r>
        <w:rPr>
          <w:rFonts w:ascii="宋体" w:hAnsi="宋体" w:eastAsia="宋体"/>
          <w:color w:val="auto"/>
          <w:sz w:val="24"/>
          <w:highlight w:val="none"/>
        </w:rPr>
        <w:t>结果的同时，采购代理机构同时以</w:t>
      </w:r>
      <w:r>
        <w:rPr>
          <w:rFonts w:hint="eastAsia" w:ascii="宋体" w:hAnsi="宋体" w:eastAsia="宋体"/>
          <w:color w:val="auto"/>
          <w:sz w:val="24"/>
          <w:highlight w:val="none"/>
          <w:u w:val="single"/>
        </w:rPr>
        <w:t>供应商</w:t>
      </w:r>
      <w:r>
        <w:rPr>
          <w:rFonts w:ascii="宋体" w:hAnsi="宋体" w:eastAsia="宋体"/>
          <w:color w:val="auto"/>
          <w:sz w:val="24"/>
          <w:highlight w:val="none"/>
          <w:u w:val="single"/>
        </w:rPr>
        <w:t>须知前附表</w:t>
      </w:r>
      <w:r>
        <w:rPr>
          <w:rFonts w:ascii="宋体" w:hAnsi="宋体" w:eastAsia="宋体"/>
          <w:color w:val="auto"/>
          <w:sz w:val="24"/>
          <w:highlight w:val="none"/>
        </w:rPr>
        <w:t>规定的形式告知未</w:t>
      </w:r>
      <w:r>
        <w:rPr>
          <w:rFonts w:hint="eastAsia" w:ascii="宋体" w:hAnsi="宋体" w:eastAsia="宋体"/>
          <w:color w:val="auto"/>
          <w:sz w:val="24"/>
          <w:highlight w:val="none"/>
        </w:rPr>
        <w:t>成交供应商</w:t>
      </w:r>
      <w:r>
        <w:rPr>
          <w:rFonts w:ascii="宋体" w:hAnsi="宋体" w:eastAsia="宋体"/>
          <w:color w:val="auto"/>
          <w:sz w:val="24"/>
          <w:highlight w:val="none"/>
        </w:rPr>
        <w:t>本人的评审得分和排序。</w:t>
      </w:r>
    </w:p>
    <w:p w14:paraId="4EC3346D">
      <w:pPr>
        <w:spacing w:line="360" w:lineRule="auto"/>
        <w:ind w:firstLine="480" w:firstLineChars="200"/>
        <w:rPr>
          <w:rFonts w:ascii="宋体" w:hAnsi="宋体" w:eastAsia="宋体"/>
          <w:color w:val="auto"/>
          <w:sz w:val="24"/>
          <w:highlight w:val="none"/>
        </w:rPr>
      </w:pPr>
      <w:r>
        <w:rPr>
          <w:rFonts w:hint="eastAsia" w:ascii="宋体" w:hAnsi="宋体" w:eastAsia="宋体"/>
          <w:color w:val="auto"/>
          <w:sz w:val="24"/>
          <w:highlight w:val="none"/>
          <w:lang w:val="en-US" w:eastAsia="zh-CN"/>
        </w:rPr>
        <w:t>24</w:t>
      </w:r>
      <w:r>
        <w:rPr>
          <w:rFonts w:ascii="宋体" w:hAnsi="宋体" w:eastAsia="宋体"/>
          <w:color w:val="auto"/>
          <w:sz w:val="24"/>
          <w:highlight w:val="none"/>
        </w:rPr>
        <w:t>.</w:t>
      </w:r>
      <w:r>
        <w:rPr>
          <w:rFonts w:hint="eastAsia" w:ascii="宋体" w:hAnsi="宋体" w:eastAsia="宋体"/>
          <w:color w:val="auto"/>
          <w:sz w:val="24"/>
          <w:highlight w:val="none"/>
        </w:rPr>
        <w:t>2</w:t>
      </w:r>
      <w:r>
        <w:rPr>
          <w:rFonts w:ascii="宋体" w:hAnsi="宋体" w:eastAsia="宋体"/>
          <w:color w:val="auto"/>
          <w:sz w:val="24"/>
          <w:highlight w:val="none"/>
        </w:rPr>
        <w:t>采购代理机构对未成交的供应商不做未成交原因的解释。</w:t>
      </w:r>
    </w:p>
    <w:p w14:paraId="2016FB75">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25</w:t>
      </w:r>
      <w:r>
        <w:rPr>
          <w:rFonts w:ascii="宋体" w:hAnsi="宋体" w:eastAsia="宋体"/>
          <w:b/>
          <w:color w:val="auto"/>
          <w:sz w:val="24"/>
          <w:highlight w:val="none"/>
        </w:rPr>
        <w:t>.履约保证金</w:t>
      </w:r>
    </w:p>
    <w:p w14:paraId="6F082217">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25</w:t>
      </w:r>
      <w:r>
        <w:rPr>
          <w:rFonts w:ascii="宋体" w:hAnsi="宋体" w:eastAsia="宋体"/>
          <w:color w:val="auto"/>
          <w:sz w:val="24"/>
          <w:highlight w:val="none"/>
        </w:rPr>
        <w:t>.1成交供应商应按照</w:t>
      </w:r>
      <w:r>
        <w:rPr>
          <w:rFonts w:ascii="宋体" w:hAnsi="宋体" w:eastAsia="宋体"/>
          <w:color w:val="auto"/>
          <w:sz w:val="24"/>
          <w:highlight w:val="none"/>
          <w:u w:val="single"/>
        </w:rPr>
        <w:t>供应商须知前附表</w:t>
      </w:r>
      <w:r>
        <w:rPr>
          <w:rFonts w:ascii="宋体" w:hAnsi="宋体" w:eastAsia="宋体"/>
          <w:color w:val="auto"/>
          <w:sz w:val="24"/>
          <w:highlight w:val="none"/>
        </w:rPr>
        <w:t>规定</w:t>
      </w:r>
      <w:r>
        <w:rPr>
          <w:rFonts w:hint="eastAsia" w:ascii="宋体" w:hAnsi="宋体" w:eastAsia="宋体"/>
          <w:color w:val="auto"/>
          <w:sz w:val="24"/>
          <w:highlight w:val="none"/>
        </w:rPr>
        <w:t>缴纳</w:t>
      </w:r>
      <w:r>
        <w:rPr>
          <w:rFonts w:ascii="宋体" w:hAnsi="宋体" w:eastAsia="宋体"/>
          <w:color w:val="auto"/>
          <w:sz w:val="24"/>
          <w:highlight w:val="none"/>
        </w:rPr>
        <w:t>履约保证金。</w:t>
      </w:r>
    </w:p>
    <w:p w14:paraId="22287CF1">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25</w:t>
      </w:r>
      <w:r>
        <w:rPr>
          <w:rFonts w:ascii="宋体" w:hAnsi="宋体" w:eastAsia="宋体"/>
          <w:color w:val="auto"/>
          <w:sz w:val="24"/>
          <w:highlight w:val="none"/>
        </w:rPr>
        <w:t>.2如果成交供应商没有按照上述履约保证金的规定执行，将视为放弃成交资格。在此情况下，采购人可确定下一成交候选供应商为成交供应商，也可以重新开展采购活动。</w:t>
      </w:r>
    </w:p>
    <w:p w14:paraId="54E664DE">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26</w:t>
      </w:r>
      <w:r>
        <w:rPr>
          <w:rFonts w:ascii="宋体" w:hAnsi="宋体" w:eastAsia="宋体"/>
          <w:b/>
          <w:color w:val="auto"/>
          <w:sz w:val="24"/>
          <w:highlight w:val="none"/>
        </w:rPr>
        <w:t>.</w:t>
      </w:r>
      <w:r>
        <w:rPr>
          <w:rFonts w:hint="eastAsia" w:ascii="宋体" w:hAnsi="宋体" w:eastAsia="宋体"/>
          <w:b/>
          <w:color w:val="auto"/>
          <w:sz w:val="24"/>
          <w:highlight w:val="none"/>
          <w:lang w:val="en-US" w:eastAsia="zh-CN"/>
        </w:rPr>
        <w:t>代理费用</w:t>
      </w:r>
    </w:p>
    <w:p w14:paraId="03E1DB92">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26</w:t>
      </w:r>
      <w:r>
        <w:rPr>
          <w:rFonts w:ascii="宋体" w:hAnsi="宋体" w:eastAsia="宋体"/>
          <w:color w:val="auto"/>
          <w:sz w:val="24"/>
          <w:highlight w:val="none"/>
        </w:rPr>
        <w:t>.1本项目</w:t>
      </w:r>
      <w:r>
        <w:rPr>
          <w:rFonts w:hint="eastAsia" w:ascii="宋体" w:hAnsi="宋体" w:eastAsia="宋体"/>
          <w:color w:val="auto"/>
          <w:sz w:val="24"/>
          <w:highlight w:val="none"/>
          <w:lang w:val="en-US" w:eastAsia="zh-CN"/>
        </w:rPr>
        <w:t>代理费用</w:t>
      </w:r>
      <w:r>
        <w:rPr>
          <w:rFonts w:ascii="宋体" w:hAnsi="宋体" w:eastAsia="宋体"/>
          <w:color w:val="auto"/>
          <w:sz w:val="24"/>
          <w:highlight w:val="none"/>
        </w:rPr>
        <w:t>的收取按</w:t>
      </w:r>
      <w:r>
        <w:rPr>
          <w:rFonts w:hint="eastAsia" w:ascii="宋体" w:hAnsi="宋体" w:eastAsia="宋体"/>
          <w:color w:val="auto"/>
          <w:sz w:val="24"/>
          <w:highlight w:val="none"/>
          <w:u w:val="single"/>
        </w:rPr>
        <w:t>供应商</w:t>
      </w:r>
      <w:r>
        <w:rPr>
          <w:rFonts w:ascii="宋体" w:hAnsi="宋体" w:eastAsia="宋体"/>
          <w:color w:val="auto"/>
          <w:sz w:val="24"/>
          <w:highlight w:val="none"/>
          <w:u w:val="single"/>
        </w:rPr>
        <w:t>须知前附表</w:t>
      </w:r>
      <w:r>
        <w:rPr>
          <w:rFonts w:ascii="宋体" w:hAnsi="宋体" w:eastAsia="宋体"/>
          <w:color w:val="auto"/>
          <w:sz w:val="24"/>
          <w:highlight w:val="none"/>
        </w:rPr>
        <w:t>的规定执行。</w:t>
      </w:r>
    </w:p>
    <w:p w14:paraId="4BCB2E1F">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27</w:t>
      </w:r>
      <w:r>
        <w:rPr>
          <w:rFonts w:ascii="宋体" w:hAnsi="宋体" w:eastAsia="宋体"/>
          <w:b/>
          <w:color w:val="auto"/>
          <w:sz w:val="24"/>
          <w:highlight w:val="none"/>
        </w:rPr>
        <w:t>.签订</w:t>
      </w:r>
      <w:r>
        <w:rPr>
          <w:rFonts w:asciiTheme="minorEastAsia" w:hAnsiTheme="minorEastAsia" w:eastAsiaTheme="minorEastAsia"/>
          <w:b/>
          <w:color w:val="auto"/>
          <w:sz w:val="24"/>
          <w:highlight w:val="none"/>
        </w:rPr>
        <w:t>合同</w:t>
      </w:r>
    </w:p>
    <w:p w14:paraId="264A3185">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27</w:t>
      </w:r>
      <w:r>
        <w:rPr>
          <w:rFonts w:ascii="宋体" w:hAnsi="宋体" w:eastAsia="宋体"/>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14:paraId="7DE471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highlight w:val="none"/>
        </w:rPr>
      </w:pPr>
      <w:r>
        <w:rPr>
          <w:rFonts w:hint="eastAsia" w:ascii="宋体" w:hAnsi="宋体" w:eastAsia="宋体"/>
          <w:color w:val="auto"/>
          <w:sz w:val="24"/>
          <w:highlight w:val="none"/>
          <w:lang w:val="en-US" w:eastAsia="zh-CN"/>
        </w:rPr>
        <w:t>27</w:t>
      </w:r>
      <w:r>
        <w:rPr>
          <w:rFonts w:ascii="宋体" w:hAnsi="宋体" w:eastAsia="宋体"/>
          <w:color w:val="auto"/>
          <w:sz w:val="24"/>
          <w:highlight w:val="none"/>
        </w:rPr>
        <w:t>.2磋商文件、成交供应商的响应文件及其澄清文件等，均为签订合同的依据。</w:t>
      </w:r>
    </w:p>
    <w:p w14:paraId="221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highlight w:val="none"/>
        </w:rPr>
      </w:pPr>
      <w:r>
        <w:rPr>
          <w:rFonts w:hint="eastAsia" w:ascii="宋体" w:hAnsi="宋体" w:eastAsia="宋体"/>
          <w:color w:val="auto"/>
          <w:sz w:val="24"/>
          <w:highlight w:val="none"/>
          <w:lang w:val="en-US" w:eastAsia="zh-CN"/>
        </w:rPr>
        <w:t>27</w:t>
      </w:r>
      <w:r>
        <w:rPr>
          <w:rFonts w:ascii="宋体" w:hAnsi="宋体" w:eastAsia="宋体"/>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ascii="宋体" w:hAnsi="宋体" w:eastAsia="宋体"/>
          <w:color w:val="auto"/>
          <w:sz w:val="24"/>
          <w:highlight w:val="none"/>
        </w:rPr>
        <w:t>成交供应商拒绝签订政府采购合同的不得参加对该项目重新开展的采购活动。</w:t>
      </w:r>
    </w:p>
    <w:p w14:paraId="5AB8EAD3">
      <w:pPr>
        <w:spacing w:line="360" w:lineRule="auto"/>
        <w:ind w:firstLine="470" w:firstLineChars="196"/>
        <w:rPr>
          <w:rFonts w:ascii="宋体" w:hAnsi="宋体" w:eastAsia="宋体"/>
          <w:color w:val="auto"/>
          <w:sz w:val="24"/>
          <w:highlight w:val="none"/>
        </w:rPr>
      </w:pPr>
      <w:bookmarkStart w:id="53" w:name="_Hlk60264926"/>
      <w:r>
        <w:rPr>
          <w:rFonts w:hint="eastAsia" w:ascii="宋体" w:hAnsi="宋体" w:eastAsia="宋体"/>
          <w:color w:val="auto"/>
          <w:sz w:val="24"/>
          <w:highlight w:val="none"/>
          <w:lang w:val="en-US" w:eastAsia="zh-CN"/>
        </w:rPr>
        <w:t>27</w:t>
      </w:r>
      <w:r>
        <w:rPr>
          <w:rFonts w:hint="eastAsia" w:ascii="宋体" w:hAnsi="宋体" w:eastAsia="宋体"/>
          <w:color w:val="auto"/>
          <w:sz w:val="24"/>
          <w:highlight w:val="none"/>
        </w:rPr>
        <w:t>.</w:t>
      </w:r>
      <w:r>
        <w:rPr>
          <w:rFonts w:ascii="宋体" w:hAnsi="宋体" w:eastAsia="宋体"/>
          <w:color w:val="auto"/>
          <w:sz w:val="24"/>
          <w:highlight w:val="none"/>
        </w:rPr>
        <w:t>4</w:t>
      </w:r>
      <w:r>
        <w:rPr>
          <w:rFonts w:hint="eastAsia" w:ascii="宋体" w:hAnsi="宋体" w:eastAsia="宋体"/>
          <w:color w:val="auto"/>
          <w:sz w:val="24"/>
          <w:highlight w:val="none"/>
        </w:rPr>
        <w:t>依据《政府采购促进中小企业发展管理办法》（财库〔</w:t>
      </w:r>
      <w:r>
        <w:rPr>
          <w:rFonts w:ascii="宋体" w:hAnsi="宋体" w:eastAsia="宋体"/>
          <w:color w:val="auto"/>
          <w:sz w:val="24"/>
          <w:highlight w:val="none"/>
        </w:rPr>
        <w:t>2020〕46号</w:t>
      </w:r>
      <w:r>
        <w:rPr>
          <w:rFonts w:hint="eastAsia" w:ascii="宋体" w:hAnsi="宋体" w:eastAsia="宋体"/>
          <w:color w:val="auto"/>
          <w:sz w:val="24"/>
          <w:highlight w:val="none"/>
        </w:rPr>
        <w:t>）规定享受扶持政策获得政府采购合同的，小微企业不得将合同分包给大中型企业，中型企业不得将合同分包给大型企业。</w:t>
      </w:r>
      <w:bookmarkEnd w:id="53"/>
    </w:p>
    <w:p w14:paraId="5690289B">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28</w:t>
      </w:r>
      <w:r>
        <w:rPr>
          <w:rFonts w:ascii="宋体" w:hAnsi="宋体" w:eastAsia="宋体"/>
          <w:b/>
          <w:color w:val="auto"/>
          <w:sz w:val="24"/>
          <w:highlight w:val="none"/>
        </w:rPr>
        <w:t>.廉洁</w:t>
      </w:r>
      <w:r>
        <w:rPr>
          <w:rFonts w:asciiTheme="minorEastAsia" w:hAnsiTheme="minorEastAsia" w:eastAsiaTheme="minorEastAsia"/>
          <w:b/>
          <w:color w:val="auto"/>
          <w:sz w:val="24"/>
          <w:highlight w:val="none"/>
        </w:rPr>
        <w:t>自律</w:t>
      </w:r>
      <w:r>
        <w:rPr>
          <w:rFonts w:ascii="宋体" w:hAnsi="宋体" w:eastAsia="宋体"/>
          <w:b/>
          <w:color w:val="auto"/>
          <w:sz w:val="24"/>
          <w:highlight w:val="none"/>
        </w:rPr>
        <w:t>规定</w:t>
      </w:r>
    </w:p>
    <w:p w14:paraId="061C9DF7">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28</w:t>
      </w:r>
      <w:r>
        <w:rPr>
          <w:rFonts w:ascii="宋体" w:hAnsi="宋体" w:eastAsia="宋体"/>
          <w:color w:val="auto"/>
          <w:sz w:val="24"/>
          <w:highlight w:val="none"/>
        </w:rPr>
        <w:t>.1采购代理机构工作人员不得以不正当手段获取政府采购代理业务，不得与采购人、供应商恶意串通。</w:t>
      </w:r>
    </w:p>
    <w:p w14:paraId="3C129B55">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28</w:t>
      </w:r>
      <w:r>
        <w:rPr>
          <w:rFonts w:ascii="宋体" w:hAnsi="宋体" w:eastAsia="宋体"/>
          <w:color w:val="auto"/>
          <w:sz w:val="24"/>
          <w:highlight w:val="none"/>
        </w:rPr>
        <w:t>.2采购代理机构工作人员不得接受采购人或者供应商组织的宴请、旅游、娱乐，不得收受礼品、现金、有价证券等，不得向采购人或者供应商报销应当由个人承担的费用。</w:t>
      </w:r>
    </w:p>
    <w:p w14:paraId="582D6268">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29</w:t>
      </w:r>
      <w:r>
        <w:rPr>
          <w:rFonts w:ascii="宋体" w:hAnsi="宋体" w:eastAsia="宋体"/>
          <w:b/>
          <w:color w:val="auto"/>
          <w:sz w:val="24"/>
          <w:highlight w:val="none"/>
        </w:rPr>
        <w:t>.质疑的</w:t>
      </w:r>
      <w:r>
        <w:rPr>
          <w:rFonts w:asciiTheme="minorEastAsia" w:hAnsiTheme="minorEastAsia" w:eastAsiaTheme="minorEastAsia"/>
          <w:b/>
          <w:color w:val="auto"/>
          <w:sz w:val="24"/>
          <w:highlight w:val="none"/>
        </w:rPr>
        <w:t>提出</w:t>
      </w:r>
      <w:r>
        <w:rPr>
          <w:rFonts w:ascii="宋体" w:hAnsi="宋体" w:eastAsia="宋体"/>
          <w:b/>
          <w:color w:val="auto"/>
          <w:sz w:val="24"/>
          <w:highlight w:val="none"/>
        </w:rPr>
        <w:t>与接收</w:t>
      </w:r>
    </w:p>
    <w:p w14:paraId="73F91B13">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29</w:t>
      </w:r>
      <w:r>
        <w:rPr>
          <w:rFonts w:hint="eastAsia" w:ascii="宋体" w:hAnsi="宋体" w:eastAsia="宋体"/>
          <w:color w:val="auto"/>
          <w:sz w:val="24"/>
          <w:highlight w:val="none"/>
        </w:rPr>
        <w:t>.1供应商认为磋商文件、采购过程和成交结果使自己的权益受到损害的，可以在知道或者应知其权益受到损害之日起七个工作日内，以书面形式向采购人或其委托的采购代理机构提出质疑。</w:t>
      </w:r>
    </w:p>
    <w:p w14:paraId="1C9F2DCF">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29</w:t>
      </w:r>
      <w:r>
        <w:rPr>
          <w:rFonts w:hint="eastAsia" w:ascii="宋体" w:hAnsi="宋体" w:eastAsia="宋体"/>
          <w:color w:val="auto"/>
          <w:sz w:val="24"/>
          <w:highlight w:val="none"/>
        </w:rPr>
        <w:t>.</w:t>
      </w:r>
      <w:r>
        <w:rPr>
          <w:rFonts w:hint="eastAsia" w:ascii="宋体" w:hAnsi="宋体" w:eastAsia="宋体"/>
          <w:color w:val="auto"/>
          <w:sz w:val="24"/>
          <w:highlight w:val="none"/>
          <w:lang w:val="en-US" w:eastAsia="zh-CN"/>
        </w:rPr>
        <w:t>2</w:t>
      </w:r>
      <w:r>
        <w:rPr>
          <w:rFonts w:hint="eastAsia" w:ascii="宋体" w:hAnsi="宋体" w:eastAsia="宋体"/>
          <w:color w:val="auto"/>
          <w:sz w:val="24"/>
          <w:highlight w:val="none"/>
        </w:rPr>
        <w:t>质疑供应商应按照财政部制定的《政府采购质疑函范本》格式（详见磋商文件）和《政府采购质疑和投诉办法》的要求，在法定质疑期内以书面形式提出质疑，超出法定质疑期提交的质疑将被拒绝。针对同一采购程序环节的质疑应一次性提出。</w:t>
      </w:r>
    </w:p>
    <w:p w14:paraId="3299366C">
      <w:pPr>
        <w:spacing w:line="360" w:lineRule="auto"/>
        <w:ind w:firstLine="435"/>
        <w:rPr>
          <w:rFonts w:hint="eastAsia" w:ascii="宋体" w:hAnsi="宋体" w:eastAsia="宋体"/>
          <w:color w:val="auto"/>
          <w:sz w:val="24"/>
          <w:highlight w:val="none"/>
        </w:rPr>
      </w:pPr>
      <w:r>
        <w:rPr>
          <w:rFonts w:hint="eastAsia" w:ascii="宋体" w:hAnsi="宋体" w:eastAsia="宋体"/>
          <w:color w:val="auto"/>
          <w:sz w:val="24"/>
          <w:highlight w:val="none"/>
          <w:lang w:val="en-US" w:eastAsia="zh-CN"/>
        </w:rPr>
        <w:t>29</w:t>
      </w:r>
      <w:r>
        <w:rPr>
          <w:rFonts w:hint="eastAsia" w:ascii="宋体" w:hAnsi="宋体" w:eastAsia="宋体"/>
          <w:color w:val="auto"/>
          <w:sz w:val="24"/>
          <w:highlight w:val="none"/>
        </w:rPr>
        <w:t>.</w:t>
      </w:r>
      <w:r>
        <w:rPr>
          <w:rFonts w:hint="eastAsia" w:ascii="宋体" w:hAnsi="宋体" w:eastAsia="宋体"/>
          <w:color w:val="auto"/>
          <w:sz w:val="24"/>
          <w:highlight w:val="none"/>
          <w:lang w:val="en-US" w:eastAsia="zh-CN"/>
        </w:rPr>
        <w:t>3</w:t>
      </w:r>
      <w:r>
        <w:rPr>
          <w:rFonts w:hint="eastAsia" w:ascii="宋体" w:hAnsi="宋体" w:eastAsia="宋体"/>
          <w:color w:val="auto"/>
          <w:sz w:val="24"/>
          <w:highlight w:val="none"/>
        </w:rPr>
        <w:t>采购代理机构质疑函接收部门、联系电话和通讯地址，见</w:t>
      </w:r>
      <w:r>
        <w:rPr>
          <w:rFonts w:hint="eastAsia" w:ascii="宋体" w:hAnsi="宋体" w:eastAsia="宋体"/>
          <w:color w:val="auto"/>
          <w:sz w:val="24"/>
          <w:highlight w:val="none"/>
          <w:u w:val="single"/>
        </w:rPr>
        <w:t>供应商须知前附表</w:t>
      </w:r>
      <w:r>
        <w:rPr>
          <w:rFonts w:hint="eastAsia" w:ascii="宋体" w:hAnsi="宋体" w:eastAsia="宋体"/>
          <w:color w:val="auto"/>
          <w:sz w:val="24"/>
          <w:highlight w:val="none"/>
        </w:rPr>
        <w:t>。</w:t>
      </w:r>
    </w:p>
    <w:p w14:paraId="49222D0A">
      <w:pPr>
        <w:spacing w:line="360" w:lineRule="auto"/>
        <w:ind w:firstLine="435"/>
        <w:rPr>
          <w:rFonts w:hint="eastAsia" w:ascii="宋体" w:hAnsi="宋体" w:eastAsia="宋体"/>
          <w:color w:val="auto"/>
          <w:sz w:val="24"/>
          <w:highlight w:val="none"/>
        </w:rPr>
      </w:pPr>
      <w:r>
        <w:rPr>
          <w:rFonts w:hint="eastAsia" w:ascii="宋体" w:hAnsi="宋体" w:eastAsia="宋体"/>
          <w:color w:val="auto"/>
          <w:sz w:val="24"/>
          <w:highlight w:val="none"/>
          <w:lang w:val="en-US" w:eastAsia="zh-CN"/>
        </w:rPr>
        <w:t>注：上述条款中所要求的为书面形式递交方式。</w:t>
      </w:r>
    </w:p>
    <w:p w14:paraId="36BB5FA4">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30</w:t>
      </w:r>
      <w:r>
        <w:rPr>
          <w:rFonts w:ascii="宋体" w:hAnsi="宋体" w:eastAsia="宋体"/>
          <w:b/>
          <w:color w:val="auto"/>
          <w:sz w:val="24"/>
          <w:highlight w:val="none"/>
        </w:rPr>
        <w:t>.需要</w:t>
      </w:r>
      <w:r>
        <w:rPr>
          <w:rFonts w:asciiTheme="minorEastAsia" w:hAnsiTheme="minorEastAsia" w:eastAsiaTheme="minorEastAsia"/>
          <w:b/>
          <w:color w:val="auto"/>
          <w:sz w:val="24"/>
          <w:highlight w:val="none"/>
        </w:rPr>
        <w:t>补充</w:t>
      </w:r>
      <w:r>
        <w:rPr>
          <w:rFonts w:ascii="宋体" w:hAnsi="宋体" w:eastAsia="宋体"/>
          <w:b/>
          <w:color w:val="auto"/>
          <w:sz w:val="24"/>
          <w:highlight w:val="none"/>
        </w:rPr>
        <w:t>的其他内容</w:t>
      </w:r>
    </w:p>
    <w:p w14:paraId="5DD45406">
      <w:pPr>
        <w:spacing w:line="360" w:lineRule="auto"/>
        <w:ind w:firstLine="437"/>
        <w:outlineLvl w:val="2"/>
        <w:rPr>
          <w:rFonts w:asciiTheme="minorEastAsia" w:hAnsiTheme="minorEastAsia" w:eastAsiaTheme="minorEastAsia"/>
          <w:b/>
          <w:color w:val="auto"/>
          <w:sz w:val="28"/>
          <w:highlight w:val="none"/>
        </w:rPr>
      </w:pPr>
      <w:r>
        <w:rPr>
          <w:rFonts w:hint="eastAsia" w:ascii="宋体" w:hAnsi="宋体" w:eastAsia="宋体"/>
          <w:color w:val="auto"/>
          <w:sz w:val="24"/>
          <w:highlight w:val="none"/>
        </w:rPr>
        <w:t>需要补充的其他内容，见</w:t>
      </w:r>
      <w:r>
        <w:rPr>
          <w:rFonts w:hint="eastAsia" w:ascii="宋体" w:hAnsi="宋体" w:eastAsia="宋体"/>
          <w:color w:val="auto"/>
          <w:sz w:val="24"/>
          <w:highlight w:val="none"/>
          <w:u w:val="single"/>
        </w:rPr>
        <w:t>供应商须知前附表</w:t>
      </w:r>
      <w:r>
        <w:rPr>
          <w:rFonts w:hint="eastAsia" w:ascii="宋体" w:hAnsi="宋体" w:eastAsia="宋体"/>
          <w:color w:val="auto"/>
          <w:sz w:val="24"/>
          <w:highlight w:val="none"/>
        </w:rPr>
        <w:t>。</w:t>
      </w:r>
      <w:r>
        <w:rPr>
          <w:rFonts w:asciiTheme="minorEastAsia" w:hAnsiTheme="minorEastAsia" w:eastAsiaTheme="minorEastAsia"/>
          <w:color w:val="auto"/>
          <w:sz w:val="24"/>
          <w:highlight w:val="none"/>
        </w:rPr>
        <w:br w:type="page"/>
      </w:r>
    </w:p>
    <w:p w14:paraId="4C2A3859">
      <w:pPr>
        <w:spacing w:line="360" w:lineRule="auto"/>
        <w:jc w:val="center"/>
        <w:outlineLvl w:val="0"/>
        <w:rPr>
          <w:rFonts w:asciiTheme="minorEastAsia" w:hAnsiTheme="minorEastAsia" w:eastAsiaTheme="minorEastAsia"/>
          <w:b/>
          <w:color w:val="auto"/>
          <w:sz w:val="28"/>
          <w:highlight w:val="none"/>
        </w:rPr>
      </w:pPr>
      <w:bookmarkStart w:id="54" w:name="_Toc19440"/>
      <w:r>
        <w:rPr>
          <w:rFonts w:hint="eastAsia" w:asciiTheme="minorEastAsia" w:hAnsiTheme="minorEastAsia" w:eastAsiaTheme="minorEastAsia"/>
          <w:b/>
          <w:color w:val="auto"/>
          <w:sz w:val="28"/>
          <w:highlight w:val="none"/>
        </w:rPr>
        <w:t>第三章  采购需求</w:t>
      </w:r>
      <w:bookmarkEnd w:id="54"/>
    </w:p>
    <w:p w14:paraId="6C19D9C8">
      <w:pPr>
        <w:spacing w:line="360" w:lineRule="auto"/>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前注：</w:t>
      </w:r>
    </w:p>
    <w:p w14:paraId="6601DFA1">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本采购需求中提出的服务方案仅为参考，如无明确限制，</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可以进行优化，提供满足采购人实际需要的更优（或者性能实质上不低于的）服务方案，且此方案须经</w:t>
      </w:r>
      <w:r>
        <w:rPr>
          <w:rFonts w:hint="eastAsia" w:ascii="宋体" w:hAnsi="宋体" w:eastAsia="宋体" w:cs="宋体"/>
          <w:color w:val="auto"/>
          <w:sz w:val="24"/>
          <w:szCs w:val="24"/>
          <w:highlight w:val="none"/>
          <w:lang w:eastAsia="zh-CN"/>
        </w:rPr>
        <w:t>磋商小组</w:t>
      </w:r>
      <w:r>
        <w:rPr>
          <w:rFonts w:hint="eastAsia" w:ascii="宋体" w:hAnsi="宋体" w:eastAsia="宋体" w:cs="宋体"/>
          <w:color w:val="auto"/>
          <w:sz w:val="24"/>
          <w:szCs w:val="24"/>
          <w:highlight w:val="none"/>
        </w:rPr>
        <w:t>评审认可。</w:t>
      </w:r>
    </w:p>
    <w:p w14:paraId="0CD3E31A">
      <w:pPr>
        <w:spacing w:line="360" w:lineRule="auto"/>
        <w:ind w:firstLine="435"/>
        <w:rPr>
          <w:rFonts w:hint="eastAsia" w:ascii="宋体" w:hAnsi="宋体" w:eastAsia="宋体"/>
          <w:color w:val="auto"/>
          <w:sz w:val="24"/>
          <w:szCs w:val="18"/>
          <w:highlight w:val="none"/>
        </w:rPr>
      </w:pPr>
      <w:r>
        <w:rPr>
          <w:rFonts w:hint="eastAsia" w:ascii="宋体" w:hAnsi="宋体" w:eastAsia="宋体"/>
          <w:color w:val="auto"/>
          <w:sz w:val="24"/>
          <w:szCs w:val="18"/>
          <w:highlight w:val="none"/>
        </w:rPr>
        <w:t>2.下列采购需求中</w:t>
      </w:r>
      <w:r>
        <w:rPr>
          <w:rFonts w:ascii="宋体" w:hAnsi="宋体" w:eastAsia="宋体" w:cs="宋体"/>
          <w:sz w:val="24"/>
          <w:szCs w:val="24"/>
          <w:highlight w:val="none"/>
        </w:rPr>
        <w:t>（包括但不限于下列具体政策要求</w:t>
      </w:r>
      <w:r>
        <w:rPr>
          <w:rFonts w:hint="eastAsia" w:ascii="宋体" w:hAnsi="宋体" w:eastAsia="宋体" w:cs="宋体"/>
          <w:sz w:val="24"/>
          <w:szCs w:val="24"/>
          <w:highlight w:val="none"/>
          <w:lang w:eastAsia="zh-CN"/>
        </w:rPr>
        <w:t>）</w:t>
      </w:r>
      <w:r>
        <w:rPr>
          <w:rFonts w:hint="eastAsia" w:ascii="宋体" w:hAnsi="宋体" w:eastAsia="宋体"/>
          <w:color w:val="auto"/>
          <w:sz w:val="24"/>
          <w:szCs w:val="18"/>
          <w:highlight w:val="none"/>
        </w:rPr>
        <w:t>：</w:t>
      </w:r>
    </w:p>
    <w:p w14:paraId="7DF2A1FF">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（1）如属于《节能产品政府采购品目清单》中政府强制采购的节能产品，则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所投产品须具有市场监管总局公布的《参与实施政府采购节能产品认证机构目录》中的认证机构出具的、处于有效期内的节能产品认证证书。</w:t>
      </w:r>
    </w:p>
    <w:p w14:paraId="086AFD4C">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（2）如涉及商品包装和快递包装，</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应当执行《关于印发〈商品包装政府采购需求标准（试行）〉、〈快递包装政府采购需求标准（试行）〉的通知》（财办库〔2020〕123 号）、《安徽省财政厅关于贯彻落实政府绿色采购有关政策的通知》（皖财购〔2023〕853号）的要求，提供符合需求标准的绿色包装、绿色运输，同时，采购人将对包装材料和运输环节作为履约验收条款进行验收。</w:t>
      </w:r>
    </w:p>
    <w:p w14:paraId="70B36220">
      <w:pPr>
        <w:spacing w:line="360" w:lineRule="auto"/>
        <w:ind w:firstLine="437"/>
        <w:outlineLvl w:val="1"/>
        <w:rPr>
          <w:rFonts w:ascii="宋体" w:hAnsi="宋体" w:eastAsia="宋体"/>
          <w:b/>
          <w:color w:val="auto"/>
          <w:sz w:val="24"/>
          <w:szCs w:val="18"/>
          <w:highlight w:val="none"/>
        </w:rPr>
      </w:pPr>
      <w:bookmarkStart w:id="55" w:name="_Toc26349"/>
      <w:bookmarkStart w:id="56" w:name="_Toc7699"/>
      <w:r>
        <w:rPr>
          <w:rFonts w:hint="eastAsia" w:ascii="宋体" w:hAnsi="宋体" w:eastAsia="宋体"/>
          <w:b/>
          <w:color w:val="auto"/>
          <w:sz w:val="24"/>
          <w:szCs w:val="18"/>
          <w:highlight w:val="none"/>
        </w:rPr>
        <w:t>一、采购需求前附表</w:t>
      </w:r>
      <w:bookmarkEnd w:id="55"/>
      <w:bookmarkEnd w:id="56"/>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279D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0B02A64">
            <w:pPr>
              <w:pStyle w:val="41"/>
              <w:pBdr>
                <w:bottom w:val="none" w:color="auto" w:sz="0" w:space="0"/>
              </w:pBdr>
              <w:tabs>
                <w:tab w:val="clear" w:pos="4153"/>
                <w:tab w:val="clear" w:pos="8306"/>
              </w:tabs>
              <w:adjustRightInd/>
              <w:spacing w:line="240" w:lineRule="auto"/>
              <w:jc w:val="center"/>
              <w:textAlignment w:val="auto"/>
              <w:rPr>
                <w:rFonts w:ascii="宋体" w:hAnsi="宋体" w:eastAsia="宋体"/>
                <w:b/>
                <w:color w:val="auto"/>
                <w:kern w:val="2"/>
                <w:highlight w:val="none"/>
              </w:rPr>
            </w:pPr>
            <w:bookmarkStart w:id="57" w:name="_Hlk16461016"/>
            <w:r>
              <w:rPr>
                <w:rFonts w:hint="eastAsia" w:ascii="宋体" w:hAnsi="宋体" w:eastAsia="宋体"/>
                <w:b/>
                <w:color w:val="auto"/>
                <w:kern w:val="2"/>
                <w:highlight w:val="none"/>
              </w:rPr>
              <w:t>序号</w:t>
            </w:r>
          </w:p>
        </w:tc>
        <w:tc>
          <w:tcPr>
            <w:tcW w:w="1192" w:type="pct"/>
            <w:vAlign w:val="center"/>
          </w:tcPr>
          <w:p w14:paraId="299791CB">
            <w:pPr>
              <w:pStyle w:val="40"/>
              <w:widowControl w:val="0"/>
              <w:spacing w:before="0" w:beforeAutospacing="0" w:after="0" w:afterAutospacing="0" w:line="360" w:lineRule="auto"/>
              <w:jc w:val="center"/>
              <w:rPr>
                <w:rFonts w:ascii="宋体" w:hAnsi="宋体" w:eastAsia="宋体"/>
                <w:bCs w:val="0"/>
                <w:color w:val="auto"/>
                <w:sz w:val="24"/>
                <w:highlight w:val="none"/>
              </w:rPr>
            </w:pPr>
            <w:r>
              <w:rPr>
                <w:rFonts w:hint="eastAsia" w:ascii="宋体" w:hAnsi="宋体" w:eastAsia="宋体"/>
                <w:bCs w:val="0"/>
                <w:color w:val="auto"/>
                <w:sz w:val="24"/>
                <w:highlight w:val="none"/>
              </w:rPr>
              <w:t>条款名称</w:t>
            </w:r>
          </w:p>
        </w:tc>
        <w:tc>
          <w:tcPr>
            <w:tcW w:w="3217" w:type="pct"/>
            <w:vAlign w:val="center"/>
          </w:tcPr>
          <w:p w14:paraId="2CDBDCE6">
            <w:pPr>
              <w:pStyle w:val="40"/>
              <w:widowControl w:val="0"/>
              <w:spacing w:before="0" w:beforeAutospacing="0" w:after="0" w:afterAutospacing="0" w:line="360" w:lineRule="auto"/>
              <w:jc w:val="left"/>
              <w:rPr>
                <w:rFonts w:ascii="宋体" w:hAnsi="宋体" w:eastAsia="宋体"/>
                <w:bCs w:val="0"/>
                <w:color w:val="auto"/>
                <w:sz w:val="24"/>
                <w:highlight w:val="none"/>
              </w:rPr>
            </w:pPr>
            <w:r>
              <w:rPr>
                <w:rFonts w:hint="eastAsia" w:ascii="宋体" w:hAnsi="宋体" w:eastAsia="宋体"/>
                <w:bCs w:val="0"/>
                <w:color w:val="auto"/>
                <w:sz w:val="24"/>
                <w:highlight w:val="none"/>
              </w:rPr>
              <w:t>内容、说明与要求</w:t>
            </w:r>
          </w:p>
        </w:tc>
      </w:tr>
      <w:tr w14:paraId="2595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590" w:type="pct"/>
            <w:vAlign w:val="center"/>
          </w:tcPr>
          <w:p w14:paraId="63D21F37">
            <w:pPr>
              <w:pStyle w:val="41"/>
              <w:pBdr>
                <w:bottom w:val="none" w:color="auto" w:sz="0" w:space="0"/>
              </w:pBdr>
              <w:tabs>
                <w:tab w:val="clear" w:pos="4153"/>
                <w:tab w:val="clear" w:pos="8306"/>
              </w:tabs>
              <w:adjustRightInd/>
              <w:spacing w:line="240" w:lineRule="auto"/>
              <w:jc w:val="center"/>
              <w:textAlignment w:val="auto"/>
              <w:rPr>
                <w:rFonts w:ascii="宋体" w:hAnsi="宋体" w:eastAsia="宋体"/>
                <w:bCs/>
                <w:color w:val="auto"/>
                <w:kern w:val="2"/>
                <w:highlight w:val="none"/>
              </w:rPr>
            </w:pPr>
            <w:r>
              <w:rPr>
                <w:rFonts w:hint="eastAsia" w:ascii="宋体" w:hAnsi="宋体" w:eastAsia="宋体"/>
                <w:bCs/>
                <w:color w:val="auto"/>
                <w:kern w:val="2"/>
                <w:highlight w:val="none"/>
              </w:rPr>
              <w:t>1</w:t>
            </w:r>
          </w:p>
        </w:tc>
        <w:tc>
          <w:tcPr>
            <w:tcW w:w="1192" w:type="pct"/>
            <w:vAlign w:val="center"/>
          </w:tcPr>
          <w:p w14:paraId="4E0774D7">
            <w:pPr>
              <w:pStyle w:val="40"/>
              <w:widowControl w:val="0"/>
              <w:spacing w:before="0" w:beforeAutospacing="0" w:after="0" w:afterAutospacing="0" w:line="360" w:lineRule="auto"/>
              <w:jc w:val="center"/>
              <w:rPr>
                <w:rFonts w:ascii="宋体" w:hAnsi="宋体" w:eastAsia="宋体"/>
                <w:b w:val="0"/>
                <w:color w:val="auto"/>
                <w:sz w:val="24"/>
                <w:highlight w:val="none"/>
              </w:rPr>
            </w:pPr>
            <w:r>
              <w:rPr>
                <w:rFonts w:hint="eastAsia" w:ascii="宋体" w:hAnsi="宋体" w:eastAsia="宋体"/>
                <w:b w:val="0"/>
                <w:color w:val="auto"/>
                <w:sz w:val="24"/>
                <w:highlight w:val="none"/>
              </w:rPr>
              <w:t>付款方式</w:t>
            </w:r>
          </w:p>
        </w:tc>
        <w:tc>
          <w:tcPr>
            <w:tcW w:w="3217" w:type="pct"/>
            <w:vAlign w:val="center"/>
          </w:tcPr>
          <w:p w14:paraId="6D2BAC6C">
            <w:pPr>
              <w:pStyle w:val="40"/>
              <w:widowControl w:val="0"/>
              <w:spacing w:before="0" w:beforeAutospacing="0" w:after="0" w:afterAutospacing="0" w:line="360" w:lineRule="auto"/>
              <w:jc w:val="left"/>
              <w:rPr>
                <w:rFonts w:ascii="宋体" w:hAnsi="宋体" w:eastAsia="宋体"/>
                <w:b w:val="0"/>
                <w:color w:val="auto"/>
                <w:sz w:val="24"/>
                <w:highlight w:val="none"/>
                <w:u w:val="single"/>
              </w:rPr>
            </w:pPr>
            <w:r>
              <w:rPr>
                <w:rFonts w:hint="eastAsia" w:ascii="宋体" w:hAnsi="宋体" w:eastAsia="宋体"/>
                <w:b w:val="0"/>
                <w:color w:val="auto"/>
                <w:sz w:val="24"/>
                <w:highlight w:val="none"/>
                <w:u w:val="single"/>
              </w:rPr>
              <w:t>按季度付款，每季度</w:t>
            </w:r>
            <w:r>
              <w:rPr>
                <w:rFonts w:hint="eastAsia" w:ascii="宋体" w:hAnsi="宋体" w:eastAsia="宋体"/>
                <w:b w:val="0"/>
                <w:color w:val="auto"/>
                <w:sz w:val="24"/>
                <w:highlight w:val="none"/>
                <w:u w:val="single"/>
                <w:lang w:val="en-US" w:eastAsia="zh-CN"/>
              </w:rPr>
              <w:t>结束</w:t>
            </w:r>
            <w:r>
              <w:rPr>
                <w:rFonts w:hint="eastAsia" w:ascii="宋体" w:hAnsi="宋体" w:eastAsia="宋体"/>
                <w:b w:val="0"/>
                <w:color w:val="auto"/>
                <w:sz w:val="24"/>
                <w:highlight w:val="none"/>
                <w:u w:val="single"/>
              </w:rPr>
              <w:t>完成电梯维保工作后支付</w:t>
            </w:r>
            <w:r>
              <w:rPr>
                <w:rFonts w:hint="eastAsia" w:ascii="宋体" w:hAnsi="宋体" w:eastAsia="宋体"/>
                <w:b w:val="0"/>
                <w:color w:val="auto"/>
                <w:sz w:val="24"/>
                <w:highlight w:val="none"/>
                <w:u w:val="single"/>
                <w:lang w:val="en-US" w:eastAsia="zh-CN"/>
              </w:rPr>
              <w:t>实际使用电梯的维保费用。</w:t>
            </w:r>
          </w:p>
        </w:tc>
      </w:tr>
      <w:tr w14:paraId="4CFF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0" w:type="pct"/>
            <w:vAlign w:val="center"/>
          </w:tcPr>
          <w:p w14:paraId="321811FD">
            <w:pPr>
              <w:pStyle w:val="41"/>
              <w:pBdr>
                <w:bottom w:val="none" w:color="auto" w:sz="0" w:space="0"/>
              </w:pBdr>
              <w:tabs>
                <w:tab w:val="clear" w:pos="4153"/>
                <w:tab w:val="clear" w:pos="8306"/>
              </w:tabs>
              <w:adjustRightInd/>
              <w:spacing w:line="240" w:lineRule="auto"/>
              <w:jc w:val="center"/>
              <w:textAlignment w:val="auto"/>
              <w:rPr>
                <w:rFonts w:ascii="宋体" w:hAnsi="宋体" w:eastAsia="宋体"/>
                <w:bCs/>
                <w:color w:val="auto"/>
                <w:kern w:val="2"/>
                <w:highlight w:val="none"/>
              </w:rPr>
            </w:pPr>
            <w:r>
              <w:rPr>
                <w:rFonts w:hint="eastAsia" w:ascii="宋体" w:hAnsi="宋体" w:eastAsia="宋体"/>
                <w:bCs/>
                <w:color w:val="auto"/>
                <w:kern w:val="2"/>
                <w:highlight w:val="none"/>
              </w:rPr>
              <w:t>2</w:t>
            </w:r>
          </w:p>
        </w:tc>
        <w:tc>
          <w:tcPr>
            <w:tcW w:w="1192" w:type="pct"/>
            <w:vAlign w:val="center"/>
          </w:tcPr>
          <w:p w14:paraId="779B99F9">
            <w:pPr>
              <w:pStyle w:val="40"/>
              <w:widowControl w:val="0"/>
              <w:spacing w:before="0" w:beforeAutospacing="0" w:after="0" w:afterAutospacing="0" w:line="360" w:lineRule="auto"/>
              <w:jc w:val="center"/>
              <w:rPr>
                <w:rFonts w:ascii="宋体" w:hAnsi="宋体" w:eastAsia="宋体"/>
                <w:b w:val="0"/>
                <w:color w:val="auto"/>
                <w:sz w:val="24"/>
                <w:highlight w:val="none"/>
              </w:rPr>
            </w:pPr>
            <w:r>
              <w:rPr>
                <w:rFonts w:hint="eastAsia" w:ascii="宋体" w:hAnsi="宋体" w:eastAsia="宋体"/>
                <w:b w:val="0"/>
                <w:color w:val="auto"/>
                <w:sz w:val="24"/>
                <w:highlight w:val="none"/>
              </w:rPr>
              <w:t>服务地点</w:t>
            </w:r>
          </w:p>
        </w:tc>
        <w:tc>
          <w:tcPr>
            <w:tcW w:w="3217" w:type="pct"/>
            <w:vAlign w:val="center"/>
          </w:tcPr>
          <w:p w14:paraId="79579F60">
            <w:pPr>
              <w:pStyle w:val="40"/>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b w:val="0"/>
                <w:color w:val="auto"/>
                <w:sz w:val="24"/>
                <w:highlight w:val="none"/>
                <w:u w:val="single"/>
                <w:lang w:val="en-US" w:eastAsia="zh-CN"/>
              </w:rPr>
              <w:t>定远县中医院</w:t>
            </w:r>
          </w:p>
        </w:tc>
      </w:tr>
      <w:tr w14:paraId="5B24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90" w:type="pct"/>
            <w:vAlign w:val="center"/>
          </w:tcPr>
          <w:p w14:paraId="0F38BB3C">
            <w:pPr>
              <w:pStyle w:val="41"/>
              <w:pBdr>
                <w:bottom w:val="none" w:color="auto" w:sz="0" w:space="0"/>
              </w:pBdr>
              <w:tabs>
                <w:tab w:val="clear" w:pos="4153"/>
                <w:tab w:val="clear" w:pos="8306"/>
              </w:tabs>
              <w:adjustRightInd/>
              <w:spacing w:line="240" w:lineRule="auto"/>
              <w:jc w:val="center"/>
              <w:textAlignment w:val="auto"/>
              <w:rPr>
                <w:rFonts w:ascii="宋体" w:hAnsi="宋体" w:eastAsia="宋体"/>
                <w:bCs/>
                <w:color w:val="auto"/>
                <w:kern w:val="2"/>
                <w:highlight w:val="none"/>
              </w:rPr>
            </w:pPr>
            <w:r>
              <w:rPr>
                <w:rFonts w:hint="eastAsia" w:ascii="宋体" w:hAnsi="宋体" w:eastAsia="宋体"/>
                <w:bCs/>
                <w:color w:val="auto"/>
                <w:kern w:val="2"/>
                <w:highlight w:val="none"/>
              </w:rPr>
              <w:t>3</w:t>
            </w:r>
          </w:p>
        </w:tc>
        <w:tc>
          <w:tcPr>
            <w:tcW w:w="1192" w:type="pct"/>
            <w:vAlign w:val="center"/>
          </w:tcPr>
          <w:p w14:paraId="2ACD783A">
            <w:pPr>
              <w:pStyle w:val="40"/>
              <w:widowControl w:val="0"/>
              <w:spacing w:before="0" w:beforeAutospacing="0" w:after="0" w:afterAutospacing="0" w:line="360" w:lineRule="auto"/>
              <w:jc w:val="center"/>
              <w:rPr>
                <w:rFonts w:ascii="宋体" w:hAnsi="宋体" w:eastAsia="宋体"/>
                <w:b w:val="0"/>
                <w:color w:val="auto"/>
                <w:sz w:val="24"/>
                <w:highlight w:val="none"/>
              </w:rPr>
            </w:pPr>
            <w:r>
              <w:rPr>
                <w:rFonts w:hint="eastAsia" w:ascii="宋体" w:hAnsi="宋体" w:eastAsia="宋体"/>
                <w:b w:val="0"/>
                <w:color w:val="auto"/>
                <w:sz w:val="24"/>
                <w:highlight w:val="none"/>
              </w:rPr>
              <w:t>服务期限</w:t>
            </w:r>
          </w:p>
        </w:tc>
        <w:tc>
          <w:tcPr>
            <w:tcW w:w="3217" w:type="pct"/>
            <w:vAlign w:val="center"/>
          </w:tcPr>
          <w:p w14:paraId="15C8565C">
            <w:pPr>
              <w:pStyle w:val="40"/>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b w:val="0"/>
                <w:color w:val="auto"/>
                <w:sz w:val="24"/>
                <w:highlight w:val="none"/>
                <w:u w:val="single"/>
                <w:lang w:val="en-US" w:eastAsia="zh-CN"/>
              </w:rPr>
              <w:t>自合同生效之日起满1年</w:t>
            </w:r>
          </w:p>
        </w:tc>
      </w:tr>
    </w:tbl>
    <w:p w14:paraId="77A4CF7D">
      <w:pPr>
        <w:spacing w:line="360" w:lineRule="auto"/>
        <w:ind w:firstLine="437"/>
        <w:outlineLvl w:val="1"/>
        <w:rPr>
          <w:rFonts w:hint="eastAsia" w:ascii="宋体" w:hAnsi="宋体" w:eastAsia="宋体"/>
          <w:b/>
          <w:color w:val="auto"/>
          <w:sz w:val="24"/>
          <w:szCs w:val="18"/>
          <w:highlight w:val="none"/>
        </w:rPr>
      </w:pPr>
      <w:bookmarkStart w:id="58" w:name="_Toc23116"/>
      <w:bookmarkStart w:id="59" w:name="_Toc25144"/>
    </w:p>
    <w:p w14:paraId="589DDEBE">
      <w:pPr>
        <w:spacing w:line="360" w:lineRule="auto"/>
        <w:ind w:firstLine="437"/>
        <w:outlineLvl w:val="1"/>
        <w:rPr>
          <w:rFonts w:ascii="宋体" w:hAnsi="宋体" w:eastAsia="宋体"/>
          <w:b/>
          <w:color w:val="auto"/>
          <w:sz w:val="24"/>
          <w:szCs w:val="18"/>
          <w:highlight w:val="none"/>
        </w:rPr>
      </w:pPr>
      <w:r>
        <w:rPr>
          <w:rFonts w:hint="eastAsia" w:ascii="宋体" w:hAnsi="宋体" w:eastAsia="宋体"/>
          <w:b/>
          <w:color w:val="auto"/>
          <w:sz w:val="24"/>
          <w:szCs w:val="18"/>
          <w:highlight w:val="none"/>
        </w:rPr>
        <w:t>二、项目概况</w:t>
      </w:r>
      <w:bookmarkEnd w:id="58"/>
      <w:bookmarkEnd w:id="59"/>
    </w:p>
    <w:p w14:paraId="07751840">
      <w:pPr>
        <w:spacing w:line="360" w:lineRule="auto"/>
        <w:ind w:firstLine="480" w:firstLineChars="200"/>
        <w:rPr>
          <w:rFonts w:ascii="宋体" w:hAnsi="宋体" w:eastAsia="宋体"/>
          <w:b/>
          <w:color w:val="auto"/>
          <w:sz w:val="24"/>
          <w:szCs w:val="18"/>
          <w:highlight w:val="none"/>
        </w:rPr>
      </w:pPr>
      <w:r>
        <w:rPr>
          <w:rFonts w:hint="eastAsia" w:ascii="宋体" w:hAnsi="宋体" w:eastAsia="宋体" w:cs="宋体"/>
          <w:color w:val="auto"/>
          <w:sz w:val="24"/>
          <w:highlight w:val="none"/>
          <w:u w:val="single"/>
          <w:lang w:val="en-US" w:eastAsia="zh-CN"/>
        </w:rPr>
        <w:t>定远县中医院电梯维保服务项目，</w:t>
      </w:r>
      <w:r>
        <w:rPr>
          <w:rFonts w:hint="eastAsia" w:ascii="宋体" w:hAnsi="宋体" w:eastAsia="宋体" w:cs="宋体"/>
          <w:color w:val="auto"/>
          <w:sz w:val="24"/>
          <w:szCs w:val="18"/>
          <w:highlight w:val="none"/>
          <w:u w:val="single"/>
        </w:rPr>
        <w:t>为保证电梯安全运行，按特种设备管理要求需专业维保公司进行定期保养维护。电梯总台数为</w:t>
      </w:r>
      <w:r>
        <w:rPr>
          <w:rFonts w:hint="eastAsia" w:ascii="宋体" w:hAnsi="宋体" w:eastAsia="宋体" w:cs="宋体"/>
          <w:color w:val="auto"/>
          <w:sz w:val="24"/>
          <w:szCs w:val="18"/>
          <w:highlight w:val="none"/>
          <w:u w:val="single"/>
          <w:lang w:val="en-US" w:eastAsia="zh-CN"/>
        </w:rPr>
        <w:t>22</w:t>
      </w:r>
      <w:r>
        <w:rPr>
          <w:rFonts w:hint="eastAsia" w:ascii="宋体" w:hAnsi="宋体" w:eastAsia="宋体" w:cs="宋体"/>
          <w:color w:val="auto"/>
          <w:sz w:val="24"/>
          <w:szCs w:val="18"/>
          <w:highlight w:val="none"/>
          <w:u w:val="single"/>
        </w:rPr>
        <w:t>台</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lang w:val="en-US" w:eastAsia="zh-CN"/>
        </w:rPr>
        <w:t>其中6台扶梯</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rPr>
        <w:t>。招标采购内容为电梯维护保养（全包方式），提供维保所需工具和劳务，免费更换或维修损坏的电梯零部件</w:t>
      </w:r>
      <w:r>
        <w:rPr>
          <w:rFonts w:hint="eastAsia" w:ascii="宋体" w:hAnsi="宋体" w:eastAsia="宋体" w:cs="宋体"/>
          <w:color w:val="auto"/>
          <w:sz w:val="24"/>
          <w:szCs w:val="18"/>
          <w:highlight w:val="none"/>
          <w:u w:val="single"/>
          <w:lang w:eastAsia="zh-CN"/>
        </w:rPr>
        <w:t>（不包含主机、曳引机、门机系统）</w:t>
      </w:r>
      <w:r>
        <w:rPr>
          <w:rFonts w:hint="eastAsia" w:ascii="宋体" w:hAnsi="宋体" w:eastAsia="宋体" w:cs="宋体"/>
          <w:color w:val="auto"/>
          <w:sz w:val="24"/>
          <w:szCs w:val="18"/>
          <w:highlight w:val="none"/>
          <w:u w:val="single"/>
        </w:rPr>
        <w:t xml:space="preserve">，并包含电梯年度检验检测申报等工作。 </w:t>
      </w:r>
    </w:p>
    <w:p w14:paraId="4F240789">
      <w:pPr>
        <w:spacing w:line="360" w:lineRule="auto"/>
        <w:ind w:firstLine="437"/>
        <w:outlineLvl w:val="1"/>
        <w:rPr>
          <w:rFonts w:hint="eastAsia" w:ascii="宋体" w:hAnsi="宋体" w:eastAsia="宋体" w:cs="宋体"/>
          <w:b/>
          <w:color w:val="auto"/>
          <w:sz w:val="24"/>
          <w:szCs w:val="24"/>
          <w:highlight w:val="none"/>
        </w:rPr>
      </w:pPr>
      <w:bookmarkStart w:id="60" w:name="_Toc21757"/>
      <w:bookmarkStart w:id="61" w:name="_Toc8586"/>
    </w:p>
    <w:p w14:paraId="3D266372">
      <w:pPr>
        <w:spacing w:line="360" w:lineRule="auto"/>
        <w:ind w:firstLine="437"/>
        <w:outlineLvl w:val="1"/>
        <w:rPr>
          <w:rFonts w:hint="eastAsia" w:ascii="宋体" w:hAnsi="宋体" w:eastAsia="宋体" w:cs="宋体"/>
          <w:b/>
          <w:color w:val="auto"/>
          <w:sz w:val="24"/>
          <w:szCs w:val="24"/>
          <w:highlight w:val="none"/>
        </w:rPr>
      </w:pPr>
    </w:p>
    <w:p w14:paraId="25E69E5B">
      <w:pPr>
        <w:spacing w:line="360" w:lineRule="auto"/>
        <w:ind w:firstLine="437"/>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三、服务需求</w:t>
      </w:r>
      <w:bookmarkEnd w:id="60"/>
      <w:bookmarkEnd w:id="61"/>
    </w:p>
    <w:p w14:paraId="68A8B52A">
      <w:pPr>
        <w:pStyle w:val="8"/>
        <w:spacing w:before="78" w:line="220" w:lineRule="auto"/>
        <w:ind w:left="4" w:firstLine="470" w:firstLineChars="200"/>
        <w:outlineLvl w:val="1"/>
        <w:rPr>
          <w:rFonts w:hint="eastAsia" w:ascii="宋体" w:hAnsi="宋体" w:eastAsia="宋体" w:cs="宋体"/>
          <w:sz w:val="24"/>
          <w:szCs w:val="24"/>
        </w:rPr>
      </w:pPr>
      <w:r>
        <w:rPr>
          <w:rFonts w:hint="eastAsia" w:ascii="宋体" w:hAnsi="宋体" w:eastAsia="宋体" w:cs="宋体"/>
          <w:b/>
          <w:bCs/>
          <w:spacing w:val="-3"/>
          <w:sz w:val="24"/>
          <w:szCs w:val="24"/>
        </w:rPr>
        <w:t>一、维修保养设备清单：</w:t>
      </w:r>
    </w:p>
    <w:tbl>
      <w:tblPr>
        <w:tblStyle w:val="66"/>
        <w:tblW w:w="458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45"/>
        <w:gridCol w:w="803"/>
        <w:gridCol w:w="2297"/>
        <w:gridCol w:w="1194"/>
        <w:gridCol w:w="910"/>
        <w:gridCol w:w="1061"/>
        <w:gridCol w:w="817"/>
      </w:tblGrid>
      <w:tr w14:paraId="2ECCF7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466B5792">
            <w:pPr>
              <w:pStyle w:val="67"/>
              <w:keepNext w:val="0"/>
              <w:keepLines w:val="0"/>
              <w:pageBreakBefore w:val="0"/>
              <w:widowControl w:val="0"/>
              <w:kinsoku/>
              <w:wordWrap/>
              <w:overflowPunct/>
              <w:topLinePunct w:val="0"/>
              <w:autoSpaceDE/>
              <w:autoSpaceDN/>
              <w:bidi w:val="0"/>
              <w:adjustRightInd/>
              <w:snapToGrid/>
              <w:spacing w:before="78" w:line="240" w:lineRule="auto"/>
              <w:ind w:left="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en-US" w:bidi="ar-SA"/>
              </w:rPr>
              <w:t>序号</w:t>
            </w:r>
          </w:p>
        </w:tc>
        <w:tc>
          <w:tcPr>
            <w:tcW w:w="526" w:type="pct"/>
            <w:noWrap w:val="0"/>
            <w:vAlign w:val="center"/>
          </w:tcPr>
          <w:p w14:paraId="2659113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电梯编号</w:t>
            </w:r>
          </w:p>
        </w:tc>
        <w:tc>
          <w:tcPr>
            <w:tcW w:w="1505" w:type="pct"/>
            <w:noWrap w:val="0"/>
            <w:vAlign w:val="center"/>
          </w:tcPr>
          <w:p w14:paraId="7BC264FE">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en-US" w:bidi="ar-SA"/>
              </w:rPr>
              <w:t>使用单位名称和</w:t>
            </w:r>
            <w:r>
              <w:rPr>
                <w:rFonts w:hint="eastAsia" w:ascii="宋体" w:hAnsi="宋体" w:eastAsia="宋体" w:cs="宋体"/>
                <w:spacing w:val="-2"/>
                <w:sz w:val="18"/>
                <w:szCs w:val="18"/>
                <w:lang w:val="en-US" w:eastAsia="en-US"/>
              </w:rPr>
              <w:t>地址</w:t>
            </w:r>
          </w:p>
        </w:tc>
        <w:tc>
          <w:tcPr>
            <w:tcW w:w="782" w:type="pct"/>
            <w:noWrap w:val="0"/>
            <w:vAlign w:val="center"/>
          </w:tcPr>
          <w:p w14:paraId="2EE54E2C">
            <w:pPr>
              <w:pStyle w:val="67"/>
              <w:spacing w:before="78" w:line="240" w:lineRule="auto"/>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层站</w:t>
            </w:r>
          </w:p>
        </w:tc>
        <w:tc>
          <w:tcPr>
            <w:tcW w:w="596" w:type="pct"/>
            <w:noWrap w:val="0"/>
            <w:vAlign w:val="center"/>
          </w:tcPr>
          <w:p w14:paraId="206224A0">
            <w:pPr>
              <w:pStyle w:val="67"/>
              <w:spacing w:before="78" w:line="240" w:lineRule="auto"/>
              <w:jc w:val="center"/>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站数</w:t>
            </w:r>
          </w:p>
        </w:tc>
        <w:tc>
          <w:tcPr>
            <w:tcW w:w="695" w:type="pct"/>
            <w:noWrap w:val="0"/>
            <w:vAlign w:val="center"/>
          </w:tcPr>
          <w:p w14:paraId="4205F96C">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en-US" w:bidi="ar-SA"/>
              </w:rPr>
              <w:t>数量</w:t>
            </w:r>
            <w:r>
              <w:rPr>
                <w:rFonts w:hint="eastAsia" w:ascii="宋体" w:hAnsi="宋体" w:eastAsia="宋体" w:cs="宋体"/>
                <w:spacing w:val="-2"/>
                <w:kern w:val="2"/>
                <w:sz w:val="18"/>
                <w:szCs w:val="18"/>
                <w:lang w:val="en-US" w:eastAsia="zh-CN" w:bidi="ar-SA"/>
              </w:rPr>
              <w:t>（台）</w:t>
            </w:r>
          </w:p>
        </w:tc>
        <w:tc>
          <w:tcPr>
            <w:tcW w:w="535" w:type="pct"/>
            <w:noWrap w:val="0"/>
            <w:vAlign w:val="center"/>
          </w:tcPr>
          <w:p w14:paraId="74D1CEFA">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备注</w:t>
            </w:r>
          </w:p>
        </w:tc>
      </w:tr>
      <w:tr w14:paraId="205A8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29916348">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w:t>
            </w:r>
          </w:p>
        </w:tc>
        <w:tc>
          <w:tcPr>
            <w:tcW w:w="526" w:type="pct"/>
            <w:noWrap w:val="0"/>
            <w:vAlign w:val="center"/>
          </w:tcPr>
          <w:p w14:paraId="034CA9B0">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w:t>
            </w:r>
          </w:p>
        </w:tc>
        <w:tc>
          <w:tcPr>
            <w:tcW w:w="1505" w:type="pct"/>
            <w:noWrap w:val="0"/>
            <w:vAlign w:val="center"/>
          </w:tcPr>
          <w:p w14:paraId="0B1E8BCF">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5F207A7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18层</w:t>
            </w:r>
          </w:p>
        </w:tc>
        <w:tc>
          <w:tcPr>
            <w:tcW w:w="596" w:type="pct"/>
            <w:shd w:val="clear" w:color="auto" w:fill="auto"/>
            <w:noWrap w:val="0"/>
            <w:vAlign w:val="center"/>
          </w:tcPr>
          <w:p w14:paraId="411E768F">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18层</w:t>
            </w:r>
          </w:p>
        </w:tc>
        <w:tc>
          <w:tcPr>
            <w:tcW w:w="695" w:type="pct"/>
            <w:noWrap w:val="0"/>
            <w:vAlign w:val="center"/>
          </w:tcPr>
          <w:p w14:paraId="1ABD9033">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w:t>
            </w:r>
          </w:p>
        </w:tc>
        <w:tc>
          <w:tcPr>
            <w:tcW w:w="535" w:type="pct"/>
            <w:noWrap w:val="0"/>
            <w:vAlign w:val="center"/>
          </w:tcPr>
          <w:p w14:paraId="2285E3BA">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p>
        </w:tc>
      </w:tr>
      <w:tr w14:paraId="612EB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358" w:type="pct"/>
            <w:noWrap w:val="0"/>
            <w:vAlign w:val="center"/>
          </w:tcPr>
          <w:p w14:paraId="3D524561">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w:t>
            </w:r>
          </w:p>
        </w:tc>
        <w:tc>
          <w:tcPr>
            <w:tcW w:w="526" w:type="pct"/>
            <w:noWrap w:val="0"/>
            <w:vAlign w:val="center"/>
          </w:tcPr>
          <w:p w14:paraId="6F54D721">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w:t>
            </w:r>
          </w:p>
        </w:tc>
        <w:tc>
          <w:tcPr>
            <w:tcW w:w="1505" w:type="pct"/>
            <w:noWrap w:val="0"/>
            <w:vAlign w:val="center"/>
          </w:tcPr>
          <w:p w14:paraId="21A2FA31">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43ABBC95">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18层</w:t>
            </w:r>
          </w:p>
        </w:tc>
        <w:tc>
          <w:tcPr>
            <w:tcW w:w="596" w:type="pct"/>
            <w:shd w:val="clear" w:color="auto" w:fill="auto"/>
            <w:noWrap w:val="0"/>
            <w:vAlign w:val="center"/>
          </w:tcPr>
          <w:p w14:paraId="234D86ED">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18层</w:t>
            </w:r>
          </w:p>
        </w:tc>
        <w:tc>
          <w:tcPr>
            <w:tcW w:w="695" w:type="pct"/>
            <w:noWrap w:val="0"/>
            <w:vAlign w:val="center"/>
          </w:tcPr>
          <w:p w14:paraId="68D2F3E2">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w:t>
            </w:r>
          </w:p>
        </w:tc>
        <w:tc>
          <w:tcPr>
            <w:tcW w:w="535" w:type="pct"/>
            <w:noWrap w:val="0"/>
            <w:vAlign w:val="center"/>
          </w:tcPr>
          <w:p w14:paraId="138B5B6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53FF0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0CF2FAF6">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3</w:t>
            </w:r>
          </w:p>
        </w:tc>
        <w:tc>
          <w:tcPr>
            <w:tcW w:w="526" w:type="pct"/>
            <w:noWrap w:val="0"/>
            <w:vAlign w:val="center"/>
          </w:tcPr>
          <w:p w14:paraId="76D4ECED">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DT3</w:t>
            </w:r>
          </w:p>
        </w:tc>
        <w:tc>
          <w:tcPr>
            <w:tcW w:w="1505" w:type="pct"/>
            <w:noWrap w:val="0"/>
            <w:vAlign w:val="center"/>
          </w:tcPr>
          <w:p w14:paraId="3CAB794E">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188151C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18层</w:t>
            </w:r>
          </w:p>
        </w:tc>
        <w:tc>
          <w:tcPr>
            <w:tcW w:w="596" w:type="pct"/>
            <w:shd w:val="clear" w:color="auto" w:fill="auto"/>
            <w:noWrap w:val="0"/>
            <w:vAlign w:val="center"/>
          </w:tcPr>
          <w:p w14:paraId="3D47566C">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18层</w:t>
            </w:r>
          </w:p>
        </w:tc>
        <w:tc>
          <w:tcPr>
            <w:tcW w:w="695" w:type="pct"/>
            <w:shd w:val="clear" w:color="auto" w:fill="auto"/>
            <w:noWrap w:val="0"/>
            <w:vAlign w:val="center"/>
          </w:tcPr>
          <w:p w14:paraId="6EE1926F">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27E25FF4">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07137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5509EC88">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4</w:t>
            </w:r>
          </w:p>
        </w:tc>
        <w:tc>
          <w:tcPr>
            <w:tcW w:w="526" w:type="pct"/>
            <w:noWrap w:val="0"/>
            <w:vAlign w:val="center"/>
          </w:tcPr>
          <w:p w14:paraId="33846F90">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DT4</w:t>
            </w:r>
          </w:p>
        </w:tc>
        <w:tc>
          <w:tcPr>
            <w:tcW w:w="1505" w:type="pct"/>
            <w:shd w:val="clear" w:color="auto" w:fill="auto"/>
            <w:noWrap w:val="0"/>
            <w:vAlign w:val="center"/>
          </w:tcPr>
          <w:p w14:paraId="2A1DA650">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3D5B3A15">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18层</w:t>
            </w:r>
          </w:p>
        </w:tc>
        <w:tc>
          <w:tcPr>
            <w:tcW w:w="596" w:type="pct"/>
            <w:shd w:val="clear" w:color="auto" w:fill="auto"/>
            <w:noWrap w:val="0"/>
            <w:vAlign w:val="center"/>
          </w:tcPr>
          <w:p w14:paraId="3B5B7CF6">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18层</w:t>
            </w:r>
          </w:p>
        </w:tc>
        <w:tc>
          <w:tcPr>
            <w:tcW w:w="695" w:type="pct"/>
            <w:shd w:val="clear" w:color="auto" w:fill="auto"/>
            <w:noWrap w:val="0"/>
            <w:vAlign w:val="center"/>
          </w:tcPr>
          <w:p w14:paraId="27BED4A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1860B721">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60536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6D0726EA">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5</w:t>
            </w:r>
          </w:p>
        </w:tc>
        <w:tc>
          <w:tcPr>
            <w:tcW w:w="526" w:type="pct"/>
            <w:noWrap w:val="0"/>
            <w:vAlign w:val="center"/>
          </w:tcPr>
          <w:p w14:paraId="354C222B">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DT5</w:t>
            </w:r>
          </w:p>
        </w:tc>
        <w:tc>
          <w:tcPr>
            <w:tcW w:w="1505" w:type="pct"/>
            <w:shd w:val="clear" w:color="auto" w:fill="auto"/>
            <w:noWrap w:val="0"/>
            <w:vAlign w:val="center"/>
          </w:tcPr>
          <w:p w14:paraId="22EC7CCC">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6CB271C4">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18层</w:t>
            </w:r>
          </w:p>
        </w:tc>
        <w:tc>
          <w:tcPr>
            <w:tcW w:w="596" w:type="pct"/>
            <w:shd w:val="clear" w:color="auto" w:fill="auto"/>
            <w:noWrap w:val="0"/>
            <w:vAlign w:val="center"/>
          </w:tcPr>
          <w:p w14:paraId="5A00D58E">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18层</w:t>
            </w:r>
          </w:p>
        </w:tc>
        <w:tc>
          <w:tcPr>
            <w:tcW w:w="695" w:type="pct"/>
            <w:shd w:val="clear" w:color="auto" w:fill="auto"/>
            <w:noWrap w:val="0"/>
            <w:vAlign w:val="center"/>
          </w:tcPr>
          <w:p w14:paraId="05F799A2">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sz w:val="18"/>
                <w:szCs w:val="18"/>
                <w:lang w:val="en-US" w:eastAsia="zh-CN"/>
              </w:rPr>
              <w:t>1</w:t>
            </w:r>
          </w:p>
        </w:tc>
        <w:tc>
          <w:tcPr>
            <w:tcW w:w="535" w:type="pct"/>
            <w:noWrap w:val="0"/>
            <w:vAlign w:val="center"/>
          </w:tcPr>
          <w:p w14:paraId="1A334349">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25408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shd w:val="clear" w:color="auto" w:fill="auto"/>
            <w:noWrap w:val="0"/>
            <w:vAlign w:val="center"/>
          </w:tcPr>
          <w:p w14:paraId="547EB54B">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6</w:t>
            </w:r>
          </w:p>
        </w:tc>
        <w:tc>
          <w:tcPr>
            <w:tcW w:w="526" w:type="pct"/>
            <w:noWrap w:val="0"/>
            <w:vAlign w:val="center"/>
          </w:tcPr>
          <w:p w14:paraId="4F68D252">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DT6</w:t>
            </w:r>
          </w:p>
        </w:tc>
        <w:tc>
          <w:tcPr>
            <w:tcW w:w="1505" w:type="pct"/>
            <w:shd w:val="clear" w:color="auto" w:fill="auto"/>
            <w:noWrap w:val="0"/>
            <w:vAlign w:val="center"/>
          </w:tcPr>
          <w:p w14:paraId="50D4A29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1A9791E2">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17层</w:t>
            </w:r>
          </w:p>
        </w:tc>
        <w:tc>
          <w:tcPr>
            <w:tcW w:w="596" w:type="pct"/>
            <w:shd w:val="clear" w:color="auto" w:fill="auto"/>
            <w:noWrap w:val="0"/>
            <w:vAlign w:val="center"/>
          </w:tcPr>
          <w:p w14:paraId="11471CE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17层</w:t>
            </w:r>
          </w:p>
        </w:tc>
        <w:tc>
          <w:tcPr>
            <w:tcW w:w="695" w:type="pct"/>
            <w:shd w:val="clear" w:color="auto" w:fill="auto"/>
            <w:noWrap w:val="0"/>
            <w:vAlign w:val="center"/>
          </w:tcPr>
          <w:p w14:paraId="24B1390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4170830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50F5A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shd w:val="clear" w:color="auto" w:fill="auto"/>
            <w:noWrap w:val="0"/>
            <w:vAlign w:val="center"/>
          </w:tcPr>
          <w:p w14:paraId="74F09A62">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7</w:t>
            </w:r>
          </w:p>
        </w:tc>
        <w:tc>
          <w:tcPr>
            <w:tcW w:w="526" w:type="pct"/>
            <w:noWrap w:val="0"/>
            <w:vAlign w:val="center"/>
          </w:tcPr>
          <w:p w14:paraId="30AADA2C">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DT7</w:t>
            </w:r>
          </w:p>
        </w:tc>
        <w:tc>
          <w:tcPr>
            <w:tcW w:w="1505" w:type="pct"/>
            <w:shd w:val="clear" w:color="auto" w:fill="auto"/>
            <w:noWrap w:val="0"/>
            <w:vAlign w:val="center"/>
          </w:tcPr>
          <w:p w14:paraId="543A068C">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21805924">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17层</w:t>
            </w:r>
          </w:p>
        </w:tc>
        <w:tc>
          <w:tcPr>
            <w:tcW w:w="596" w:type="pct"/>
            <w:shd w:val="clear" w:color="auto" w:fill="auto"/>
            <w:noWrap w:val="0"/>
            <w:vAlign w:val="center"/>
          </w:tcPr>
          <w:p w14:paraId="49D05154">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17层</w:t>
            </w:r>
          </w:p>
        </w:tc>
        <w:tc>
          <w:tcPr>
            <w:tcW w:w="695" w:type="pct"/>
            <w:shd w:val="clear" w:color="auto" w:fill="auto"/>
            <w:noWrap w:val="0"/>
            <w:vAlign w:val="center"/>
          </w:tcPr>
          <w:p w14:paraId="567F1213">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6F893B6B">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71E54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shd w:val="clear" w:color="auto" w:fill="auto"/>
            <w:noWrap w:val="0"/>
            <w:vAlign w:val="center"/>
          </w:tcPr>
          <w:p w14:paraId="2DFBF4D3">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8</w:t>
            </w:r>
          </w:p>
        </w:tc>
        <w:tc>
          <w:tcPr>
            <w:tcW w:w="526" w:type="pct"/>
            <w:noWrap w:val="0"/>
            <w:vAlign w:val="center"/>
          </w:tcPr>
          <w:p w14:paraId="5CD0D6D5">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DT8</w:t>
            </w:r>
          </w:p>
        </w:tc>
        <w:tc>
          <w:tcPr>
            <w:tcW w:w="1505" w:type="pct"/>
            <w:shd w:val="clear" w:color="auto" w:fill="auto"/>
            <w:noWrap w:val="0"/>
            <w:vAlign w:val="center"/>
          </w:tcPr>
          <w:p w14:paraId="31FF6B48">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38DA7BA9">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17层</w:t>
            </w:r>
          </w:p>
        </w:tc>
        <w:tc>
          <w:tcPr>
            <w:tcW w:w="596" w:type="pct"/>
            <w:shd w:val="clear" w:color="auto" w:fill="auto"/>
            <w:noWrap w:val="0"/>
            <w:vAlign w:val="center"/>
          </w:tcPr>
          <w:p w14:paraId="700CDCC5">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17层</w:t>
            </w:r>
          </w:p>
        </w:tc>
        <w:tc>
          <w:tcPr>
            <w:tcW w:w="695" w:type="pct"/>
            <w:shd w:val="clear" w:color="auto" w:fill="auto"/>
            <w:noWrap w:val="0"/>
            <w:vAlign w:val="center"/>
          </w:tcPr>
          <w:p w14:paraId="1E708562">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33C4AC81">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34E61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shd w:val="clear" w:color="auto" w:fill="auto"/>
            <w:noWrap w:val="0"/>
            <w:vAlign w:val="center"/>
          </w:tcPr>
          <w:p w14:paraId="4D2495BE">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9</w:t>
            </w:r>
          </w:p>
        </w:tc>
        <w:tc>
          <w:tcPr>
            <w:tcW w:w="526" w:type="pct"/>
            <w:noWrap w:val="0"/>
            <w:vAlign w:val="center"/>
          </w:tcPr>
          <w:p w14:paraId="1D27852C">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DT9</w:t>
            </w:r>
          </w:p>
        </w:tc>
        <w:tc>
          <w:tcPr>
            <w:tcW w:w="1505" w:type="pct"/>
            <w:shd w:val="clear" w:color="auto" w:fill="auto"/>
            <w:noWrap w:val="0"/>
            <w:vAlign w:val="center"/>
          </w:tcPr>
          <w:p w14:paraId="62CD300B">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6393E8EA">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17层</w:t>
            </w:r>
          </w:p>
        </w:tc>
        <w:tc>
          <w:tcPr>
            <w:tcW w:w="596" w:type="pct"/>
            <w:shd w:val="clear" w:color="auto" w:fill="auto"/>
            <w:noWrap w:val="0"/>
            <w:vAlign w:val="center"/>
          </w:tcPr>
          <w:p w14:paraId="1CE37B54">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17层</w:t>
            </w:r>
          </w:p>
        </w:tc>
        <w:tc>
          <w:tcPr>
            <w:tcW w:w="695" w:type="pct"/>
            <w:shd w:val="clear" w:color="auto" w:fill="auto"/>
            <w:noWrap w:val="0"/>
            <w:vAlign w:val="center"/>
          </w:tcPr>
          <w:p w14:paraId="25E0BEE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58DB4A1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0665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shd w:val="clear" w:color="auto" w:fill="auto"/>
            <w:noWrap w:val="0"/>
            <w:vAlign w:val="center"/>
          </w:tcPr>
          <w:p w14:paraId="1B5A15CB">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10</w:t>
            </w:r>
          </w:p>
        </w:tc>
        <w:tc>
          <w:tcPr>
            <w:tcW w:w="526" w:type="pct"/>
            <w:noWrap w:val="0"/>
            <w:vAlign w:val="center"/>
          </w:tcPr>
          <w:p w14:paraId="26FBE16A">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DT10</w:t>
            </w:r>
          </w:p>
        </w:tc>
        <w:tc>
          <w:tcPr>
            <w:tcW w:w="1505" w:type="pct"/>
            <w:shd w:val="clear" w:color="auto" w:fill="auto"/>
            <w:noWrap w:val="0"/>
            <w:vAlign w:val="center"/>
          </w:tcPr>
          <w:p w14:paraId="6BBDC710">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5E8601E8">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5层</w:t>
            </w:r>
          </w:p>
        </w:tc>
        <w:tc>
          <w:tcPr>
            <w:tcW w:w="596" w:type="pct"/>
            <w:shd w:val="clear" w:color="auto" w:fill="auto"/>
            <w:noWrap w:val="0"/>
            <w:vAlign w:val="center"/>
          </w:tcPr>
          <w:p w14:paraId="52E97771">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5层</w:t>
            </w:r>
          </w:p>
        </w:tc>
        <w:tc>
          <w:tcPr>
            <w:tcW w:w="695" w:type="pct"/>
            <w:shd w:val="clear" w:color="auto" w:fill="auto"/>
            <w:noWrap w:val="0"/>
            <w:vAlign w:val="center"/>
          </w:tcPr>
          <w:p w14:paraId="3011DA19">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3C951F07">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ABC1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shd w:val="clear" w:color="auto" w:fill="auto"/>
            <w:noWrap w:val="0"/>
            <w:vAlign w:val="center"/>
          </w:tcPr>
          <w:p w14:paraId="6E1B5FE5">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11</w:t>
            </w:r>
          </w:p>
        </w:tc>
        <w:tc>
          <w:tcPr>
            <w:tcW w:w="526" w:type="pct"/>
            <w:noWrap w:val="0"/>
            <w:vAlign w:val="center"/>
          </w:tcPr>
          <w:p w14:paraId="5844F49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DT11</w:t>
            </w:r>
          </w:p>
        </w:tc>
        <w:tc>
          <w:tcPr>
            <w:tcW w:w="1505" w:type="pct"/>
            <w:shd w:val="clear" w:color="auto" w:fill="auto"/>
            <w:noWrap w:val="0"/>
            <w:vAlign w:val="center"/>
          </w:tcPr>
          <w:p w14:paraId="6005AF1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2C99EAFA">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5层</w:t>
            </w:r>
          </w:p>
        </w:tc>
        <w:tc>
          <w:tcPr>
            <w:tcW w:w="596" w:type="pct"/>
            <w:shd w:val="clear" w:color="auto" w:fill="auto"/>
            <w:noWrap w:val="0"/>
            <w:vAlign w:val="center"/>
          </w:tcPr>
          <w:p w14:paraId="7ACE733C">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5层</w:t>
            </w:r>
          </w:p>
        </w:tc>
        <w:tc>
          <w:tcPr>
            <w:tcW w:w="695" w:type="pct"/>
            <w:shd w:val="clear" w:color="auto" w:fill="auto"/>
            <w:noWrap w:val="0"/>
            <w:vAlign w:val="center"/>
          </w:tcPr>
          <w:p w14:paraId="3BC1763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67A68E0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46F13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shd w:val="clear" w:color="auto" w:fill="auto"/>
            <w:noWrap w:val="0"/>
            <w:vAlign w:val="center"/>
          </w:tcPr>
          <w:p w14:paraId="2B6E4421">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12</w:t>
            </w:r>
          </w:p>
        </w:tc>
        <w:tc>
          <w:tcPr>
            <w:tcW w:w="526" w:type="pct"/>
            <w:noWrap w:val="0"/>
            <w:vAlign w:val="center"/>
          </w:tcPr>
          <w:p w14:paraId="18EB2BD7">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DT12</w:t>
            </w:r>
          </w:p>
        </w:tc>
        <w:tc>
          <w:tcPr>
            <w:tcW w:w="1505" w:type="pct"/>
            <w:shd w:val="clear" w:color="auto" w:fill="auto"/>
            <w:noWrap w:val="0"/>
            <w:vAlign w:val="center"/>
          </w:tcPr>
          <w:p w14:paraId="7D3BD418">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3DEAE68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4层</w:t>
            </w:r>
          </w:p>
        </w:tc>
        <w:tc>
          <w:tcPr>
            <w:tcW w:w="596" w:type="pct"/>
            <w:shd w:val="clear" w:color="auto" w:fill="auto"/>
            <w:noWrap w:val="0"/>
            <w:vAlign w:val="center"/>
          </w:tcPr>
          <w:p w14:paraId="2E84F391">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4层</w:t>
            </w:r>
          </w:p>
        </w:tc>
        <w:tc>
          <w:tcPr>
            <w:tcW w:w="695" w:type="pct"/>
            <w:shd w:val="clear" w:color="auto" w:fill="auto"/>
            <w:noWrap w:val="0"/>
            <w:vAlign w:val="center"/>
          </w:tcPr>
          <w:p w14:paraId="79A1399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5CC29B3B">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181FF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3477936F">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13</w:t>
            </w:r>
          </w:p>
        </w:tc>
        <w:tc>
          <w:tcPr>
            <w:tcW w:w="526" w:type="pct"/>
            <w:noWrap w:val="0"/>
            <w:vAlign w:val="center"/>
          </w:tcPr>
          <w:p w14:paraId="6993863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DT13</w:t>
            </w:r>
          </w:p>
        </w:tc>
        <w:tc>
          <w:tcPr>
            <w:tcW w:w="1505" w:type="pct"/>
            <w:shd w:val="clear" w:color="auto" w:fill="auto"/>
            <w:noWrap w:val="0"/>
            <w:vAlign w:val="center"/>
          </w:tcPr>
          <w:p w14:paraId="534D7D6D">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32CB8F33">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4层</w:t>
            </w:r>
          </w:p>
        </w:tc>
        <w:tc>
          <w:tcPr>
            <w:tcW w:w="596" w:type="pct"/>
            <w:shd w:val="clear" w:color="auto" w:fill="auto"/>
            <w:noWrap w:val="0"/>
            <w:vAlign w:val="center"/>
          </w:tcPr>
          <w:p w14:paraId="449A1A5D">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4层</w:t>
            </w:r>
          </w:p>
        </w:tc>
        <w:tc>
          <w:tcPr>
            <w:tcW w:w="695" w:type="pct"/>
            <w:shd w:val="clear" w:color="auto" w:fill="auto"/>
            <w:noWrap w:val="0"/>
            <w:vAlign w:val="center"/>
          </w:tcPr>
          <w:p w14:paraId="57B14CC4">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0A8D7A7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B9A0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103010AF">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14</w:t>
            </w:r>
          </w:p>
        </w:tc>
        <w:tc>
          <w:tcPr>
            <w:tcW w:w="526" w:type="pct"/>
            <w:noWrap w:val="0"/>
            <w:vAlign w:val="center"/>
          </w:tcPr>
          <w:p w14:paraId="00B5CAF6">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DT14</w:t>
            </w:r>
          </w:p>
        </w:tc>
        <w:tc>
          <w:tcPr>
            <w:tcW w:w="1505" w:type="pct"/>
            <w:shd w:val="clear" w:color="auto" w:fill="auto"/>
            <w:noWrap w:val="0"/>
            <w:vAlign w:val="center"/>
          </w:tcPr>
          <w:p w14:paraId="18669A12">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776CAD06">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5层</w:t>
            </w:r>
          </w:p>
        </w:tc>
        <w:tc>
          <w:tcPr>
            <w:tcW w:w="596" w:type="pct"/>
            <w:shd w:val="clear" w:color="auto" w:fill="auto"/>
            <w:noWrap w:val="0"/>
            <w:vAlign w:val="center"/>
          </w:tcPr>
          <w:p w14:paraId="18C10D04">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5层</w:t>
            </w:r>
          </w:p>
        </w:tc>
        <w:tc>
          <w:tcPr>
            <w:tcW w:w="695" w:type="pct"/>
            <w:shd w:val="clear" w:color="auto" w:fill="auto"/>
            <w:noWrap w:val="0"/>
            <w:vAlign w:val="center"/>
          </w:tcPr>
          <w:p w14:paraId="6B23BD8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6A1419B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2FDF6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57C14484">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15</w:t>
            </w:r>
          </w:p>
        </w:tc>
        <w:tc>
          <w:tcPr>
            <w:tcW w:w="526" w:type="pct"/>
            <w:noWrap w:val="0"/>
            <w:vAlign w:val="center"/>
          </w:tcPr>
          <w:p w14:paraId="3720268D">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DT15</w:t>
            </w:r>
          </w:p>
        </w:tc>
        <w:tc>
          <w:tcPr>
            <w:tcW w:w="1505" w:type="pct"/>
            <w:shd w:val="clear" w:color="auto" w:fill="auto"/>
            <w:noWrap w:val="0"/>
            <w:vAlign w:val="center"/>
          </w:tcPr>
          <w:p w14:paraId="318954E3">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42751750">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5层</w:t>
            </w:r>
          </w:p>
        </w:tc>
        <w:tc>
          <w:tcPr>
            <w:tcW w:w="596" w:type="pct"/>
            <w:shd w:val="clear" w:color="auto" w:fill="auto"/>
            <w:noWrap w:val="0"/>
            <w:vAlign w:val="center"/>
          </w:tcPr>
          <w:p w14:paraId="33DA7CFF">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5层</w:t>
            </w:r>
          </w:p>
        </w:tc>
        <w:tc>
          <w:tcPr>
            <w:tcW w:w="695" w:type="pct"/>
            <w:shd w:val="clear" w:color="auto" w:fill="auto"/>
            <w:noWrap w:val="0"/>
            <w:vAlign w:val="center"/>
          </w:tcPr>
          <w:p w14:paraId="65F02C6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28CB44B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7C8A7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61C154B8">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16</w:t>
            </w:r>
          </w:p>
        </w:tc>
        <w:tc>
          <w:tcPr>
            <w:tcW w:w="526" w:type="pct"/>
            <w:noWrap w:val="0"/>
            <w:vAlign w:val="center"/>
          </w:tcPr>
          <w:p w14:paraId="1B3A241C">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DT16</w:t>
            </w:r>
          </w:p>
        </w:tc>
        <w:tc>
          <w:tcPr>
            <w:tcW w:w="1505" w:type="pct"/>
            <w:shd w:val="clear" w:color="auto" w:fill="auto"/>
            <w:noWrap w:val="0"/>
            <w:vAlign w:val="center"/>
          </w:tcPr>
          <w:p w14:paraId="3E927A61">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62E361B9">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5层</w:t>
            </w:r>
          </w:p>
        </w:tc>
        <w:tc>
          <w:tcPr>
            <w:tcW w:w="596" w:type="pct"/>
            <w:shd w:val="clear" w:color="auto" w:fill="auto"/>
            <w:noWrap w:val="0"/>
            <w:vAlign w:val="center"/>
          </w:tcPr>
          <w:p w14:paraId="4DFC65B9">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5层</w:t>
            </w:r>
          </w:p>
        </w:tc>
        <w:tc>
          <w:tcPr>
            <w:tcW w:w="695" w:type="pct"/>
            <w:shd w:val="clear" w:color="auto" w:fill="auto"/>
            <w:noWrap w:val="0"/>
            <w:vAlign w:val="center"/>
          </w:tcPr>
          <w:p w14:paraId="1157BA3F">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7D5EEC0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00CD7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162FE026">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17</w:t>
            </w:r>
          </w:p>
        </w:tc>
        <w:tc>
          <w:tcPr>
            <w:tcW w:w="526" w:type="pct"/>
            <w:noWrap w:val="0"/>
            <w:vAlign w:val="center"/>
          </w:tcPr>
          <w:p w14:paraId="5DAEB1F9">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DT17西</w:t>
            </w:r>
          </w:p>
        </w:tc>
        <w:tc>
          <w:tcPr>
            <w:tcW w:w="1505" w:type="pct"/>
            <w:shd w:val="clear" w:color="auto" w:fill="auto"/>
            <w:noWrap w:val="0"/>
            <w:vAlign w:val="center"/>
          </w:tcPr>
          <w:p w14:paraId="058DA46A">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76615C31">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96" w:type="pct"/>
            <w:noWrap w:val="0"/>
            <w:vAlign w:val="center"/>
          </w:tcPr>
          <w:p w14:paraId="2D20BB7B">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695" w:type="pct"/>
            <w:shd w:val="clear" w:color="auto" w:fill="auto"/>
            <w:noWrap w:val="0"/>
            <w:vAlign w:val="center"/>
          </w:tcPr>
          <w:p w14:paraId="4650E9D8">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16F1A42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742109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1ABB7451">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18</w:t>
            </w:r>
          </w:p>
        </w:tc>
        <w:tc>
          <w:tcPr>
            <w:tcW w:w="526" w:type="pct"/>
            <w:noWrap w:val="0"/>
            <w:vAlign w:val="center"/>
          </w:tcPr>
          <w:p w14:paraId="322A3062">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DT8西</w:t>
            </w:r>
          </w:p>
        </w:tc>
        <w:tc>
          <w:tcPr>
            <w:tcW w:w="1505" w:type="pct"/>
            <w:shd w:val="clear" w:color="auto" w:fill="auto"/>
            <w:noWrap w:val="0"/>
            <w:vAlign w:val="center"/>
          </w:tcPr>
          <w:p w14:paraId="74E2DF6D">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13FC14A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96" w:type="pct"/>
            <w:noWrap w:val="0"/>
            <w:vAlign w:val="center"/>
          </w:tcPr>
          <w:p w14:paraId="07D67D22">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695" w:type="pct"/>
            <w:shd w:val="clear" w:color="auto" w:fill="auto"/>
            <w:noWrap w:val="0"/>
            <w:vAlign w:val="center"/>
          </w:tcPr>
          <w:p w14:paraId="53E4F847">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20687054">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79CAF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25A5B4E5">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19</w:t>
            </w:r>
          </w:p>
        </w:tc>
        <w:tc>
          <w:tcPr>
            <w:tcW w:w="526" w:type="pct"/>
            <w:noWrap w:val="0"/>
            <w:vAlign w:val="center"/>
          </w:tcPr>
          <w:p w14:paraId="19422A78">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DT19西</w:t>
            </w:r>
          </w:p>
        </w:tc>
        <w:tc>
          <w:tcPr>
            <w:tcW w:w="1505" w:type="pct"/>
            <w:shd w:val="clear" w:color="auto" w:fill="auto"/>
            <w:noWrap w:val="0"/>
            <w:vAlign w:val="center"/>
          </w:tcPr>
          <w:p w14:paraId="62533856">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0CEEA123">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96" w:type="pct"/>
            <w:noWrap w:val="0"/>
            <w:vAlign w:val="center"/>
          </w:tcPr>
          <w:p w14:paraId="674468E0">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695" w:type="pct"/>
            <w:shd w:val="clear" w:color="auto" w:fill="auto"/>
            <w:noWrap w:val="0"/>
            <w:vAlign w:val="center"/>
          </w:tcPr>
          <w:p w14:paraId="0CEEC6D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698F87F3">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78BE1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1C674696">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20</w:t>
            </w:r>
          </w:p>
        </w:tc>
        <w:tc>
          <w:tcPr>
            <w:tcW w:w="526" w:type="pct"/>
            <w:noWrap w:val="0"/>
            <w:vAlign w:val="center"/>
          </w:tcPr>
          <w:p w14:paraId="1C1FB56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DT20东</w:t>
            </w:r>
          </w:p>
        </w:tc>
        <w:tc>
          <w:tcPr>
            <w:tcW w:w="1505" w:type="pct"/>
            <w:shd w:val="clear" w:color="auto" w:fill="auto"/>
            <w:noWrap w:val="0"/>
            <w:vAlign w:val="center"/>
          </w:tcPr>
          <w:p w14:paraId="6373B0FB">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04EB668C">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96" w:type="pct"/>
            <w:noWrap w:val="0"/>
            <w:vAlign w:val="center"/>
          </w:tcPr>
          <w:p w14:paraId="1DF9B53B">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695" w:type="pct"/>
            <w:shd w:val="clear" w:color="auto" w:fill="auto"/>
            <w:noWrap w:val="0"/>
            <w:vAlign w:val="center"/>
          </w:tcPr>
          <w:p w14:paraId="7BDB320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535" w:type="pct"/>
            <w:noWrap w:val="0"/>
            <w:vAlign w:val="center"/>
          </w:tcPr>
          <w:p w14:paraId="0581E53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03664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06F2CA8C">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21</w:t>
            </w:r>
          </w:p>
        </w:tc>
        <w:tc>
          <w:tcPr>
            <w:tcW w:w="526" w:type="pct"/>
            <w:noWrap w:val="0"/>
            <w:vAlign w:val="center"/>
          </w:tcPr>
          <w:p w14:paraId="0F33DB10">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DT21东</w:t>
            </w:r>
          </w:p>
        </w:tc>
        <w:tc>
          <w:tcPr>
            <w:tcW w:w="1505" w:type="pct"/>
            <w:shd w:val="clear" w:color="auto" w:fill="auto"/>
            <w:noWrap w:val="0"/>
            <w:vAlign w:val="center"/>
          </w:tcPr>
          <w:p w14:paraId="1607A0DE">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35A4BDA0">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96" w:type="pct"/>
            <w:noWrap w:val="0"/>
            <w:vAlign w:val="center"/>
          </w:tcPr>
          <w:p w14:paraId="7AC6472C">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695" w:type="pct"/>
            <w:noWrap w:val="0"/>
            <w:vAlign w:val="center"/>
          </w:tcPr>
          <w:p w14:paraId="783A38F7">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1</w:t>
            </w:r>
          </w:p>
        </w:tc>
        <w:tc>
          <w:tcPr>
            <w:tcW w:w="535" w:type="pct"/>
            <w:noWrap w:val="0"/>
            <w:vAlign w:val="center"/>
          </w:tcPr>
          <w:p w14:paraId="1413709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0FDD3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358" w:type="pct"/>
            <w:noWrap w:val="0"/>
            <w:vAlign w:val="center"/>
          </w:tcPr>
          <w:p w14:paraId="16FB0D3A">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22</w:t>
            </w:r>
          </w:p>
        </w:tc>
        <w:tc>
          <w:tcPr>
            <w:tcW w:w="526" w:type="pct"/>
            <w:noWrap w:val="0"/>
            <w:vAlign w:val="center"/>
          </w:tcPr>
          <w:p w14:paraId="11929628">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DT22东</w:t>
            </w:r>
          </w:p>
        </w:tc>
        <w:tc>
          <w:tcPr>
            <w:tcW w:w="1505" w:type="pct"/>
            <w:shd w:val="clear" w:color="auto" w:fill="auto"/>
            <w:noWrap w:val="0"/>
            <w:vAlign w:val="center"/>
          </w:tcPr>
          <w:p w14:paraId="7A64444F">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782" w:type="pct"/>
            <w:noWrap w:val="0"/>
            <w:vAlign w:val="center"/>
          </w:tcPr>
          <w:p w14:paraId="20825894">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96" w:type="pct"/>
            <w:noWrap w:val="0"/>
            <w:vAlign w:val="center"/>
          </w:tcPr>
          <w:p w14:paraId="5F339380">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695" w:type="pct"/>
            <w:noWrap w:val="0"/>
            <w:vAlign w:val="center"/>
          </w:tcPr>
          <w:p w14:paraId="1C421CE8">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1</w:t>
            </w:r>
          </w:p>
        </w:tc>
        <w:tc>
          <w:tcPr>
            <w:tcW w:w="535" w:type="pct"/>
            <w:noWrap w:val="0"/>
            <w:vAlign w:val="center"/>
          </w:tcPr>
          <w:p w14:paraId="0D93A3C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12578F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2389" w:type="pct"/>
            <w:gridSpan w:val="3"/>
            <w:noWrap w:val="0"/>
            <w:vAlign w:val="center"/>
          </w:tcPr>
          <w:p w14:paraId="0810D135">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rPr>
              <w:t>合计：</w:t>
            </w:r>
          </w:p>
        </w:tc>
        <w:tc>
          <w:tcPr>
            <w:tcW w:w="1378" w:type="pct"/>
            <w:gridSpan w:val="2"/>
            <w:noWrap w:val="0"/>
            <w:vAlign w:val="center"/>
          </w:tcPr>
          <w:p w14:paraId="5A4A274B">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rPr>
            </w:pPr>
          </w:p>
        </w:tc>
        <w:tc>
          <w:tcPr>
            <w:tcW w:w="695" w:type="pct"/>
            <w:noWrap w:val="0"/>
            <w:vAlign w:val="center"/>
          </w:tcPr>
          <w:p w14:paraId="6737BD33">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22</w:t>
            </w:r>
          </w:p>
        </w:tc>
        <w:tc>
          <w:tcPr>
            <w:tcW w:w="535" w:type="pct"/>
            <w:noWrap w:val="0"/>
            <w:vAlign w:val="center"/>
          </w:tcPr>
          <w:p w14:paraId="465F7D39">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w:t>
            </w:r>
          </w:p>
        </w:tc>
      </w:tr>
    </w:tbl>
    <w:p w14:paraId="5742A0E3">
      <w:pPr>
        <w:pStyle w:val="8"/>
        <w:keepNext w:val="0"/>
        <w:keepLines w:val="0"/>
        <w:pageBreakBefore w:val="0"/>
        <w:widowControl w:val="0"/>
        <w:kinsoku/>
        <w:wordWrap/>
        <w:overflowPunct/>
        <w:topLinePunct/>
        <w:autoSpaceDE/>
        <w:autoSpaceDN/>
        <w:bidi w:val="0"/>
        <w:adjustRightInd/>
        <w:snapToGrid/>
        <w:spacing w:line="440" w:lineRule="exact"/>
        <w:ind w:left="0" w:right="0" w:firstLine="0"/>
        <w:textAlignment w:val="auto"/>
        <w:outlineLvl w:val="1"/>
        <w:rPr>
          <w:rFonts w:hint="eastAsia" w:ascii="宋体" w:hAnsi="宋体" w:eastAsia="宋体" w:cs="宋体"/>
          <w:sz w:val="24"/>
          <w:szCs w:val="24"/>
        </w:rPr>
      </w:pPr>
      <w:bookmarkStart w:id="62" w:name="_Toc12910"/>
      <w:bookmarkStart w:id="63" w:name="_Toc18052"/>
      <w:r>
        <w:rPr>
          <w:rFonts w:hint="eastAsia" w:ascii="宋体" w:hAnsi="宋体" w:eastAsia="宋体" w:cs="宋体"/>
          <w:b/>
          <w:bCs/>
          <w:spacing w:val="-4"/>
          <w:sz w:val="24"/>
          <w:szCs w:val="24"/>
        </w:rPr>
        <w:t>二、服务标准</w:t>
      </w:r>
    </w:p>
    <w:p w14:paraId="7C7DE91F">
      <w:pPr>
        <w:pStyle w:val="8"/>
        <w:keepNext w:val="0"/>
        <w:keepLines w:val="0"/>
        <w:pageBreakBefore w:val="0"/>
        <w:widowControl w:val="0"/>
        <w:kinsoku/>
        <w:wordWrap/>
        <w:overflowPunct/>
        <w:topLinePunct/>
        <w:autoSpaceDE/>
        <w:autoSpaceDN/>
        <w:bidi w:val="0"/>
        <w:adjustRightInd/>
        <w:snapToGrid/>
        <w:spacing w:line="440" w:lineRule="exact"/>
        <w:ind w:right="0"/>
        <w:textAlignment w:val="auto"/>
        <w:rPr>
          <w:rFonts w:hint="eastAsia" w:ascii="宋体" w:hAnsi="宋体" w:eastAsia="宋体" w:cs="宋体"/>
          <w:sz w:val="24"/>
          <w:szCs w:val="24"/>
          <w:lang w:eastAsia="zh-CN"/>
        </w:rPr>
      </w:pPr>
      <w:r>
        <w:rPr>
          <w:rFonts w:hint="eastAsia" w:ascii="宋体" w:hAnsi="宋体" w:eastAsia="宋体" w:cs="宋体"/>
          <w:spacing w:val="-1"/>
          <w:sz w:val="24"/>
          <w:szCs w:val="24"/>
        </w:rPr>
        <w:t>服务标准</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包括但不限于以下规范要求</w:t>
      </w:r>
      <w:r>
        <w:rPr>
          <w:rFonts w:hint="eastAsia" w:ascii="宋体" w:hAnsi="宋体" w:eastAsia="宋体" w:cs="宋体"/>
          <w:spacing w:val="-1"/>
          <w:sz w:val="24"/>
          <w:szCs w:val="24"/>
          <w:lang w:eastAsia="zh-CN"/>
        </w:rPr>
        <w:t>）</w:t>
      </w:r>
    </w:p>
    <w:p w14:paraId="58C1322A">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（1）电梯使用管理与维修保养规则 TSG T5002</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2017；</w:t>
      </w:r>
    </w:p>
    <w:p w14:paraId="6811FB36">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（2）电梯维修保养安全管理规范 GB/T 18775</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2009；</w:t>
      </w:r>
    </w:p>
    <w:p w14:paraId="76E82D15">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（3）电梯维修保养安全管理规范标准；</w:t>
      </w:r>
    </w:p>
    <w:p w14:paraId="0EF84EF5">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（4）《特种设备安全监察条例》（国务院令第</w:t>
      </w:r>
      <w:r>
        <w:rPr>
          <w:rFonts w:hint="eastAsia" w:ascii="宋体" w:hAnsi="宋体" w:eastAsia="宋体" w:cs="宋体"/>
          <w:spacing w:val="-56"/>
          <w:sz w:val="24"/>
          <w:szCs w:val="24"/>
        </w:rPr>
        <w:t xml:space="preserve"> </w:t>
      </w:r>
      <w:r>
        <w:rPr>
          <w:rFonts w:hint="eastAsia" w:ascii="宋体" w:hAnsi="宋体" w:eastAsia="宋体" w:cs="宋体"/>
          <w:spacing w:val="-2"/>
          <w:sz w:val="24"/>
          <w:szCs w:val="24"/>
        </w:rPr>
        <w:t>549</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号</w:t>
      </w:r>
      <w:r>
        <w:rPr>
          <w:rFonts w:hint="eastAsia" w:ascii="宋体" w:hAnsi="宋体" w:eastAsia="宋体" w:cs="宋体"/>
          <w:sz w:val="24"/>
          <w:szCs w:val="24"/>
        </w:rPr>
        <w:t>）；</w:t>
      </w:r>
    </w:p>
    <w:p w14:paraId="204373A0">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（5）《特种设备质量监督与安全监察规定》（国家质检总局令第</w:t>
      </w:r>
      <w:r>
        <w:rPr>
          <w:rFonts w:hint="eastAsia" w:ascii="宋体" w:hAnsi="宋体" w:eastAsia="宋体" w:cs="宋体"/>
          <w:spacing w:val="-37"/>
          <w:sz w:val="24"/>
          <w:szCs w:val="24"/>
        </w:rPr>
        <w:t xml:space="preserve"> </w:t>
      </w:r>
      <w:r>
        <w:rPr>
          <w:rFonts w:hint="eastAsia" w:ascii="宋体" w:hAnsi="宋体" w:eastAsia="宋体" w:cs="宋体"/>
          <w:spacing w:val="-3"/>
          <w:sz w:val="24"/>
          <w:szCs w:val="24"/>
        </w:rPr>
        <w:t>13</w:t>
      </w:r>
      <w:r>
        <w:rPr>
          <w:rFonts w:hint="eastAsia" w:ascii="宋体" w:hAnsi="宋体" w:eastAsia="宋体" w:cs="宋体"/>
          <w:spacing w:val="-46"/>
          <w:sz w:val="24"/>
          <w:szCs w:val="24"/>
        </w:rPr>
        <w:t xml:space="preserve"> </w:t>
      </w:r>
      <w:r>
        <w:rPr>
          <w:rFonts w:hint="eastAsia" w:ascii="宋体" w:hAnsi="宋体" w:eastAsia="宋体" w:cs="宋体"/>
          <w:spacing w:val="-3"/>
          <w:sz w:val="24"/>
          <w:szCs w:val="24"/>
        </w:rPr>
        <w:t>号</w:t>
      </w:r>
      <w:r>
        <w:rPr>
          <w:rFonts w:hint="eastAsia" w:ascii="宋体" w:hAnsi="宋体" w:eastAsia="宋体" w:cs="宋体"/>
          <w:spacing w:val="-1"/>
          <w:sz w:val="24"/>
          <w:szCs w:val="24"/>
        </w:rPr>
        <w:t>）；</w:t>
      </w:r>
    </w:p>
    <w:p w14:paraId="28F7A936">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（6）《特种设备制造、安装、改造、维修质量保证体系基本要求》（TSGZ0004</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2007</w:t>
      </w:r>
      <w:r>
        <w:rPr>
          <w:rFonts w:hint="eastAsia" w:ascii="宋体" w:hAnsi="宋体" w:eastAsia="宋体" w:cs="宋体"/>
          <w:spacing w:val="6"/>
          <w:sz w:val="24"/>
          <w:szCs w:val="24"/>
        </w:rPr>
        <w:t>）；</w:t>
      </w:r>
    </w:p>
    <w:p w14:paraId="127EAE95">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（7）《特种设备制造、安装、改造、维修许可鉴定评审细则》（TSGZ0005</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2007</w:t>
      </w:r>
      <w:r>
        <w:rPr>
          <w:rFonts w:hint="eastAsia" w:ascii="宋体" w:hAnsi="宋体" w:eastAsia="宋体" w:cs="宋体"/>
          <w:spacing w:val="5"/>
          <w:sz w:val="24"/>
          <w:szCs w:val="24"/>
        </w:rPr>
        <w:t>）；</w:t>
      </w:r>
    </w:p>
    <w:p w14:paraId="70ABC9AC">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（8）《特种设备作业人员监督管理办法》（国家质检总令</w:t>
      </w:r>
      <w:r>
        <w:rPr>
          <w:rFonts w:hint="eastAsia" w:ascii="宋体" w:hAnsi="宋体" w:eastAsia="宋体" w:cs="宋体"/>
          <w:spacing w:val="-3"/>
          <w:sz w:val="24"/>
          <w:szCs w:val="24"/>
        </w:rPr>
        <w:t>第</w:t>
      </w:r>
      <w:r>
        <w:rPr>
          <w:rFonts w:hint="eastAsia" w:ascii="宋体" w:hAnsi="宋体" w:eastAsia="宋体" w:cs="宋体"/>
          <w:spacing w:val="-37"/>
          <w:sz w:val="24"/>
          <w:szCs w:val="24"/>
        </w:rPr>
        <w:t xml:space="preserve"> </w:t>
      </w:r>
      <w:r>
        <w:rPr>
          <w:rFonts w:hint="eastAsia" w:ascii="宋体" w:hAnsi="宋体" w:eastAsia="宋体" w:cs="宋体"/>
          <w:spacing w:val="-3"/>
          <w:sz w:val="24"/>
          <w:szCs w:val="24"/>
        </w:rPr>
        <w:t>140</w:t>
      </w:r>
      <w:r>
        <w:rPr>
          <w:rFonts w:hint="eastAsia" w:ascii="宋体" w:hAnsi="宋体" w:eastAsia="宋体" w:cs="宋体"/>
          <w:spacing w:val="-46"/>
          <w:sz w:val="24"/>
          <w:szCs w:val="24"/>
        </w:rPr>
        <w:t xml:space="preserve"> </w:t>
      </w:r>
      <w:r>
        <w:rPr>
          <w:rFonts w:hint="eastAsia" w:ascii="宋体" w:hAnsi="宋体" w:eastAsia="宋体" w:cs="宋体"/>
          <w:spacing w:val="-3"/>
          <w:sz w:val="24"/>
          <w:szCs w:val="24"/>
        </w:rPr>
        <w:t>号</w:t>
      </w:r>
      <w:r>
        <w:rPr>
          <w:rFonts w:hint="eastAsia" w:ascii="宋体" w:hAnsi="宋体" w:eastAsia="宋体" w:cs="宋体"/>
          <w:spacing w:val="-1"/>
          <w:sz w:val="24"/>
          <w:szCs w:val="24"/>
        </w:rPr>
        <w:t>）；</w:t>
      </w:r>
    </w:p>
    <w:p w14:paraId="6A2EFBEB">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（9）《特种设备作业人员考核规则》（TSG Z6001</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2005</w:t>
      </w:r>
      <w:r>
        <w:rPr>
          <w:rFonts w:hint="eastAsia" w:ascii="宋体" w:hAnsi="宋体" w:eastAsia="宋体" w:cs="宋体"/>
          <w:sz w:val="24"/>
          <w:szCs w:val="24"/>
        </w:rPr>
        <w:t>）；</w:t>
      </w:r>
    </w:p>
    <w:p w14:paraId="6552C068">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（10）《电梯安全管理人员和作业人员考核大纲》（TSG T6001</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2007</w:t>
      </w:r>
      <w:r>
        <w:rPr>
          <w:rFonts w:hint="eastAsia" w:ascii="宋体" w:hAnsi="宋体" w:eastAsia="宋体" w:cs="宋体"/>
          <w:spacing w:val="3"/>
          <w:sz w:val="24"/>
          <w:szCs w:val="24"/>
        </w:rPr>
        <w:t>）；</w:t>
      </w:r>
    </w:p>
    <w:p w14:paraId="214B2684">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（11）《电梯监督检验和定期检验规则</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曳引与强制驱动电梯》（TSG T7001</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2005</w:t>
      </w:r>
      <w:r>
        <w:rPr>
          <w:rFonts w:hint="eastAsia" w:ascii="宋体" w:hAnsi="宋体" w:eastAsia="宋体" w:cs="宋体"/>
          <w:spacing w:val="6"/>
          <w:sz w:val="24"/>
          <w:szCs w:val="24"/>
        </w:rPr>
        <w:t>）；</w:t>
      </w:r>
    </w:p>
    <w:p w14:paraId="71F4C80E">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（12）《电梯监督检验和定期检验规则</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消防员电梯》（TSG T7002</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2011</w:t>
      </w:r>
      <w:r>
        <w:rPr>
          <w:rFonts w:hint="eastAsia" w:ascii="宋体" w:hAnsi="宋体" w:eastAsia="宋体" w:cs="宋体"/>
          <w:spacing w:val="4"/>
          <w:sz w:val="24"/>
          <w:szCs w:val="24"/>
        </w:rPr>
        <w:t>）；</w:t>
      </w:r>
    </w:p>
    <w:p w14:paraId="35983EB8">
      <w:pPr>
        <w:pStyle w:val="8"/>
        <w:keepNext w:val="0"/>
        <w:keepLines w:val="0"/>
        <w:pageBreakBefore w:val="0"/>
        <w:widowControl w:val="0"/>
        <w:kinsoku/>
        <w:wordWrap/>
        <w:overflowPunct/>
        <w:topLinePunct/>
        <w:autoSpaceDE/>
        <w:autoSpaceDN/>
        <w:bidi w:val="0"/>
        <w:adjustRightInd/>
        <w:snapToGrid/>
        <w:spacing w:line="440" w:lineRule="exact"/>
        <w:ind w:left="0" w:right="0"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（13）电梯使用维护说明书；</w:t>
      </w:r>
    </w:p>
    <w:p w14:paraId="3A872067">
      <w:pPr>
        <w:pStyle w:val="8"/>
        <w:keepNext w:val="0"/>
        <w:keepLines w:val="0"/>
        <w:pageBreakBefore w:val="0"/>
        <w:widowControl w:val="0"/>
        <w:kinsoku/>
        <w:wordWrap/>
        <w:overflowPunct/>
        <w:topLinePunct/>
        <w:autoSpaceDE/>
        <w:autoSpaceDN/>
        <w:bidi w:val="0"/>
        <w:adjustRightInd/>
        <w:snapToGrid/>
        <w:spacing w:line="440" w:lineRule="exact"/>
        <w:ind w:left="0" w:right="0" w:firstLine="464" w:firstLineChars="200"/>
        <w:textAlignment w:val="auto"/>
        <w:rPr>
          <w:rFonts w:hint="eastAsia" w:ascii="宋体" w:hAnsi="宋体" w:eastAsia="宋体" w:cs="宋体"/>
          <w:sz w:val="24"/>
          <w:szCs w:val="24"/>
        </w:rPr>
      </w:pPr>
      <w:r>
        <w:rPr>
          <w:rFonts w:hint="eastAsia" w:ascii="宋体" w:hAnsi="宋体" w:eastAsia="宋体" w:cs="宋体"/>
          <w:spacing w:val="-4"/>
          <w:sz w:val="24"/>
          <w:szCs w:val="24"/>
        </w:rPr>
        <w:t>（14）维保合同。</w:t>
      </w:r>
    </w:p>
    <w:p w14:paraId="0937D039">
      <w:pPr>
        <w:pStyle w:val="8"/>
        <w:keepNext w:val="0"/>
        <w:keepLines w:val="0"/>
        <w:pageBreakBefore w:val="0"/>
        <w:widowControl w:val="0"/>
        <w:kinsoku/>
        <w:wordWrap/>
        <w:overflowPunct/>
        <w:topLinePunct/>
        <w:autoSpaceDE/>
        <w:autoSpaceDN/>
        <w:bidi w:val="0"/>
        <w:adjustRightInd/>
        <w:snapToGrid/>
        <w:spacing w:line="440" w:lineRule="exact"/>
        <w:ind w:left="0" w:right="0" w:firstLine="464" w:firstLineChars="200"/>
        <w:textAlignment w:val="auto"/>
        <w:rPr>
          <w:rFonts w:hint="eastAsia" w:ascii="宋体" w:hAnsi="宋体" w:eastAsia="宋体" w:cs="宋体"/>
          <w:spacing w:val="-1"/>
          <w:sz w:val="24"/>
          <w:szCs w:val="24"/>
        </w:rPr>
      </w:pPr>
      <w:r>
        <w:rPr>
          <w:rFonts w:hint="eastAsia" w:ascii="宋体" w:hAnsi="宋体" w:eastAsia="宋体" w:cs="宋体"/>
          <w:spacing w:val="-4"/>
          <w:sz w:val="24"/>
          <w:szCs w:val="24"/>
        </w:rPr>
        <w:t>（1</w:t>
      </w:r>
      <w:r>
        <w:rPr>
          <w:rFonts w:hint="eastAsia" w:ascii="宋体" w:hAnsi="宋体" w:eastAsia="宋体" w:cs="宋体"/>
          <w:spacing w:val="-4"/>
          <w:sz w:val="24"/>
          <w:szCs w:val="24"/>
          <w:lang w:val="en-US" w:eastAsia="zh-CN"/>
        </w:rPr>
        <w:t>5</w:t>
      </w:r>
      <w:r>
        <w:rPr>
          <w:rFonts w:hint="eastAsia" w:ascii="宋体" w:hAnsi="宋体" w:eastAsia="宋体" w:cs="宋体"/>
          <w:spacing w:val="-4"/>
          <w:sz w:val="24"/>
          <w:szCs w:val="24"/>
        </w:rPr>
        <w:t>）</w:t>
      </w:r>
      <w:r>
        <w:rPr>
          <w:rFonts w:hint="eastAsia" w:ascii="宋体" w:hAnsi="宋体" w:eastAsia="宋体" w:cs="宋体"/>
          <w:spacing w:val="-1"/>
          <w:sz w:val="24"/>
          <w:szCs w:val="24"/>
        </w:rPr>
        <w:t>遵循最新国家电梯维修保养的相关标准执行</w:t>
      </w:r>
    </w:p>
    <w:p w14:paraId="4F923A6C">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如国家标准有变动，遵照最新标准执行。</w:t>
      </w:r>
    </w:p>
    <w:p w14:paraId="35F18E53">
      <w:pPr>
        <w:pStyle w:val="8"/>
        <w:keepNext w:val="0"/>
        <w:keepLines w:val="0"/>
        <w:pageBreakBefore w:val="0"/>
        <w:widowControl w:val="0"/>
        <w:kinsoku/>
        <w:wordWrap/>
        <w:overflowPunct/>
        <w:topLinePunct/>
        <w:autoSpaceDE/>
        <w:autoSpaceDN/>
        <w:bidi w:val="0"/>
        <w:adjustRightInd/>
        <w:snapToGrid/>
        <w:spacing w:line="440" w:lineRule="exact"/>
        <w:ind w:left="0" w:right="0" w:firstLine="0"/>
        <w:textAlignment w:val="auto"/>
        <w:outlineLvl w:val="1"/>
        <w:rPr>
          <w:rFonts w:hint="eastAsia" w:ascii="宋体" w:hAnsi="宋体" w:eastAsia="宋体" w:cs="宋体"/>
          <w:sz w:val="24"/>
          <w:szCs w:val="24"/>
        </w:rPr>
      </w:pPr>
      <w:r>
        <w:rPr>
          <w:rFonts w:hint="eastAsia" w:ascii="宋体" w:hAnsi="宋体" w:eastAsia="宋体" w:cs="宋体"/>
          <w:b/>
          <w:bCs/>
          <w:spacing w:val="-5"/>
          <w:sz w:val="24"/>
          <w:szCs w:val="24"/>
        </w:rPr>
        <w:t>三、维保要求</w:t>
      </w:r>
    </w:p>
    <w:p w14:paraId="75738305">
      <w:pPr>
        <w:pStyle w:val="8"/>
        <w:keepNext w:val="0"/>
        <w:keepLines w:val="0"/>
        <w:pageBreakBefore w:val="0"/>
        <w:widowControl w:val="0"/>
        <w:kinsoku/>
        <w:wordWrap/>
        <w:overflowPunct/>
        <w:topLinePunct/>
        <w:autoSpaceDE/>
        <w:autoSpaceDN/>
        <w:bidi w:val="0"/>
        <w:adjustRightInd/>
        <w:snapToGrid/>
        <w:spacing w:line="440" w:lineRule="exact"/>
        <w:ind w:left="0" w:right="0" w:firstLine="468" w:firstLineChars="20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（1）维修保养内容和标准必须符合《安全生产法》、《特种设备安全法》、《安徽省电梯安</w:t>
      </w:r>
      <w:r>
        <w:rPr>
          <w:rFonts w:hint="eastAsia" w:ascii="宋体" w:hAnsi="宋体" w:eastAsia="宋体" w:cs="宋体"/>
          <w:spacing w:val="-1"/>
          <w:sz w:val="24"/>
          <w:szCs w:val="24"/>
        </w:rPr>
        <w:t>全监督管理办法》等有关规定、标准；</w:t>
      </w:r>
    </w:p>
    <w:p w14:paraId="77EC09C5">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（2）电梯的维修保养项目不应少于电梯质检部门要求的电梯日常维护保养项目，完成半月、季、半年、年度保养；</w:t>
      </w:r>
    </w:p>
    <w:p w14:paraId="472C53B3">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（3）保证所用维修件均为全新原厂配件；</w:t>
      </w:r>
    </w:p>
    <w:p w14:paraId="5662B8DA">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（4）配合完成大型活动的现场保障工作，配合完成主管部门要求的应急演练等工作；</w:t>
      </w:r>
    </w:p>
    <w:p w14:paraId="3590AF00">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（5）按规定提供巡视养护记录，提交维修保养报告；</w:t>
      </w:r>
    </w:p>
    <w:p w14:paraId="57AE9A5A">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（6）电梯维修的电气作业部分，应遵守电气安全工作</w:t>
      </w:r>
      <w:r>
        <w:rPr>
          <w:rFonts w:hint="eastAsia" w:ascii="宋体" w:hAnsi="宋体" w:eastAsia="宋体" w:cs="宋体"/>
          <w:spacing w:val="-2"/>
          <w:sz w:val="24"/>
          <w:szCs w:val="24"/>
        </w:rPr>
        <w:t>规程等；</w:t>
      </w:r>
    </w:p>
    <w:p w14:paraId="7C3F9BDA">
      <w:pPr>
        <w:pStyle w:val="8"/>
        <w:keepNext w:val="0"/>
        <w:keepLines w:val="0"/>
        <w:pageBreakBefore w:val="0"/>
        <w:widowControl w:val="0"/>
        <w:kinsoku/>
        <w:wordWrap/>
        <w:overflowPunct/>
        <w:topLinePunct/>
        <w:autoSpaceDE/>
        <w:autoSpaceDN/>
        <w:bidi w:val="0"/>
        <w:adjustRightInd/>
        <w:snapToGrid/>
        <w:spacing w:line="440" w:lineRule="exact"/>
        <w:ind w:left="0" w:right="0"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（7）应当配合特种设备监督检验机构对电梯的定期检验，必须保证电梯年检通过合格，若年</w:t>
      </w:r>
      <w:r>
        <w:rPr>
          <w:rFonts w:hint="eastAsia" w:ascii="宋体" w:hAnsi="宋体" w:eastAsia="宋体" w:cs="宋体"/>
          <w:spacing w:val="10"/>
          <w:sz w:val="24"/>
          <w:szCs w:val="24"/>
        </w:rPr>
        <w:t xml:space="preserve"> </w:t>
      </w:r>
      <w:r>
        <w:rPr>
          <w:rFonts w:hint="eastAsia" w:ascii="宋体" w:hAnsi="宋体" w:eastAsia="宋体" w:cs="宋体"/>
          <w:spacing w:val="1"/>
          <w:sz w:val="24"/>
          <w:szCs w:val="24"/>
        </w:rPr>
        <w:t>检不通过，中标人将无条件退还业主方已支付的所有维保款，并承担</w:t>
      </w:r>
      <w:r>
        <w:rPr>
          <w:rFonts w:hint="eastAsia" w:ascii="宋体" w:hAnsi="宋体" w:eastAsia="宋体" w:cs="宋体"/>
          <w:sz w:val="24"/>
          <w:szCs w:val="24"/>
        </w:rPr>
        <w:t>就此产生的一切费用及</w:t>
      </w:r>
      <w:r>
        <w:rPr>
          <w:rFonts w:hint="eastAsia" w:ascii="宋体" w:hAnsi="宋体" w:eastAsia="宋体" w:cs="宋体"/>
          <w:spacing w:val="-3"/>
          <w:sz w:val="24"/>
          <w:szCs w:val="24"/>
        </w:rPr>
        <w:t>责任；</w:t>
      </w:r>
    </w:p>
    <w:p w14:paraId="0CFDBA02">
      <w:pPr>
        <w:pStyle w:val="8"/>
        <w:keepNext w:val="0"/>
        <w:keepLines w:val="0"/>
        <w:pageBreakBefore w:val="0"/>
        <w:widowControl w:val="0"/>
        <w:kinsoku/>
        <w:wordWrap/>
        <w:overflowPunct/>
        <w:topLinePunct/>
        <w:autoSpaceDE/>
        <w:autoSpaceDN/>
        <w:bidi w:val="0"/>
        <w:adjustRightInd/>
        <w:snapToGrid/>
        <w:spacing w:line="440" w:lineRule="exact"/>
        <w:ind w:left="0" w:right="0"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（8）每季度提交电梯故障率分析报告及维修保养报告；每季度对于电梯备件更换进行统计及</w:t>
      </w:r>
      <w:r>
        <w:rPr>
          <w:rFonts w:hint="eastAsia" w:ascii="宋体" w:hAnsi="宋体" w:eastAsia="宋体" w:cs="宋体"/>
          <w:spacing w:val="10"/>
          <w:sz w:val="24"/>
          <w:szCs w:val="24"/>
        </w:rPr>
        <w:t xml:space="preserve"> </w:t>
      </w:r>
      <w:r>
        <w:rPr>
          <w:rFonts w:hint="eastAsia" w:ascii="宋体" w:hAnsi="宋体" w:eastAsia="宋体" w:cs="宋体"/>
          <w:spacing w:val="-2"/>
          <w:sz w:val="24"/>
          <w:szCs w:val="24"/>
        </w:rPr>
        <w:t>分析原因，并提交具体分析报告；</w:t>
      </w:r>
    </w:p>
    <w:p w14:paraId="06E2D318">
      <w:pPr>
        <w:pStyle w:val="8"/>
        <w:keepNext w:val="0"/>
        <w:keepLines w:val="0"/>
        <w:pageBreakBefore w:val="0"/>
        <w:widowControl w:val="0"/>
        <w:kinsoku/>
        <w:wordWrap/>
        <w:overflowPunct/>
        <w:topLinePunct/>
        <w:autoSpaceDE/>
        <w:autoSpaceDN/>
        <w:bidi w:val="0"/>
        <w:adjustRightInd/>
        <w:snapToGrid/>
        <w:spacing w:line="440" w:lineRule="exact"/>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（9）须提供</w:t>
      </w:r>
      <w:r>
        <w:rPr>
          <w:rFonts w:hint="eastAsia" w:ascii="宋体" w:hAnsi="宋体" w:eastAsia="宋体" w:cs="宋体"/>
          <w:spacing w:val="-50"/>
          <w:sz w:val="24"/>
          <w:szCs w:val="24"/>
        </w:rPr>
        <w:t xml:space="preserve"> </w:t>
      </w:r>
      <w:r>
        <w:rPr>
          <w:rFonts w:hint="eastAsia" w:ascii="宋体" w:hAnsi="宋体" w:eastAsia="宋体" w:cs="宋体"/>
          <w:sz w:val="24"/>
          <w:szCs w:val="24"/>
        </w:rPr>
        <w:t>24</w:t>
      </w:r>
      <w:r>
        <w:rPr>
          <w:rFonts w:hint="eastAsia" w:ascii="宋体" w:hAnsi="宋体" w:eastAsia="宋体" w:cs="宋体"/>
          <w:spacing w:val="-41"/>
          <w:sz w:val="24"/>
          <w:szCs w:val="24"/>
        </w:rPr>
        <w:t xml:space="preserve"> </w:t>
      </w:r>
      <w:r>
        <w:rPr>
          <w:rFonts w:hint="eastAsia" w:ascii="宋体" w:hAnsi="宋体" w:eastAsia="宋体" w:cs="宋体"/>
          <w:sz w:val="24"/>
          <w:szCs w:val="24"/>
        </w:rPr>
        <w:t>小时的应急响应服务，提</w:t>
      </w:r>
      <w:r>
        <w:rPr>
          <w:rFonts w:hint="eastAsia" w:ascii="宋体" w:hAnsi="宋体" w:eastAsia="宋体" w:cs="宋体"/>
          <w:spacing w:val="-1"/>
          <w:sz w:val="24"/>
          <w:szCs w:val="24"/>
        </w:rPr>
        <w:t>供固定维保人员（维保人员驻地距定远县总医院不</w:t>
      </w:r>
      <w:r>
        <w:rPr>
          <w:rFonts w:hint="eastAsia" w:ascii="宋体" w:hAnsi="宋体" w:eastAsia="宋体" w:cs="宋体"/>
          <w:sz w:val="24"/>
          <w:szCs w:val="24"/>
        </w:rPr>
        <w:t xml:space="preserve"> </w:t>
      </w:r>
      <w:r>
        <w:rPr>
          <w:rFonts w:hint="eastAsia" w:ascii="宋体" w:hAnsi="宋体" w:eastAsia="宋体" w:cs="宋体"/>
          <w:spacing w:val="-1"/>
          <w:sz w:val="24"/>
          <w:szCs w:val="24"/>
        </w:rPr>
        <w:t>得超过</w:t>
      </w:r>
      <w:r>
        <w:rPr>
          <w:rFonts w:hint="eastAsia" w:ascii="宋体" w:hAnsi="宋体" w:eastAsia="宋体" w:cs="宋体"/>
          <w:spacing w:val="-53"/>
          <w:sz w:val="24"/>
          <w:szCs w:val="24"/>
        </w:rPr>
        <w:t xml:space="preserve"> </w:t>
      </w:r>
      <w:r>
        <w:rPr>
          <w:rFonts w:hint="eastAsia" w:ascii="宋体" w:hAnsi="宋体" w:eastAsia="宋体" w:cs="宋体"/>
          <w:spacing w:val="-1"/>
          <w:sz w:val="24"/>
          <w:szCs w:val="24"/>
        </w:rPr>
        <w:t>2KM）且能在接到故障或事故报警后</w:t>
      </w:r>
      <w:r>
        <w:rPr>
          <w:rFonts w:hint="eastAsia" w:ascii="宋体" w:hAnsi="宋体" w:eastAsia="宋体" w:cs="宋体"/>
          <w:spacing w:val="-53"/>
          <w:sz w:val="24"/>
          <w:szCs w:val="24"/>
        </w:rPr>
        <w:t xml:space="preserve"> </w:t>
      </w:r>
      <w:r>
        <w:rPr>
          <w:rFonts w:hint="eastAsia" w:ascii="宋体" w:hAnsi="宋体" w:eastAsia="宋体" w:cs="宋体"/>
          <w:spacing w:val="-1"/>
          <w:sz w:val="24"/>
          <w:szCs w:val="24"/>
        </w:rPr>
        <w:t>2</w:t>
      </w:r>
      <w:r>
        <w:rPr>
          <w:rFonts w:hint="eastAsia" w:ascii="宋体" w:hAnsi="宋体" w:eastAsia="宋体" w:cs="宋体"/>
          <w:spacing w:val="-2"/>
          <w:sz w:val="24"/>
          <w:szCs w:val="24"/>
        </w:rPr>
        <w:t>0</w:t>
      </w:r>
      <w:r>
        <w:rPr>
          <w:rFonts w:hint="eastAsia" w:ascii="宋体" w:hAnsi="宋体" w:eastAsia="宋体" w:cs="宋体"/>
          <w:spacing w:val="-44"/>
          <w:sz w:val="24"/>
          <w:szCs w:val="24"/>
        </w:rPr>
        <w:t xml:space="preserve"> </w:t>
      </w:r>
      <w:r>
        <w:rPr>
          <w:rFonts w:hint="eastAsia" w:ascii="宋体" w:hAnsi="宋体" w:eastAsia="宋体" w:cs="宋体"/>
          <w:spacing w:val="-2"/>
          <w:sz w:val="24"/>
          <w:szCs w:val="24"/>
        </w:rPr>
        <w:t>分钟内到达现场，并能提供正常连续的服务直</w:t>
      </w:r>
      <w:r>
        <w:rPr>
          <w:rFonts w:hint="eastAsia" w:ascii="宋体" w:hAnsi="宋体" w:eastAsia="宋体" w:cs="宋体"/>
          <w:sz w:val="24"/>
          <w:szCs w:val="24"/>
        </w:rPr>
        <w:t xml:space="preserve"> </w:t>
      </w:r>
      <w:r>
        <w:rPr>
          <w:rFonts w:hint="eastAsia" w:ascii="宋体" w:hAnsi="宋体" w:eastAsia="宋体" w:cs="宋体"/>
          <w:spacing w:val="1"/>
          <w:sz w:val="24"/>
          <w:szCs w:val="24"/>
        </w:rPr>
        <w:t>至故障或事故排除。对电梯困人事故要求在到达现场后根据</w:t>
      </w:r>
      <w:r>
        <w:rPr>
          <w:rFonts w:hint="eastAsia" w:ascii="宋体" w:hAnsi="宋体" w:eastAsia="宋体" w:cs="宋体"/>
          <w:sz w:val="24"/>
          <w:szCs w:val="24"/>
        </w:rPr>
        <w:t xml:space="preserve">现场实际情况尽快把乘客从轿厢 </w:t>
      </w:r>
      <w:r>
        <w:rPr>
          <w:rFonts w:hint="eastAsia" w:ascii="宋体" w:hAnsi="宋体" w:eastAsia="宋体" w:cs="宋体"/>
          <w:spacing w:val="-3"/>
          <w:sz w:val="24"/>
          <w:szCs w:val="24"/>
        </w:rPr>
        <w:t>中救出；</w:t>
      </w:r>
    </w:p>
    <w:p w14:paraId="67CD17A0">
      <w:pPr>
        <w:pStyle w:val="8"/>
        <w:keepNext w:val="0"/>
        <w:keepLines w:val="0"/>
        <w:pageBreakBefore w:val="0"/>
        <w:widowControl w:val="0"/>
        <w:kinsoku/>
        <w:wordWrap/>
        <w:overflowPunct/>
        <w:topLinePunct/>
        <w:autoSpaceDE/>
        <w:autoSpaceDN/>
        <w:bidi w:val="0"/>
        <w:adjustRightInd/>
        <w:snapToGrid/>
        <w:spacing w:line="440" w:lineRule="exact"/>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（10）中标单位在电梯日常维护保养中，要严格执行国家安全技术规范要求，保证维保电梯</w:t>
      </w:r>
      <w:r>
        <w:rPr>
          <w:rFonts w:hint="eastAsia" w:ascii="宋体" w:hAnsi="宋体" w:eastAsia="宋体" w:cs="宋体"/>
          <w:spacing w:val="7"/>
          <w:sz w:val="24"/>
          <w:szCs w:val="24"/>
        </w:rPr>
        <w:t xml:space="preserve"> </w:t>
      </w:r>
      <w:r>
        <w:rPr>
          <w:rFonts w:hint="eastAsia" w:ascii="宋体" w:hAnsi="宋体" w:eastAsia="宋体" w:cs="宋体"/>
          <w:spacing w:val="-1"/>
          <w:sz w:val="24"/>
          <w:szCs w:val="24"/>
        </w:rPr>
        <w:t>的安全技术性能，并负责现场安全防护措施，保证施工安全；</w:t>
      </w:r>
    </w:p>
    <w:p w14:paraId="2AD8C552">
      <w:pPr>
        <w:pStyle w:val="8"/>
        <w:keepNext w:val="0"/>
        <w:keepLines w:val="0"/>
        <w:pageBreakBefore w:val="0"/>
        <w:widowControl w:val="0"/>
        <w:kinsoku/>
        <w:wordWrap/>
        <w:overflowPunct/>
        <w:topLinePunct/>
        <w:autoSpaceDE/>
        <w:autoSpaceDN/>
        <w:bidi w:val="0"/>
        <w:adjustRightInd/>
        <w:snapToGrid/>
        <w:spacing w:line="440" w:lineRule="exact"/>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（11）在合同期间，中标单位每月按不低于特种设备安全法相关规定要求进行定期维保，对</w:t>
      </w:r>
      <w:r>
        <w:rPr>
          <w:rFonts w:hint="eastAsia" w:ascii="宋体" w:hAnsi="宋体" w:eastAsia="宋体" w:cs="宋体"/>
          <w:spacing w:val="7"/>
          <w:sz w:val="24"/>
          <w:szCs w:val="24"/>
        </w:rPr>
        <w:t xml:space="preserve"> </w:t>
      </w:r>
      <w:r>
        <w:rPr>
          <w:rFonts w:hint="eastAsia" w:ascii="宋体" w:hAnsi="宋体" w:eastAsia="宋体" w:cs="宋体"/>
          <w:spacing w:val="1"/>
          <w:sz w:val="24"/>
          <w:szCs w:val="24"/>
        </w:rPr>
        <w:t>全部电梯进行清洁润滑调整和检查，做好全面保养记录并</w:t>
      </w:r>
      <w:r>
        <w:rPr>
          <w:rFonts w:hint="eastAsia" w:ascii="宋体" w:hAnsi="宋体" w:eastAsia="宋体" w:cs="宋体"/>
          <w:sz w:val="24"/>
          <w:szCs w:val="24"/>
        </w:rPr>
        <w:t>通报业主验签，保证电梯正常平稳</w:t>
      </w:r>
      <w:r>
        <w:rPr>
          <w:rFonts w:hint="eastAsia" w:ascii="宋体" w:hAnsi="宋体" w:eastAsia="宋体" w:cs="宋体"/>
          <w:spacing w:val="-4"/>
          <w:sz w:val="24"/>
          <w:szCs w:val="24"/>
        </w:rPr>
        <w:t>运行；</w:t>
      </w:r>
    </w:p>
    <w:p w14:paraId="35DF429A">
      <w:pPr>
        <w:pStyle w:val="8"/>
        <w:keepNext w:val="0"/>
        <w:keepLines w:val="0"/>
        <w:pageBreakBefore w:val="0"/>
        <w:widowControl w:val="0"/>
        <w:kinsoku/>
        <w:wordWrap/>
        <w:overflowPunct/>
        <w:topLinePunct/>
        <w:autoSpaceDE/>
        <w:autoSpaceDN/>
        <w:bidi w:val="0"/>
        <w:adjustRightInd/>
        <w:snapToGrid/>
        <w:spacing w:line="440" w:lineRule="exact"/>
        <w:ind w:left="0" w:right="0"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（12）在合同期间，中标单位将免费维修或更换电梯相关部件</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不包含主机、曳引机、门机系</w:t>
      </w:r>
      <w:r>
        <w:rPr>
          <w:rFonts w:hint="eastAsia" w:ascii="宋体" w:hAnsi="宋体" w:eastAsia="宋体" w:cs="宋体"/>
          <w:spacing w:val="-2"/>
          <w:sz w:val="24"/>
          <w:szCs w:val="24"/>
        </w:rPr>
        <w:t>统</w:t>
      </w:r>
      <w:r>
        <w:rPr>
          <w:rFonts w:hint="eastAsia" w:ascii="宋体" w:hAnsi="宋体" w:eastAsia="宋体" w:cs="宋体"/>
          <w:spacing w:val="5"/>
          <w:sz w:val="24"/>
          <w:szCs w:val="24"/>
        </w:rPr>
        <w:t>），</w:t>
      </w:r>
      <w:r>
        <w:rPr>
          <w:rFonts w:hint="eastAsia" w:ascii="宋体" w:hAnsi="宋体" w:eastAsia="宋体" w:cs="宋体"/>
          <w:spacing w:val="-2"/>
          <w:sz w:val="24"/>
          <w:szCs w:val="24"/>
        </w:rPr>
        <w:t>保证电梯正常运行。</w:t>
      </w:r>
    </w:p>
    <w:p w14:paraId="573E5F22">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四、在电梯年检之际，中标单位应为业主办好相关年检手续，并主动到相关部门申报年检。</w:t>
      </w:r>
    </w:p>
    <w:p w14:paraId="455372C5">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五、合同期满，乙方应保证甲方的电梯处于正常运行状态。</w:t>
      </w:r>
    </w:p>
    <w:p w14:paraId="38CCD4E1">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六、合同期间内提供驻场维保服务。</w:t>
      </w:r>
    </w:p>
    <w:p w14:paraId="6A68485C">
      <w:pPr>
        <w:pStyle w:val="8"/>
        <w:keepNext w:val="0"/>
        <w:keepLines w:val="0"/>
        <w:pageBreakBefore w:val="0"/>
        <w:widowControl w:val="0"/>
        <w:kinsoku/>
        <w:wordWrap/>
        <w:overflowPunct/>
        <w:topLinePunct/>
        <w:autoSpaceDE/>
        <w:autoSpaceDN/>
        <w:bidi w:val="0"/>
        <w:adjustRightInd/>
        <w:snapToGrid/>
        <w:spacing w:line="440" w:lineRule="exact"/>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七、在合同期间内提供电梯“125</w:t>
      </w:r>
      <w:r>
        <w:rPr>
          <w:rFonts w:hint="eastAsia" w:ascii="宋体" w:hAnsi="宋体" w:eastAsia="宋体" w:cs="宋体"/>
          <w:spacing w:val="-44"/>
          <w:sz w:val="24"/>
          <w:szCs w:val="24"/>
        </w:rPr>
        <w:t xml:space="preserve"> </w:t>
      </w:r>
      <w:r>
        <w:rPr>
          <w:rFonts w:hint="eastAsia" w:ascii="宋体" w:hAnsi="宋体" w:eastAsia="宋体" w:cs="宋体"/>
          <w:spacing w:val="-2"/>
          <w:sz w:val="24"/>
          <w:szCs w:val="24"/>
        </w:rPr>
        <w:t>实验”</w:t>
      </w:r>
      <w:r>
        <w:rPr>
          <w:rFonts w:hint="eastAsia" w:ascii="宋体" w:hAnsi="宋体" w:eastAsia="宋体" w:cs="宋体"/>
          <w:spacing w:val="-86"/>
          <w:sz w:val="24"/>
          <w:szCs w:val="24"/>
        </w:rPr>
        <w:t xml:space="preserve"> </w:t>
      </w:r>
      <w:r>
        <w:rPr>
          <w:rFonts w:hint="eastAsia" w:ascii="宋体" w:hAnsi="宋体" w:eastAsia="宋体" w:cs="宋体"/>
          <w:spacing w:val="-2"/>
          <w:sz w:val="24"/>
          <w:szCs w:val="24"/>
        </w:rPr>
        <w:t>、“平</w:t>
      </w:r>
      <w:r>
        <w:rPr>
          <w:rFonts w:hint="eastAsia" w:ascii="宋体" w:hAnsi="宋体" w:eastAsia="宋体" w:cs="宋体"/>
          <w:spacing w:val="-3"/>
          <w:sz w:val="24"/>
          <w:szCs w:val="24"/>
        </w:rPr>
        <w:t>衡系数检验”</w:t>
      </w:r>
      <w:r>
        <w:rPr>
          <w:rFonts w:hint="eastAsia" w:ascii="宋体" w:hAnsi="宋体" w:eastAsia="宋体" w:cs="宋体"/>
          <w:spacing w:val="-85"/>
          <w:sz w:val="24"/>
          <w:szCs w:val="24"/>
        </w:rPr>
        <w:t xml:space="preserve"> </w:t>
      </w:r>
      <w:r>
        <w:rPr>
          <w:rFonts w:hint="eastAsia" w:ascii="宋体" w:hAnsi="宋体" w:eastAsia="宋体" w:cs="宋体"/>
          <w:spacing w:val="-3"/>
          <w:sz w:val="24"/>
          <w:szCs w:val="24"/>
        </w:rPr>
        <w:t>、“限速器检验”服务。</w:t>
      </w:r>
    </w:p>
    <w:p w14:paraId="69944C39">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八、合同期间内为服务项目内电梯购买电梯责任险。</w:t>
      </w:r>
    </w:p>
    <w:p w14:paraId="5D65ED31">
      <w:pPr>
        <w:keepNext w:val="0"/>
        <w:keepLines w:val="0"/>
        <w:pageBreakBefore w:val="0"/>
        <w:widowControl w:val="0"/>
        <w:kinsoku/>
        <w:wordWrap/>
        <w:overflowPunct/>
        <w:autoSpaceDE/>
        <w:autoSpaceDN/>
        <w:bidi w:val="0"/>
        <w:adjustRightInd/>
        <w:snapToGrid/>
        <w:spacing w:line="440" w:lineRule="exact"/>
        <w:textAlignment w:val="auto"/>
        <w:outlineLvl w:val="1"/>
        <w:rPr>
          <w:rFonts w:hint="eastAsia" w:ascii="宋体" w:hAnsi="宋体" w:eastAsia="宋体" w:cs="宋体"/>
          <w:b/>
          <w:color w:val="auto"/>
          <w:sz w:val="24"/>
          <w:szCs w:val="18"/>
          <w:highlight w:val="none"/>
        </w:rPr>
      </w:pPr>
      <w:r>
        <w:rPr>
          <w:rFonts w:hint="eastAsia" w:ascii="宋体" w:hAnsi="宋体" w:eastAsia="宋体" w:cs="宋体"/>
          <w:b/>
          <w:color w:val="auto"/>
          <w:sz w:val="24"/>
          <w:szCs w:val="18"/>
          <w:highlight w:val="none"/>
        </w:rPr>
        <w:t>四、报价要求</w:t>
      </w:r>
      <w:bookmarkEnd w:id="62"/>
      <w:bookmarkEnd w:id="63"/>
    </w:p>
    <w:p w14:paraId="50DBF823">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pacing w:val="-1"/>
          <w:sz w:val="24"/>
          <w:szCs w:val="24"/>
        </w:rPr>
      </w:pPr>
      <w:bookmarkStart w:id="64" w:name="_Toc23590"/>
      <w:bookmarkStart w:id="65" w:name="_Toc3530"/>
      <w:r>
        <w:rPr>
          <w:rFonts w:hint="eastAsia" w:ascii="宋体" w:hAnsi="宋体" w:eastAsia="宋体" w:cs="宋体"/>
          <w:spacing w:val="-1"/>
          <w:sz w:val="24"/>
          <w:szCs w:val="24"/>
        </w:rPr>
        <w:t>1）投标人应根据国家的有关规定并结合企业的实际情况进行投标报价。投标报价是完成本招标文件规定的所有招标内容和要求的总费用，包括维保服务需要的人员酬金、电梯每年检测、</w:t>
      </w:r>
      <w:r>
        <w:rPr>
          <w:rFonts w:hint="eastAsia" w:ascii="宋体" w:hAnsi="宋体" w:eastAsia="宋体" w:cs="宋体"/>
          <w:spacing w:val="-1"/>
          <w:sz w:val="24"/>
          <w:szCs w:val="24"/>
          <w:lang w:val="en-US" w:eastAsia="zh-CN"/>
        </w:rPr>
        <w:t>电梯维保</w:t>
      </w:r>
      <w:r>
        <w:rPr>
          <w:rFonts w:hint="eastAsia" w:ascii="宋体" w:hAnsi="宋体" w:eastAsia="宋体" w:cs="宋体"/>
          <w:spacing w:val="-1"/>
          <w:sz w:val="24"/>
          <w:szCs w:val="24"/>
        </w:rPr>
        <w:t>、工具材料费、管理费、保险、利润、税金、政策性文件规定及合同包含的所有风险、责任等一切费用。如有漏项，视同已包含在其总项目中。</w:t>
      </w:r>
    </w:p>
    <w:p w14:paraId="5D418295">
      <w:pPr>
        <w:pStyle w:val="8"/>
        <w:keepNext w:val="0"/>
        <w:keepLines w:val="0"/>
        <w:pageBreakBefore w:val="0"/>
        <w:widowControl w:val="0"/>
        <w:kinsoku/>
        <w:wordWrap/>
        <w:overflowPunct/>
        <w:topLinePunct/>
        <w:autoSpaceDE/>
        <w:autoSpaceDN/>
        <w:bidi w:val="0"/>
        <w:adjustRightInd/>
        <w:snapToGrid/>
        <w:spacing w:line="440" w:lineRule="exact"/>
        <w:ind w:left="0" w:right="0" w:firstLine="476" w:firstLineChars="200"/>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（2）投标报价为投标方所能承受的最终报价，以人民币为结算货币，除采购人需求变更外，不得以任何理由予以变更，并不因劳务、材料、设备、机械等成本的价格变动而作任何调整。</w:t>
      </w:r>
    </w:p>
    <w:p w14:paraId="47E0D0E9">
      <w:pPr>
        <w:spacing w:line="360" w:lineRule="auto"/>
        <w:ind w:firstLine="437"/>
        <w:outlineLvl w:val="1"/>
        <w:rPr>
          <w:rFonts w:hint="eastAsia" w:ascii="宋体" w:hAnsi="宋体" w:eastAsia="宋体"/>
          <w:b/>
          <w:color w:val="auto"/>
          <w:sz w:val="24"/>
          <w:szCs w:val="18"/>
          <w:highlight w:val="none"/>
        </w:rPr>
      </w:pPr>
    </w:p>
    <w:p w14:paraId="360945F4">
      <w:pPr>
        <w:spacing w:line="360" w:lineRule="auto"/>
        <w:ind w:firstLine="437"/>
        <w:outlineLvl w:val="1"/>
        <w:rPr>
          <w:rFonts w:hint="eastAsia" w:ascii="宋体" w:hAnsi="宋体" w:eastAsia="宋体"/>
          <w:b/>
          <w:color w:val="auto"/>
          <w:sz w:val="24"/>
          <w:szCs w:val="18"/>
          <w:highlight w:val="none"/>
        </w:rPr>
      </w:pPr>
    </w:p>
    <w:p w14:paraId="73DB3A38">
      <w:pPr>
        <w:spacing w:line="360" w:lineRule="auto"/>
        <w:ind w:firstLine="437"/>
        <w:outlineLvl w:val="1"/>
        <w:rPr>
          <w:rFonts w:hint="eastAsia" w:ascii="宋体" w:hAnsi="宋体" w:eastAsia="宋体"/>
          <w:b/>
          <w:color w:val="auto"/>
          <w:sz w:val="24"/>
          <w:szCs w:val="18"/>
          <w:highlight w:val="none"/>
        </w:rPr>
      </w:pPr>
    </w:p>
    <w:p w14:paraId="54B37D05">
      <w:pPr>
        <w:spacing w:line="360" w:lineRule="auto"/>
        <w:ind w:firstLine="437"/>
        <w:outlineLvl w:val="1"/>
        <w:rPr>
          <w:rFonts w:hint="eastAsia" w:ascii="宋体" w:hAnsi="宋体" w:eastAsia="宋体"/>
          <w:b/>
          <w:color w:val="auto"/>
          <w:sz w:val="24"/>
          <w:szCs w:val="18"/>
          <w:highlight w:val="none"/>
        </w:rPr>
      </w:pPr>
    </w:p>
    <w:bookmarkEnd w:id="57"/>
    <w:bookmarkEnd w:id="64"/>
    <w:bookmarkEnd w:id="65"/>
    <w:p w14:paraId="4EE77B63">
      <w:pPr>
        <w:spacing w:line="360" w:lineRule="auto"/>
        <w:jc w:val="center"/>
        <w:outlineLvl w:val="0"/>
        <w:rPr>
          <w:rFonts w:hint="eastAsia" w:asciiTheme="minorEastAsia" w:hAnsiTheme="minorEastAsia" w:eastAsiaTheme="minorEastAsia"/>
          <w:b/>
          <w:color w:val="auto"/>
          <w:sz w:val="28"/>
          <w:highlight w:val="none"/>
        </w:rPr>
      </w:pPr>
      <w:bookmarkStart w:id="66" w:name="_Toc8668"/>
    </w:p>
    <w:p w14:paraId="0B7E2D48">
      <w:pPr>
        <w:spacing w:line="360" w:lineRule="auto"/>
        <w:jc w:val="center"/>
        <w:outlineLvl w:val="0"/>
        <w:rPr>
          <w:rFonts w:hint="eastAsia" w:asciiTheme="minorEastAsia" w:hAnsiTheme="minorEastAsia" w:eastAsiaTheme="minorEastAsia"/>
          <w:b/>
          <w:color w:val="auto"/>
          <w:sz w:val="28"/>
          <w:highlight w:val="none"/>
        </w:rPr>
      </w:pPr>
    </w:p>
    <w:p w14:paraId="10F44390">
      <w:pPr>
        <w:spacing w:line="360" w:lineRule="auto"/>
        <w:jc w:val="center"/>
        <w:outlineLvl w:val="0"/>
        <w:rPr>
          <w:rFonts w:hint="eastAsia" w:asciiTheme="minorEastAsia" w:hAnsiTheme="minorEastAsia" w:eastAsiaTheme="minorEastAsia"/>
          <w:b/>
          <w:color w:val="auto"/>
          <w:sz w:val="28"/>
          <w:highlight w:val="none"/>
        </w:rPr>
      </w:pPr>
    </w:p>
    <w:p w14:paraId="7FA30FDB">
      <w:pPr>
        <w:spacing w:line="360" w:lineRule="auto"/>
        <w:jc w:val="center"/>
        <w:outlineLvl w:val="0"/>
        <w:rPr>
          <w:rFonts w:hint="eastAsia" w:asciiTheme="minorEastAsia" w:hAnsiTheme="minorEastAsia" w:eastAsiaTheme="minorEastAsia"/>
          <w:b/>
          <w:color w:val="auto"/>
          <w:sz w:val="28"/>
          <w:highlight w:val="none"/>
        </w:rPr>
      </w:pPr>
    </w:p>
    <w:p w14:paraId="497822F4">
      <w:pPr>
        <w:spacing w:line="360" w:lineRule="auto"/>
        <w:jc w:val="center"/>
        <w:outlineLvl w:val="0"/>
        <w:rPr>
          <w:rFonts w:hint="eastAsia" w:asciiTheme="minorEastAsia" w:hAnsiTheme="minorEastAsia" w:eastAsiaTheme="minorEastAsia"/>
          <w:b/>
          <w:color w:val="auto"/>
          <w:sz w:val="28"/>
          <w:highlight w:val="none"/>
        </w:rPr>
      </w:pPr>
    </w:p>
    <w:p w14:paraId="1425E8C2">
      <w:pPr>
        <w:spacing w:line="360" w:lineRule="auto"/>
        <w:jc w:val="center"/>
        <w:outlineLvl w:val="0"/>
        <w:rPr>
          <w:rFonts w:hint="eastAsia" w:asciiTheme="minorEastAsia" w:hAnsiTheme="minorEastAsia" w:eastAsiaTheme="minorEastAsia"/>
          <w:b/>
          <w:color w:val="auto"/>
          <w:sz w:val="28"/>
          <w:highlight w:val="none"/>
        </w:rPr>
      </w:pPr>
    </w:p>
    <w:p w14:paraId="31A9A855">
      <w:pPr>
        <w:spacing w:line="360" w:lineRule="auto"/>
        <w:jc w:val="center"/>
        <w:outlineLvl w:val="0"/>
        <w:rPr>
          <w:rFonts w:hint="eastAsia" w:asciiTheme="minorEastAsia" w:hAnsiTheme="minorEastAsia" w:eastAsiaTheme="minorEastAsia"/>
          <w:b/>
          <w:color w:val="auto"/>
          <w:sz w:val="28"/>
          <w:highlight w:val="none"/>
        </w:rPr>
      </w:pPr>
    </w:p>
    <w:p w14:paraId="76E511E5">
      <w:pPr>
        <w:spacing w:line="360" w:lineRule="auto"/>
        <w:jc w:val="center"/>
        <w:outlineLvl w:val="0"/>
        <w:rPr>
          <w:rFonts w:hint="eastAsia" w:asciiTheme="minorEastAsia" w:hAnsiTheme="minorEastAsia" w:eastAsiaTheme="minorEastAsia"/>
          <w:b/>
          <w:color w:val="auto"/>
          <w:sz w:val="28"/>
          <w:highlight w:val="none"/>
        </w:rPr>
      </w:pPr>
    </w:p>
    <w:p w14:paraId="7DF4C07A">
      <w:pPr>
        <w:spacing w:line="360" w:lineRule="auto"/>
        <w:jc w:val="center"/>
        <w:outlineLvl w:val="0"/>
        <w:rPr>
          <w:rFonts w:hint="eastAsia" w:asciiTheme="minorEastAsia" w:hAnsiTheme="minorEastAsia" w:eastAsiaTheme="minorEastAsia"/>
          <w:b/>
          <w:color w:val="auto"/>
          <w:sz w:val="28"/>
          <w:highlight w:val="none"/>
        </w:rPr>
      </w:pPr>
    </w:p>
    <w:p w14:paraId="28274EE7">
      <w:pPr>
        <w:spacing w:line="360" w:lineRule="auto"/>
        <w:jc w:val="center"/>
        <w:outlineLvl w:val="0"/>
        <w:rPr>
          <w:rFonts w:hint="eastAsia" w:asciiTheme="minorEastAsia" w:hAnsiTheme="minorEastAsia" w:eastAsiaTheme="minorEastAsia"/>
          <w:b/>
          <w:color w:val="auto"/>
          <w:sz w:val="28"/>
          <w:highlight w:val="none"/>
        </w:rPr>
      </w:pPr>
    </w:p>
    <w:p w14:paraId="594310A1">
      <w:pPr>
        <w:spacing w:line="360" w:lineRule="auto"/>
        <w:jc w:val="center"/>
        <w:outlineLvl w:val="0"/>
        <w:rPr>
          <w:rFonts w:hint="eastAsia" w:asciiTheme="minorEastAsia" w:hAnsiTheme="minorEastAsia" w:eastAsiaTheme="minorEastAsia"/>
          <w:b/>
          <w:color w:val="auto"/>
          <w:sz w:val="28"/>
          <w:highlight w:val="none"/>
        </w:rPr>
      </w:pPr>
    </w:p>
    <w:p w14:paraId="3517ECC3">
      <w:pPr>
        <w:spacing w:line="360" w:lineRule="auto"/>
        <w:jc w:val="center"/>
        <w:outlineLvl w:val="0"/>
        <w:rPr>
          <w:rFonts w:hint="eastAsia" w:asciiTheme="minorEastAsia" w:hAnsiTheme="minorEastAsia" w:eastAsiaTheme="minorEastAsia"/>
          <w:b/>
          <w:color w:val="auto"/>
          <w:sz w:val="28"/>
          <w:highlight w:val="none"/>
        </w:rPr>
      </w:pPr>
    </w:p>
    <w:p w14:paraId="5C5CB276">
      <w:pPr>
        <w:spacing w:line="360" w:lineRule="auto"/>
        <w:jc w:val="center"/>
        <w:outlineLvl w:val="0"/>
        <w:rPr>
          <w:rFonts w:hint="eastAsia" w:asciiTheme="minorEastAsia" w:hAnsiTheme="minorEastAsia" w:eastAsiaTheme="minorEastAsia"/>
          <w:b/>
          <w:color w:val="auto"/>
          <w:sz w:val="28"/>
          <w:highlight w:val="none"/>
        </w:rPr>
      </w:pPr>
    </w:p>
    <w:p w14:paraId="2FA3E04D">
      <w:pPr>
        <w:spacing w:line="360" w:lineRule="auto"/>
        <w:jc w:val="center"/>
        <w:outlineLvl w:val="0"/>
        <w:rPr>
          <w:rFonts w:hint="eastAsia" w:asciiTheme="minorEastAsia" w:hAnsiTheme="minorEastAsia" w:eastAsiaTheme="minorEastAsia"/>
          <w:b/>
          <w:color w:val="auto"/>
          <w:sz w:val="28"/>
          <w:highlight w:val="none"/>
        </w:rPr>
      </w:pPr>
    </w:p>
    <w:p w14:paraId="469F07F9">
      <w:pPr>
        <w:spacing w:line="360" w:lineRule="auto"/>
        <w:jc w:val="center"/>
        <w:outlineLvl w:val="0"/>
        <w:rPr>
          <w:rFonts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第四章  评审方法和标准</w:t>
      </w:r>
      <w:bookmarkEnd w:id="66"/>
    </w:p>
    <w:p w14:paraId="05C5EAE1">
      <w:pPr>
        <w:spacing w:line="360" w:lineRule="auto"/>
        <w:ind w:firstLine="437"/>
        <w:outlineLvl w:val="1"/>
        <w:rPr>
          <w:rFonts w:asciiTheme="minorEastAsia" w:hAnsiTheme="minorEastAsia" w:eastAsiaTheme="minorEastAsia"/>
          <w:b/>
          <w:color w:val="auto"/>
          <w:sz w:val="24"/>
          <w:highlight w:val="none"/>
        </w:rPr>
      </w:pPr>
      <w:bookmarkStart w:id="67" w:name="_Toc21211"/>
      <w:bookmarkStart w:id="68" w:name="_Toc12199"/>
      <w:r>
        <w:rPr>
          <w:rFonts w:hint="eastAsia" w:asciiTheme="minorEastAsia" w:hAnsiTheme="minorEastAsia" w:eastAsiaTheme="minorEastAsia"/>
          <w:b/>
          <w:color w:val="auto"/>
          <w:sz w:val="24"/>
          <w:highlight w:val="none"/>
        </w:rPr>
        <w:t>一、总则</w:t>
      </w:r>
      <w:bookmarkEnd w:id="67"/>
      <w:bookmarkEnd w:id="68"/>
    </w:p>
    <w:p w14:paraId="3DA2164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本项目将按照磋商文件第二章 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14:paraId="06811B29">
      <w:pPr>
        <w:spacing w:line="360" w:lineRule="auto"/>
        <w:ind w:firstLine="437"/>
        <w:outlineLvl w:val="1"/>
        <w:rPr>
          <w:rFonts w:asciiTheme="minorEastAsia" w:hAnsiTheme="minorEastAsia" w:eastAsiaTheme="minorEastAsia"/>
          <w:b/>
          <w:color w:val="auto"/>
          <w:sz w:val="24"/>
          <w:highlight w:val="none"/>
        </w:rPr>
      </w:pPr>
      <w:bookmarkStart w:id="69" w:name="_Toc13039"/>
      <w:bookmarkStart w:id="70" w:name="_Toc16885"/>
      <w:r>
        <w:rPr>
          <w:rFonts w:hint="eastAsia" w:asciiTheme="minorEastAsia" w:hAnsiTheme="minorEastAsia" w:eastAsiaTheme="minorEastAsia"/>
          <w:b/>
          <w:color w:val="auto"/>
          <w:sz w:val="24"/>
          <w:highlight w:val="none"/>
        </w:rPr>
        <w:t>二、评审方法</w:t>
      </w:r>
      <w:bookmarkEnd w:id="69"/>
      <w:bookmarkEnd w:id="70"/>
    </w:p>
    <w:p w14:paraId="76D30954">
      <w:pPr>
        <w:spacing w:line="360" w:lineRule="auto"/>
        <w:ind w:firstLine="435"/>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14:paraId="1B42379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磋商小组对供应商的响应文件进行初审，以确定其是否满足磋商文件的实质性要求。初审表如下：</w:t>
      </w:r>
    </w:p>
    <w:tbl>
      <w:tblPr>
        <w:tblStyle w:val="23"/>
        <w:tblW w:w="51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2003"/>
        <w:gridCol w:w="4202"/>
        <w:gridCol w:w="1910"/>
      </w:tblGrid>
      <w:tr w14:paraId="15F2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000" w:type="pct"/>
            <w:gridSpan w:val="4"/>
            <w:tcBorders>
              <w:bottom w:val="single" w:color="auto" w:sz="4" w:space="0"/>
            </w:tcBorders>
            <w:vAlign w:val="center"/>
          </w:tcPr>
          <w:p w14:paraId="1F22277A">
            <w:pPr>
              <w:adjustRightInd w:val="0"/>
              <w:snapToGrid w:val="0"/>
              <w:spacing w:line="360" w:lineRule="auto"/>
              <w:ind w:right="-10"/>
              <w:jc w:val="center"/>
              <w:rPr>
                <w:rFonts w:ascii="宋体" w:hAnsi="宋体" w:eastAsia="宋体"/>
                <w:color w:val="auto"/>
                <w:sz w:val="24"/>
                <w:highlight w:val="none"/>
              </w:rPr>
            </w:pPr>
            <w:r>
              <w:rPr>
                <w:rFonts w:hint="eastAsia" w:ascii="宋体" w:hAnsi="宋体" w:eastAsia="宋体"/>
                <w:b/>
                <w:color w:val="auto"/>
                <w:sz w:val="24"/>
                <w:szCs w:val="22"/>
                <w:highlight w:val="none"/>
                <w:lang w:val="en-US" w:eastAsia="zh-CN"/>
              </w:rPr>
              <w:t>初审</w:t>
            </w:r>
            <w:r>
              <w:rPr>
                <w:rFonts w:hint="eastAsia" w:ascii="宋体" w:hAnsi="宋体" w:eastAsia="宋体"/>
                <w:b/>
                <w:color w:val="auto"/>
                <w:sz w:val="24"/>
                <w:szCs w:val="22"/>
                <w:highlight w:val="none"/>
              </w:rPr>
              <w:t>表</w:t>
            </w:r>
          </w:p>
        </w:tc>
      </w:tr>
      <w:tr w14:paraId="3414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369" w:type="pct"/>
            <w:tcBorders>
              <w:bottom w:val="single" w:color="auto" w:sz="4" w:space="0"/>
            </w:tcBorders>
            <w:vAlign w:val="center"/>
          </w:tcPr>
          <w:p w14:paraId="69957031">
            <w:pPr>
              <w:adjustRightInd w:val="0"/>
              <w:snapToGrid w:val="0"/>
              <w:spacing w:line="360" w:lineRule="auto"/>
              <w:ind w:right="-10"/>
              <w:jc w:val="center"/>
              <w:rPr>
                <w:rFonts w:ascii="宋体" w:hAnsi="宋体" w:eastAsia="宋体"/>
                <w:color w:val="auto"/>
                <w:sz w:val="24"/>
                <w:highlight w:val="none"/>
              </w:rPr>
            </w:pPr>
            <w:r>
              <w:rPr>
                <w:rFonts w:hint="eastAsia" w:ascii="宋体" w:hAnsi="宋体" w:eastAsia="宋体"/>
                <w:color w:val="auto"/>
                <w:sz w:val="24"/>
                <w:highlight w:val="none"/>
              </w:rPr>
              <w:t>序号</w:t>
            </w:r>
          </w:p>
        </w:tc>
        <w:tc>
          <w:tcPr>
            <w:tcW w:w="1143" w:type="pct"/>
            <w:tcBorders>
              <w:bottom w:val="single" w:color="auto" w:sz="4" w:space="0"/>
            </w:tcBorders>
            <w:vAlign w:val="center"/>
          </w:tcPr>
          <w:p w14:paraId="148EB4E8">
            <w:pPr>
              <w:pStyle w:val="41"/>
              <w:pBdr>
                <w:bottom w:val="none" w:color="auto" w:sz="0" w:space="0"/>
              </w:pBdr>
              <w:tabs>
                <w:tab w:val="clear" w:pos="4153"/>
                <w:tab w:val="clear" w:pos="8306"/>
              </w:tabs>
              <w:snapToGrid w:val="0"/>
              <w:spacing w:line="360" w:lineRule="auto"/>
              <w:ind w:right="-10"/>
              <w:textAlignment w:val="auto"/>
              <w:rPr>
                <w:rFonts w:hint="default" w:ascii="宋体" w:hAnsi="宋体" w:eastAsia="宋体"/>
                <w:color w:val="auto"/>
                <w:kern w:val="2"/>
                <w:szCs w:val="24"/>
                <w:highlight w:val="none"/>
                <w:lang w:val="en-US"/>
              </w:rPr>
            </w:pPr>
            <w:r>
              <w:rPr>
                <w:rFonts w:hint="eastAsia" w:ascii="宋体" w:hAnsi="宋体" w:eastAsia="宋体"/>
                <w:color w:val="auto"/>
                <w:kern w:val="2"/>
                <w:szCs w:val="24"/>
                <w:highlight w:val="none"/>
                <w:lang w:val="en-US" w:eastAsia="zh-CN"/>
              </w:rPr>
              <w:t>审查指标</w:t>
            </w:r>
          </w:p>
        </w:tc>
        <w:tc>
          <w:tcPr>
            <w:tcW w:w="2398" w:type="pct"/>
            <w:tcBorders>
              <w:bottom w:val="single" w:color="auto" w:sz="4" w:space="0"/>
            </w:tcBorders>
            <w:vAlign w:val="center"/>
          </w:tcPr>
          <w:p w14:paraId="58B3C737">
            <w:pPr>
              <w:adjustRightInd w:val="0"/>
              <w:snapToGrid w:val="0"/>
              <w:spacing w:line="360" w:lineRule="auto"/>
              <w:ind w:right="-10"/>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审查标准</w:t>
            </w:r>
          </w:p>
        </w:tc>
        <w:tc>
          <w:tcPr>
            <w:tcW w:w="1088" w:type="pct"/>
            <w:tcBorders>
              <w:bottom w:val="single" w:color="auto" w:sz="4" w:space="0"/>
            </w:tcBorders>
            <w:vAlign w:val="center"/>
          </w:tcPr>
          <w:p w14:paraId="2348528B">
            <w:pPr>
              <w:adjustRightInd w:val="0"/>
              <w:snapToGrid w:val="0"/>
              <w:spacing w:line="360" w:lineRule="auto"/>
              <w:ind w:right="-10"/>
              <w:jc w:val="center"/>
              <w:rPr>
                <w:rFonts w:ascii="宋体" w:hAnsi="宋体" w:eastAsia="宋体"/>
                <w:color w:val="auto"/>
                <w:sz w:val="24"/>
                <w:highlight w:val="none"/>
              </w:rPr>
            </w:pPr>
            <w:r>
              <w:rPr>
                <w:rFonts w:hint="eastAsia" w:ascii="宋体" w:hAnsi="宋体" w:eastAsia="宋体"/>
                <w:color w:val="auto"/>
                <w:sz w:val="24"/>
                <w:highlight w:val="none"/>
              </w:rPr>
              <w:t>格式要求</w:t>
            </w:r>
          </w:p>
        </w:tc>
      </w:tr>
      <w:tr w14:paraId="64CE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3" w:hRule="atLeast"/>
          <w:jc w:val="center"/>
        </w:trPr>
        <w:tc>
          <w:tcPr>
            <w:tcW w:w="369" w:type="pct"/>
            <w:tcBorders>
              <w:bottom w:val="single" w:color="auto" w:sz="4" w:space="0"/>
            </w:tcBorders>
            <w:vAlign w:val="center"/>
          </w:tcPr>
          <w:p w14:paraId="5A22E386">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1</w:t>
            </w:r>
          </w:p>
        </w:tc>
        <w:tc>
          <w:tcPr>
            <w:tcW w:w="1143" w:type="pct"/>
            <w:tcBorders>
              <w:bottom w:val="single" w:color="auto" w:sz="4" w:space="0"/>
            </w:tcBorders>
            <w:vAlign w:val="center"/>
          </w:tcPr>
          <w:p w14:paraId="01142A6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宋体" w:hAnsi="宋体" w:eastAsia="宋体" w:cs="@仿宋_GB2312"/>
                <w:color w:val="auto"/>
                <w:kern w:val="2"/>
                <w:sz w:val="24"/>
                <w:szCs w:val="28"/>
                <w:highlight w:val="none"/>
                <w:lang w:val="en-US" w:eastAsia="zh-CN" w:bidi="ar-SA"/>
              </w:rPr>
            </w:pPr>
            <w:r>
              <w:rPr>
                <w:rFonts w:ascii="宋体" w:hAnsi="宋体" w:eastAsia="宋体" w:cs="宋体"/>
                <w:spacing w:val="9"/>
                <w:sz w:val="24"/>
                <w:szCs w:val="24"/>
              </w:rPr>
              <w:t>营业执照等证明</w:t>
            </w:r>
            <w:r>
              <w:rPr>
                <w:rFonts w:ascii="宋体" w:hAnsi="宋体" w:eastAsia="宋体" w:cs="宋体"/>
                <w:spacing w:val="-3"/>
                <w:sz w:val="24"/>
                <w:szCs w:val="24"/>
              </w:rPr>
              <w:t>文件</w:t>
            </w:r>
          </w:p>
        </w:tc>
        <w:tc>
          <w:tcPr>
            <w:tcW w:w="2398" w:type="pct"/>
            <w:tcBorders>
              <w:bottom w:val="single" w:color="auto" w:sz="4" w:space="0"/>
            </w:tcBorders>
            <w:vAlign w:val="center"/>
          </w:tcPr>
          <w:p w14:paraId="68C540A0">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为企业（包括合伙企业）的，应</w:t>
            </w:r>
            <w:r>
              <w:rPr>
                <w:rFonts w:hint="eastAsia" w:ascii="宋体" w:hAnsi="宋体" w:eastAsia="宋体" w:cs="宋体"/>
                <w:sz w:val="24"/>
                <w:szCs w:val="24"/>
                <w:lang w:val="en-US" w:eastAsia="zh-CN"/>
              </w:rPr>
              <w:t>提</w:t>
            </w:r>
            <w:r>
              <w:rPr>
                <w:rFonts w:ascii="宋体" w:hAnsi="宋体" w:eastAsia="宋体" w:cs="宋体"/>
                <w:sz w:val="24"/>
                <w:szCs w:val="24"/>
              </w:rPr>
              <w:t>供有效的营业执照；</w:t>
            </w:r>
          </w:p>
          <w:p w14:paraId="54CE97D7">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为事业单位的，应</w:t>
            </w:r>
            <w:r>
              <w:rPr>
                <w:rFonts w:hint="eastAsia" w:ascii="宋体" w:hAnsi="宋体" w:eastAsia="宋体" w:cs="宋体"/>
                <w:sz w:val="24"/>
                <w:szCs w:val="24"/>
                <w:lang w:val="en-US" w:eastAsia="zh-CN"/>
              </w:rPr>
              <w:t>提</w:t>
            </w:r>
            <w:r>
              <w:rPr>
                <w:rFonts w:ascii="宋体" w:hAnsi="宋体" w:eastAsia="宋体" w:cs="宋体"/>
                <w:sz w:val="24"/>
                <w:szCs w:val="24"/>
              </w:rPr>
              <w:t>供有效的事业单位法人证书；</w:t>
            </w:r>
          </w:p>
          <w:p w14:paraId="37E1696F">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是非企业机构的，应</w:t>
            </w:r>
            <w:r>
              <w:rPr>
                <w:rFonts w:hint="eastAsia" w:ascii="宋体" w:hAnsi="宋体" w:eastAsia="宋体" w:cs="宋体"/>
                <w:sz w:val="24"/>
                <w:szCs w:val="24"/>
                <w:lang w:val="en-US" w:eastAsia="zh-CN"/>
              </w:rPr>
              <w:t>提</w:t>
            </w:r>
            <w:r>
              <w:rPr>
                <w:rFonts w:ascii="宋体" w:hAnsi="宋体" w:eastAsia="宋体" w:cs="宋体"/>
                <w:sz w:val="24"/>
                <w:szCs w:val="24"/>
              </w:rPr>
              <w:t>供有效的执业许可证</w:t>
            </w:r>
            <w:r>
              <w:rPr>
                <w:rFonts w:hint="eastAsia" w:ascii="宋体" w:hAnsi="宋体" w:eastAsia="宋体" w:cs="宋体"/>
                <w:sz w:val="24"/>
                <w:szCs w:val="24"/>
                <w:lang w:val="en-US" w:eastAsia="zh-CN"/>
              </w:rPr>
              <w:t>或</w:t>
            </w:r>
            <w:r>
              <w:rPr>
                <w:rFonts w:ascii="宋体" w:hAnsi="宋体" w:eastAsia="宋体" w:cs="宋体"/>
                <w:sz w:val="24"/>
                <w:szCs w:val="24"/>
              </w:rPr>
              <w:t>登记证书等证明文件；</w:t>
            </w:r>
          </w:p>
          <w:p w14:paraId="5EAC8489">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是个体工商户的，应</w:t>
            </w:r>
            <w:r>
              <w:rPr>
                <w:rFonts w:hint="eastAsia" w:ascii="宋体" w:hAnsi="宋体" w:eastAsia="宋体" w:cs="宋体"/>
                <w:sz w:val="24"/>
                <w:szCs w:val="24"/>
                <w:lang w:val="en-US" w:eastAsia="zh-CN"/>
              </w:rPr>
              <w:t>提</w:t>
            </w:r>
            <w:r>
              <w:rPr>
                <w:rFonts w:ascii="宋体" w:hAnsi="宋体" w:eastAsia="宋体" w:cs="宋体"/>
                <w:sz w:val="24"/>
                <w:szCs w:val="24"/>
              </w:rPr>
              <w:t>供有效的个体工商户营业执照；</w:t>
            </w:r>
          </w:p>
          <w:p w14:paraId="6029F315">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仿宋_GB2312"/>
                <w:color w:val="auto"/>
                <w:kern w:val="2"/>
                <w:sz w:val="24"/>
                <w:szCs w:val="28"/>
                <w:highlight w:val="none"/>
                <w:lang w:val="en-US" w:eastAsia="zh-CN" w:bidi="ar-S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是自然人的，应</w:t>
            </w:r>
            <w:r>
              <w:rPr>
                <w:rFonts w:hint="eastAsia" w:ascii="宋体" w:hAnsi="宋体" w:eastAsia="宋体" w:cs="宋体"/>
                <w:sz w:val="24"/>
                <w:szCs w:val="24"/>
                <w:lang w:val="en-US" w:eastAsia="zh-CN"/>
              </w:rPr>
              <w:t>提</w:t>
            </w:r>
            <w:r>
              <w:rPr>
                <w:rFonts w:ascii="宋体" w:hAnsi="宋体" w:eastAsia="宋体" w:cs="宋体"/>
                <w:sz w:val="24"/>
                <w:szCs w:val="24"/>
              </w:rPr>
              <w:t>供有效的自然人身份证明。</w:t>
            </w:r>
          </w:p>
        </w:tc>
        <w:tc>
          <w:tcPr>
            <w:tcW w:w="1088" w:type="pct"/>
            <w:vAlign w:val="center"/>
          </w:tcPr>
          <w:p w14:paraId="5065987B">
            <w:pPr>
              <w:keepNext w:val="0"/>
              <w:keepLines w:val="0"/>
              <w:pageBreakBefore w:val="0"/>
              <w:widowControl w:val="0"/>
              <w:kinsoku/>
              <w:wordWrap/>
              <w:overflowPunct/>
              <w:topLinePunct w:val="0"/>
              <w:autoSpaceDE/>
              <w:autoSpaceDN/>
              <w:bidi w:val="0"/>
              <w:spacing w:line="440" w:lineRule="exact"/>
              <w:jc w:val="left"/>
              <w:textAlignment w:val="auto"/>
              <w:rPr>
                <w:rFonts w:ascii="宋体" w:hAnsi="宋体" w:eastAsia="宋体" w:cs="@仿宋_GB2312"/>
                <w:color w:val="auto"/>
                <w:kern w:val="2"/>
                <w:sz w:val="24"/>
                <w:highlight w:val="none"/>
                <w:lang w:val="en-US" w:eastAsia="zh-CN" w:bidi="ar-SA"/>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材料复印件并加盖供应商公章</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全部内容。</w:t>
            </w:r>
          </w:p>
        </w:tc>
      </w:tr>
      <w:tr w14:paraId="2166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369" w:type="pct"/>
            <w:tcBorders>
              <w:bottom w:val="single" w:color="auto" w:sz="4" w:space="0"/>
            </w:tcBorders>
            <w:vAlign w:val="center"/>
          </w:tcPr>
          <w:p w14:paraId="0F1BC3D0">
            <w:pPr>
              <w:adjustRightInd w:val="0"/>
              <w:snapToGrid w:val="0"/>
              <w:spacing w:line="360" w:lineRule="auto"/>
              <w:ind w:right="-10" w:rightChars="0"/>
              <w:jc w:val="center"/>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2</w:t>
            </w:r>
          </w:p>
        </w:tc>
        <w:tc>
          <w:tcPr>
            <w:tcW w:w="1143" w:type="pct"/>
            <w:tcBorders>
              <w:bottom w:val="single" w:color="auto" w:sz="4" w:space="0"/>
            </w:tcBorders>
            <w:vAlign w:val="center"/>
          </w:tcPr>
          <w:p w14:paraId="521B8A19">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default" w:ascii="宋体" w:hAnsi="宋体" w:eastAsia="宋体" w:cs="宋体"/>
                <w:spacing w:val="9"/>
                <w:sz w:val="24"/>
                <w:szCs w:val="24"/>
                <w:lang w:val="en-US"/>
              </w:rPr>
            </w:pPr>
            <w:r>
              <w:rPr>
                <w:rFonts w:hint="eastAsia" w:ascii="宋体" w:hAnsi="宋体" w:eastAsia="宋体" w:cs="宋体"/>
                <w:spacing w:val="9"/>
                <w:sz w:val="24"/>
                <w:szCs w:val="24"/>
                <w:lang w:val="en-US" w:eastAsia="zh-CN"/>
              </w:rPr>
              <w:t>供应商资格声明书</w:t>
            </w:r>
          </w:p>
        </w:tc>
        <w:tc>
          <w:tcPr>
            <w:tcW w:w="2398" w:type="pct"/>
            <w:tcBorders>
              <w:bottom w:val="single" w:color="auto" w:sz="4" w:space="0"/>
            </w:tcBorders>
            <w:vAlign w:val="center"/>
          </w:tcPr>
          <w:p w14:paraId="07C86E7D">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提</w:t>
            </w:r>
            <w:r>
              <w:rPr>
                <w:rFonts w:ascii="宋体" w:hAnsi="宋体" w:eastAsia="宋体" w:cs="宋体"/>
                <w:spacing w:val="9"/>
                <w:sz w:val="24"/>
                <w:szCs w:val="24"/>
              </w:rPr>
              <w:t>供符合</w:t>
            </w:r>
            <w:r>
              <w:rPr>
                <w:rFonts w:hint="eastAsia" w:ascii="宋体" w:hAnsi="宋体" w:eastAsia="宋体" w:cs="宋体"/>
                <w:spacing w:val="9"/>
                <w:sz w:val="24"/>
                <w:szCs w:val="24"/>
                <w:lang w:val="en-US" w:eastAsia="zh-CN"/>
              </w:rPr>
              <w:t>磋商</w:t>
            </w:r>
            <w:r>
              <w:rPr>
                <w:rFonts w:ascii="宋体" w:hAnsi="宋体" w:eastAsia="宋体" w:cs="宋体"/>
                <w:spacing w:val="9"/>
                <w:sz w:val="24"/>
                <w:szCs w:val="24"/>
              </w:rPr>
              <w:t>文件要求的《</w:t>
            </w:r>
            <w:r>
              <w:rPr>
                <w:rFonts w:hint="eastAsia" w:ascii="宋体" w:hAnsi="宋体" w:eastAsia="宋体" w:cs="宋体"/>
                <w:spacing w:val="9"/>
                <w:sz w:val="24"/>
                <w:szCs w:val="24"/>
                <w:lang w:val="en-US" w:eastAsia="zh-CN"/>
              </w:rPr>
              <w:t>供应商</w:t>
            </w:r>
            <w:r>
              <w:rPr>
                <w:rFonts w:ascii="宋体" w:hAnsi="宋体" w:eastAsia="宋体" w:cs="宋体"/>
                <w:spacing w:val="9"/>
                <w:sz w:val="24"/>
                <w:szCs w:val="24"/>
              </w:rPr>
              <w:t>资格声明书》</w:t>
            </w:r>
            <w:r>
              <w:rPr>
                <w:rFonts w:hint="eastAsia" w:ascii="宋体" w:hAnsi="宋体" w:eastAsia="宋体" w:cs="宋体"/>
                <w:spacing w:val="9"/>
                <w:sz w:val="24"/>
                <w:szCs w:val="24"/>
                <w:lang w:eastAsia="zh-CN"/>
              </w:rPr>
              <w:t>。</w:t>
            </w:r>
          </w:p>
        </w:tc>
        <w:tc>
          <w:tcPr>
            <w:tcW w:w="1088" w:type="pct"/>
            <w:vAlign w:val="center"/>
          </w:tcPr>
          <w:p w14:paraId="4D099A9B">
            <w:pPr>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4EAA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369" w:type="pct"/>
            <w:tcBorders>
              <w:bottom w:val="single" w:color="auto" w:sz="4" w:space="0"/>
            </w:tcBorders>
            <w:vAlign w:val="center"/>
          </w:tcPr>
          <w:p w14:paraId="6383542D">
            <w:pPr>
              <w:adjustRightInd w:val="0"/>
              <w:snapToGrid w:val="0"/>
              <w:spacing w:line="360" w:lineRule="auto"/>
              <w:ind w:right="-10"/>
              <w:jc w:val="center"/>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3</w:t>
            </w:r>
          </w:p>
        </w:tc>
        <w:tc>
          <w:tcPr>
            <w:tcW w:w="1143" w:type="pct"/>
            <w:tcBorders>
              <w:bottom w:val="single" w:color="auto" w:sz="4" w:space="0"/>
            </w:tcBorders>
            <w:vAlign w:val="center"/>
          </w:tcPr>
          <w:p w14:paraId="79E8DE55">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宋体" w:hAnsi="宋体" w:eastAsia="宋体" w:cs="宋体"/>
                <w:spacing w:val="9"/>
                <w:sz w:val="24"/>
                <w:szCs w:val="24"/>
              </w:rPr>
            </w:pPr>
            <w:r>
              <w:rPr>
                <w:rFonts w:hint="eastAsia" w:ascii="宋体" w:hAnsi="宋体" w:eastAsia="宋体" w:cs="宋体"/>
                <w:spacing w:val="9"/>
                <w:sz w:val="24"/>
                <w:szCs w:val="24"/>
                <w:lang w:val="en-US" w:eastAsia="zh-CN"/>
              </w:rPr>
              <w:t>供应商</w:t>
            </w:r>
            <w:r>
              <w:rPr>
                <w:rFonts w:hint="eastAsia" w:ascii="宋体" w:hAnsi="宋体" w:eastAsia="宋体" w:cs="宋体"/>
                <w:spacing w:val="9"/>
                <w:sz w:val="24"/>
                <w:szCs w:val="24"/>
              </w:rPr>
              <w:t>信用记录</w:t>
            </w:r>
          </w:p>
        </w:tc>
        <w:tc>
          <w:tcPr>
            <w:tcW w:w="2398" w:type="pct"/>
            <w:tcBorders>
              <w:bottom w:val="single" w:color="auto" w:sz="4" w:space="0"/>
            </w:tcBorders>
            <w:vAlign w:val="center"/>
          </w:tcPr>
          <w:p w14:paraId="7E84773D">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pacing w:val="9"/>
                <w:sz w:val="24"/>
                <w:szCs w:val="24"/>
              </w:rPr>
            </w:pPr>
            <w:r>
              <w:rPr>
                <w:rFonts w:hint="eastAsia" w:ascii="宋体" w:hAnsi="宋体" w:eastAsia="宋体" w:cs="宋体"/>
                <w:spacing w:val="9"/>
                <w:sz w:val="24"/>
                <w:szCs w:val="24"/>
                <w:lang w:val="en-US" w:eastAsia="zh-CN"/>
              </w:rPr>
              <w:t>供应商</w:t>
            </w:r>
            <w:r>
              <w:rPr>
                <w:rFonts w:hint="eastAsia" w:ascii="宋体" w:hAnsi="宋体" w:eastAsia="宋体" w:cs="宋体"/>
                <w:spacing w:val="9"/>
                <w:sz w:val="24"/>
                <w:szCs w:val="24"/>
                <w:lang w:val="zh-CN" w:eastAsia="zh-CN"/>
              </w:rPr>
              <w:t>不得存在</w:t>
            </w:r>
            <w:r>
              <w:rPr>
                <w:rFonts w:hint="eastAsia" w:ascii="宋体" w:hAnsi="宋体" w:eastAsia="宋体" w:cs="宋体"/>
                <w:spacing w:val="9"/>
                <w:sz w:val="24"/>
                <w:szCs w:val="24"/>
                <w:lang w:val="en-US" w:eastAsia="zh-CN"/>
              </w:rPr>
              <w:t>供应商</w:t>
            </w:r>
            <w:r>
              <w:rPr>
                <w:rFonts w:hint="eastAsia" w:ascii="宋体" w:hAnsi="宋体" w:eastAsia="宋体" w:cs="宋体"/>
                <w:spacing w:val="9"/>
                <w:sz w:val="24"/>
                <w:szCs w:val="24"/>
                <w:lang w:val="zh-CN" w:eastAsia="zh-CN"/>
              </w:rPr>
              <w:t>须知正文第1</w:t>
            </w:r>
            <w:r>
              <w:rPr>
                <w:rFonts w:hint="eastAsia" w:ascii="宋体" w:hAnsi="宋体" w:eastAsia="宋体" w:cs="宋体"/>
                <w:spacing w:val="9"/>
                <w:sz w:val="24"/>
                <w:szCs w:val="24"/>
                <w:lang w:val="en-US" w:eastAsia="zh-CN"/>
              </w:rPr>
              <w:t>4</w:t>
            </w:r>
            <w:r>
              <w:rPr>
                <w:rFonts w:hint="eastAsia" w:ascii="宋体" w:hAnsi="宋体" w:eastAsia="宋体" w:cs="宋体"/>
                <w:spacing w:val="9"/>
                <w:sz w:val="24"/>
                <w:szCs w:val="24"/>
                <w:lang w:val="zh-CN" w:eastAsia="zh-CN"/>
              </w:rPr>
              <w:t>.</w:t>
            </w:r>
            <w:r>
              <w:rPr>
                <w:rFonts w:hint="eastAsia" w:ascii="宋体" w:hAnsi="宋体" w:eastAsia="宋体" w:cs="宋体"/>
                <w:spacing w:val="9"/>
                <w:sz w:val="24"/>
                <w:szCs w:val="24"/>
                <w:lang w:val="en-US" w:eastAsia="zh-CN"/>
              </w:rPr>
              <w:t>3条中</w:t>
            </w:r>
            <w:r>
              <w:rPr>
                <w:rFonts w:hint="eastAsia" w:ascii="宋体" w:hAnsi="宋体" w:eastAsia="宋体" w:cs="宋体"/>
                <w:spacing w:val="9"/>
                <w:sz w:val="24"/>
                <w:szCs w:val="24"/>
              </w:rPr>
              <w:t>的不良信用记录情形</w:t>
            </w:r>
          </w:p>
        </w:tc>
        <w:tc>
          <w:tcPr>
            <w:tcW w:w="1088" w:type="pct"/>
            <w:tcBorders>
              <w:bottom w:val="single" w:color="auto" w:sz="4" w:space="0"/>
            </w:tcBorders>
            <w:vAlign w:val="center"/>
          </w:tcPr>
          <w:p w14:paraId="5F844795">
            <w:pPr>
              <w:spacing w:line="360" w:lineRule="auto"/>
              <w:jc w:val="left"/>
              <w:rPr>
                <w:rFonts w:ascii="@仿宋_GB2312" w:hAnsi="@仿宋_GB2312" w:eastAsia="@仿宋_GB2312" w:cs="@仿宋_GB2312"/>
                <w:color w:val="auto"/>
                <w:kern w:val="2"/>
                <w:sz w:val="21"/>
                <w:highlight w:val="none"/>
                <w:lang w:val="en-US" w:eastAsia="zh-CN" w:bidi="ar-SA"/>
              </w:rPr>
            </w:pPr>
            <w:r>
              <w:rPr>
                <w:rFonts w:hint="eastAsia" w:ascii="宋体" w:hAnsi="宋体" w:eastAsia="宋体" w:cs="宋体"/>
                <w:sz w:val="24"/>
                <w:szCs w:val="24"/>
                <w:highlight w:val="none"/>
              </w:rPr>
              <w:t>无须</w:t>
            </w:r>
            <w:r>
              <w:rPr>
                <w:rFonts w:hint="eastAsia" w:ascii="宋体" w:hAnsi="宋体" w:eastAsia="宋体" w:cs="宋体"/>
                <w:sz w:val="24"/>
                <w:szCs w:val="24"/>
                <w:highlight w:val="none"/>
                <w:lang w:val="en-US" w:eastAsia="zh-CN"/>
              </w:rPr>
              <w:t>供应商提</w:t>
            </w:r>
            <w:r>
              <w:rPr>
                <w:rFonts w:hint="eastAsia" w:ascii="宋体" w:hAnsi="宋体" w:eastAsia="宋体" w:cs="宋体"/>
                <w:sz w:val="24"/>
                <w:szCs w:val="24"/>
                <w:highlight w:val="none"/>
              </w:rPr>
              <w:t>供，由采购人或采购代理机构查询。</w:t>
            </w:r>
          </w:p>
        </w:tc>
      </w:tr>
      <w:tr w14:paraId="07A3C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369" w:type="pct"/>
            <w:vAlign w:val="center"/>
          </w:tcPr>
          <w:p w14:paraId="06FE804E">
            <w:pPr>
              <w:adjustRightInd w:val="0"/>
              <w:snapToGrid w:val="0"/>
              <w:spacing w:line="360" w:lineRule="auto"/>
              <w:ind w:right="-10" w:rightChars="0"/>
              <w:jc w:val="center"/>
              <w:rPr>
                <w:rFonts w:hint="eastAsia"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lang w:val="en-US" w:eastAsia="zh-CN"/>
              </w:rPr>
              <w:t>4</w:t>
            </w:r>
          </w:p>
        </w:tc>
        <w:tc>
          <w:tcPr>
            <w:tcW w:w="1143" w:type="pct"/>
            <w:vAlign w:val="center"/>
          </w:tcPr>
          <w:p w14:paraId="38A55546">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本项目的特定资格要求</w:t>
            </w:r>
          </w:p>
        </w:tc>
        <w:tc>
          <w:tcPr>
            <w:tcW w:w="2398" w:type="pct"/>
            <w:vAlign w:val="center"/>
          </w:tcPr>
          <w:p w14:paraId="250D2FBD">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如有，见第一章《磋商邀请》</w:t>
            </w:r>
          </w:p>
        </w:tc>
        <w:tc>
          <w:tcPr>
            <w:tcW w:w="1088" w:type="pct"/>
            <w:vAlign w:val="center"/>
          </w:tcPr>
          <w:p w14:paraId="2802F7C1">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提供材料复印件并加盖供应商公章，应完整的体现出材料全部内容。</w:t>
            </w:r>
          </w:p>
        </w:tc>
      </w:tr>
      <w:tr w14:paraId="1B1F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vAlign w:val="center"/>
          </w:tcPr>
          <w:p w14:paraId="7D74907F">
            <w:pPr>
              <w:adjustRightInd w:val="0"/>
              <w:snapToGrid w:val="0"/>
              <w:spacing w:line="360" w:lineRule="auto"/>
              <w:ind w:right="-10" w:rightChars="0"/>
              <w:jc w:val="center"/>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5</w:t>
            </w:r>
          </w:p>
        </w:tc>
        <w:tc>
          <w:tcPr>
            <w:tcW w:w="1143" w:type="pct"/>
            <w:vAlign w:val="center"/>
          </w:tcPr>
          <w:p w14:paraId="1110C323">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磋商响应函</w:t>
            </w:r>
          </w:p>
        </w:tc>
        <w:tc>
          <w:tcPr>
            <w:tcW w:w="2398" w:type="pct"/>
            <w:vAlign w:val="center"/>
          </w:tcPr>
          <w:p w14:paraId="38AE8706">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格式、填写要求符合磋商文件规定并加盖供应商签章</w:t>
            </w:r>
          </w:p>
        </w:tc>
        <w:tc>
          <w:tcPr>
            <w:tcW w:w="1088" w:type="pct"/>
            <w:vAlign w:val="center"/>
          </w:tcPr>
          <w:p w14:paraId="58724908">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详见第六章响应文件格式。</w:t>
            </w:r>
          </w:p>
        </w:tc>
      </w:tr>
      <w:tr w14:paraId="5E2D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vAlign w:val="center"/>
          </w:tcPr>
          <w:p w14:paraId="11468AC8">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asciiTheme="minorEastAsia" w:hAnsiTheme="minorEastAsia" w:eastAsiaTheme="minorEastAsia"/>
                <w:color w:val="auto"/>
                <w:sz w:val="24"/>
                <w:highlight w:val="none"/>
                <w:lang w:val="en-US" w:eastAsia="zh-CN"/>
              </w:rPr>
              <w:t>6</w:t>
            </w:r>
          </w:p>
        </w:tc>
        <w:tc>
          <w:tcPr>
            <w:tcW w:w="1143" w:type="pct"/>
            <w:vAlign w:val="center"/>
          </w:tcPr>
          <w:p w14:paraId="661F28B7">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授权书</w:t>
            </w:r>
          </w:p>
        </w:tc>
        <w:tc>
          <w:tcPr>
            <w:tcW w:w="2398" w:type="pct"/>
            <w:vAlign w:val="center"/>
          </w:tcPr>
          <w:p w14:paraId="55A8FD53">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格式、填写要求符合磋商文件规定并加盖供应商签章</w:t>
            </w:r>
          </w:p>
        </w:tc>
        <w:tc>
          <w:tcPr>
            <w:tcW w:w="1088" w:type="pct"/>
            <w:vAlign w:val="center"/>
          </w:tcPr>
          <w:p w14:paraId="4CA1440D">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法定代表人参加磋商的无需此件，提供身份证明即可。详见第六章响应文件格式。</w:t>
            </w:r>
          </w:p>
        </w:tc>
      </w:tr>
      <w:tr w14:paraId="06AB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369" w:type="pct"/>
            <w:vAlign w:val="center"/>
          </w:tcPr>
          <w:p w14:paraId="3897A89A">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asciiTheme="minorEastAsia" w:hAnsiTheme="minorEastAsia" w:eastAsiaTheme="minorEastAsia"/>
                <w:color w:val="auto"/>
                <w:sz w:val="24"/>
                <w:highlight w:val="none"/>
                <w:lang w:val="en-US" w:eastAsia="zh-CN"/>
              </w:rPr>
              <w:t>7</w:t>
            </w:r>
          </w:p>
        </w:tc>
        <w:tc>
          <w:tcPr>
            <w:tcW w:w="1143" w:type="pct"/>
            <w:vAlign w:val="center"/>
          </w:tcPr>
          <w:p w14:paraId="626AB8E0">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磋商报价</w:t>
            </w:r>
          </w:p>
        </w:tc>
        <w:tc>
          <w:tcPr>
            <w:tcW w:w="2398" w:type="pct"/>
            <w:vAlign w:val="center"/>
          </w:tcPr>
          <w:p w14:paraId="7231CC4B">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格式、填写要求符合磋商文件规定并加盖供应商签章</w:t>
            </w:r>
          </w:p>
        </w:tc>
        <w:tc>
          <w:tcPr>
            <w:tcW w:w="1088" w:type="pct"/>
            <w:vAlign w:val="center"/>
          </w:tcPr>
          <w:p w14:paraId="13DB9DDA">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详见第六章响应文件格式。</w:t>
            </w:r>
          </w:p>
        </w:tc>
      </w:tr>
      <w:tr w14:paraId="6563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369" w:type="pct"/>
            <w:vAlign w:val="center"/>
          </w:tcPr>
          <w:p w14:paraId="1AA5D3A3">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8</w:t>
            </w:r>
          </w:p>
        </w:tc>
        <w:tc>
          <w:tcPr>
            <w:tcW w:w="1143" w:type="pct"/>
            <w:vAlign w:val="center"/>
          </w:tcPr>
          <w:p w14:paraId="577B4E84">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分项报价明细表</w:t>
            </w:r>
          </w:p>
        </w:tc>
        <w:tc>
          <w:tcPr>
            <w:tcW w:w="2398" w:type="pct"/>
            <w:vAlign w:val="center"/>
          </w:tcPr>
          <w:p w14:paraId="2F6BA9E4">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格式、填写要求符合磋商文件规定并加盖供应商签章</w:t>
            </w:r>
          </w:p>
        </w:tc>
        <w:tc>
          <w:tcPr>
            <w:tcW w:w="1088" w:type="pct"/>
            <w:vAlign w:val="center"/>
          </w:tcPr>
          <w:p w14:paraId="55D8D768">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详见第六章响应文件格式。</w:t>
            </w:r>
          </w:p>
        </w:tc>
      </w:tr>
      <w:tr w14:paraId="5B98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jc w:val="center"/>
        </w:trPr>
        <w:tc>
          <w:tcPr>
            <w:tcW w:w="369" w:type="pct"/>
            <w:vAlign w:val="center"/>
          </w:tcPr>
          <w:p w14:paraId="2968977C">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asciiTheme="minorEastAsia" w:hAnsiTheme="minorEastAsia" w:eastAsiaTheme="minorEastAsia"/>
                <w:color w:val="auto"/>
                <w:sz w:val="24"/>
                <w:highlight w:val="none"/>
                <w:lang w:val="en-US" w:eastAsia="zh-CN"/>
              </w:rPr>
              <w:t>9</w:t>
            </w:r>
          </w:p>
        </w:tc>
        <w:tc>
          <w:tcPr>
            <w:tcW w:w="1143" w:type="pct"/>
            <w:vAlign w:val="center"/>
          </w:tcPr>
          <w:p w14:paraId="0C37A2F5">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商务响应情况</w:t>
            </w:r>
          </w:p>
        </w:tc>
        <w:tc>
          <w:tcPr>
            <w:tcW w:w="2398" w:type="pct"/>
            <w:vAlign w:val="center"/>
          </w:tcPr>
          <w:p w14:paraId="2F9F2A87">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符合磋商文件采购需求中对付款方式、服务地点、服务期限等实质性要求</w:t>
            </w:r>
          </w:p>
        </w:tc>
        <w:tc>
          <w:tcPr>
            <w:tcW w:w="1088" w:type="pct"/>
            <w:vAlign w:val="center"/>
          </w:tcPr>
          <w:p w14:paraId="0D4D984C">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详见第六章响应文件格式。</w:t>
            </w:r>
          </w:p>
        </w:tc>
      </w:tr>
      <w:tr w14:paraId="57844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369" w:type="pct"/>
            <w:vAlign w:val="center"/>
          </w:tcPr>
          <w:p w14:paraId="563D767D">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asciiTheme="minorEastAsia" w:hAnsiTheme="minorEastAsia" w:eastAsiaTheme="minorEastAsia"/>
                <w:color w:val="auto"/>
                <w:sz w:val="24"/>
                <w:highlight w:val="none"/>
                <w:lang w:val="en-US" w:eastAsia="zh-CN"/>
              </w:rPr>
              <w:t>10</w:t>
            </w:r>
          </w:p>
        </w:tc>
        <w:tc>
          <w:tcPr>
            <w:tcW w:w="1143" w:type="pct"/>
            <w:vAlign w:val="center"/>
          </w:tcPr>
          <w:p w14:paraId="43C53666">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Theme="minorEastAsia" w:hAnsiTheme="minorEastAsia" w:eastAsiaTheme="minorEastAsia"/>
                <w:b w:val="0"/>
                <w:bCs/>
                <w:color w:val="auto"/>
                <w:sz w:val="24"/>
                <w:highlight w:val="none"/>
              </w:rPr>
              <w:t>诚信履约承诺函</w:t>
            </w:r>
          </w:p>
        </w:tc>
        <w:tc>
          <w:tcPr>
            <w:tcW w:w="4202" w:type="dxa"/>
            <w:vAlign w:val="center"/>
          </w:tcPr>
          <w:p w14:paraId="5C1961EB">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格式、填写要求符合磋商文件规定并加盖供应商签章</w:t>
            </w:r>
          </w:p>
        </w:tc>
        <w:tc>
          <w:tcPr>
            <w:tcW w:w="1910" w:type="dxa"/>
            <w:vAlign w:val="center"/>
          </w:tcPr>
          <w:p w14:paraId="474BDE5D">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详见第六章响应文件格式。</w:t>
            </w:r>
          </w:p>
        </w:tc>
      </w:tr>
      <w:tr w14:paraId="42A8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369" w:type="pct"/>
            <w:vAlign w:val="center"/>
          </w:tcPr>
          <w:p w14:paraId="7C80C1E2">
            <w:pPr>
              <w:adjustRightInd w:val="0"/>
              <w:snapToGrid w:val="0"/>
              <w:spacing w:line="360" w:lineRule="auto"/>
              <w:ind w:right="-10" w:rightChars="0"/>
              <w:jc w:val="center"/>
              <w:rPr>
                <w:rFonts w:hint="default" w:ascii="宋体" w:hAnsi="宋体" w:eastAsia="宋体"/>
                <w:color w:val="auto"/>
                <w:sz w:val="24"/>
                <w:highlight w:val="none"/>
                <w:lang w:val="en-US" w:eastAsia="zh-CN"/>
              </w:rPr>
            </w:pPr>
            <w:r>
              <w:rPr>
                <w:rFonts w:hint="eastAsia" w:asciiTheme="minorEastAsia" w:hAnsiTheme="minorEastAsia" w:eastAsiaTheme="minorEastAsia"/>
                <w:color w:val="auto"/>
                <w:sz w:val="24"/>
                <w:highlight w:val="none"/>
                <w:lang w:val="en-US" w:eastAsia="zh-CN"/>
              </w:rPr>
              <w:t>11</w:t>
            </w:r>
          </w:p>
        </w:tc>
        <w:tc>
          <w:tcPr>
            <w:tcW w:w="1143" w:type="pct"/>
            <w:vAlign w:val="center"/>
          </w:tcPr>
          <w:p w14:paraId="0E95AD60">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其他要求</w:t>
            </w:r>
          </w:p>
        </w:tc>
        <w:tc>
          <w:tcPr>
            <w:tcW w:w="2398" w:type="pct"/>
            <w:vAlign w:val="center"/>
          </w:tcPr>
          <w:p w14:paraId="5137AB75">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符合法律、行政法规规定的其他条件或磋商文件列明的其他实质性要求</w:t>
            </w:r>
          </w:p>
        </w:tc>
        <w:tc>
          <w:tcPr>
            <w:tcW w:w="1088" w:type="pct"/>
            <w:vAlign w:val="center"/>
          </w:tcPr>
          <w:p w14:paraId="69A7546D">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ascii="宋体" w:hAnsi="宋体" w:eastAsia="宋体" w:cs="宋体"/>
                <w:spacing w:val="9"/>
                <w:sz w:val="24"/>
                <w:szCs w:val="24"/>
                <w:lang w:val="en-US" w:eastAsia="zh-CN"/>
              </w:rPr>
            </w:pPr>
          </w:p>
        </w:tc>
      </w:tr>
    </w:tbl>
    <w:p w14:paraId="333F559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rPr>
        <w:t>初审指标通过标准：</w:t>
      </w:r>
      <w:r>
        <w:rPr>
          <w:rFonts w:hint="eastAsia" w:asciiTheme="minorEastAsia" w:hAnsiTheme="minorEastAsia" w:eastAsiaTheme="minorEastAsia"/>
          <w:color w:val="auto"/>
          <w:sz w:val="24"/>
          <w:highlight w:val="none"/>
        </w:rPr>
        <w:t>供应商必须通过初审表中的全部评审指标。</w:t>
      </w:r>
    </w:p>
    <w:p w14:paraId="358A8E64">
      <w:pPr>
        <w:spacing w:line="360" w:lineRule="auto"/>
        <w:ind w:firstLine="435"/>
        <w:outlineLvl w:val="2"/>
        <w:rPr>
          <w:rFonts w:hint="eastAsia" w:asciiTheme="minorEastAsia" w:hAnsiTheme="minorEastAsia" w:eastAsiaTheme="minorEastAsia"/>
          <w:sz w:val="24"/>
          <w:highlight w:val="none"/>
          <w:lang w:val="en-US" w:eastAsia="zh-CN"/>
        </w:rPr>
      </w:pPr>
    </w:p>
    <w:p w14:paraId="4DD1C4E2">
      <w:pPr>
        <w:spacing w:line="360" w:lineRule="auto"/>
        <w:ind w:firstLine="435"/>
        <w:outlineLvl w:val="2"/>
        <w:rPr>
          <w:rFonts w:hint="eastAsia" w:asciiTheme="minorEastAsia" w:hAnsiTheme="minorEastAsia" w:eastAsiaTheme="minorEastAsia"/>
          <w:sz w:val="24"/>
          <w:highlight w:val="none"/>
          <w:lang w:val="en-US" w:eastAsia="zh-CN"/>
        </w:rPr>
      </w:pPr>
    </w:p>
    <w:p w14:paraId="415B86DE">
      <w:pPr>
        <w:spacing w:line="360" w:lineRule="auto"/>
        <w:ind w:firstLine="435"/>
        <w:outlineLvl w:val="2"/>
        <w:rPr>
          <w:rFonts w:hint="eastAsia" w:asciiTheme="minorEastAsia" w:hAnsiTheme="minorEastAsia" w:eastAsiaTheme="minorEastAsia"/>
          <w:sz w:val="24"/>
          <w:highlight w:val="none"/>
          <w:lang w:val="en-US" w:eastAsia="zh-CN"/>
        </w:rPr>
      </w:pPr>
    </w:p>
    <w:p w14:paraId="32A459D7">
      <w:pPr>
        <w:spacing w:line="360" w:lineRule="auto"/>
        <w:ind w:firstLine="435"/>
        <w:outlineLvl w:val="2"/>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lang w:val="en-US" w:eastAsia="zh-CN"/>
        </w:rPr>
        <w:t>2.2</w:t>
      </w:r>
      <w:r>
        <w:rPr>
          <w:rFonts w:hint="eastAsia" w:asciiTheme="minorEastAsia" w:hAnsiTheme="minorEastAsia" w:eastAsiaTheme="minorEastAsia"/>
          <w:sz w:val="24"/>
          <w:highlight w:val="none"/>
        </w:rPr>
        <w:t>异常低价</w:t>
      </w:r>
      <w:r>
        <w:rPr>
          <w:rFonts w:hint="eastAsia" w:asciiTheme="minorEastAsia" w:hAnsiTheme="minorEastAsia" w:eastAsiaTheme="minorEastAsia"/>
          <w:sz w:val="24"/>
          <w:highlight w:val="none"/>
          <w:lang w:val="en-US" w:eastAsia="zh-CN"/>
        </w:rPr>
        <w:t>响应</w:t>
      </w:r>
      <w:r>
        <w:rPr>
          <w:rFonts w:hint="eastAsia" w:asciiTheme="minorEastAsia" w:hAnsiTheme="minorEastAsia" w:eastAsiaTheme="minorEastAsia"/>
          <w:sz w:val="24"/>
          <w:highlight w:val="none"/>
        </w:rPr>
        <w:t>审查</w:t>
      </w:r>
    </w:p>
    <w:tbl>
      <w:tblPr>
        <w:tblStyle w:val="23"/>
        <w:tblW w:w="52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450"/>
        <w:gridCol w:w="4438"/>
        <w:gridCol w:w="2260"/>
      </w:tblGrid>
      <w:tr w14:paraId="64ED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8954" w:type="dxa"/>
            <w:gridSpan w:val="4"/>
            <w:tcBorders>
              <w:bottom w:val="single" w:color="auto" w:sz="4" w:space="0"/>
            </w:tcBorders>
            <w:vAlign w:val="center"/>
          </w:tcPr>
          <w:p w14:paraId="0A55AF2A">
            <w:pPr>
              <w:adjustRightInd w:val="0"/>
              <w:snapToGrid w:val="0"/>
              <w:spacing w:line="360" w:lineRule="auto"/>
              <w:ind w:right="-10" w:rightChars="0"/>
              <w:jc w:val="center"/>
              <w:rPr>
                <w:rFonts w:ascii="宋体" w:hAnsi="宋体" w:eastAsia="宋体"/>
                <w:sz w:val="24"/>
                <w:highlight w:val="none"/>
              </w:rPr>
            </w:pPr>
            <w:r>
              <w:rPr>
                <w:rFonts w:hint="eastAsia" w:ascii="宋体" w:hAnsi="宋体" w:eastAsia="宋体" w:cs="Times New Roman"/>
                <w:b/>
                <w:bCs/>
                <w:sz w:val="24"/>
                <w:highlight w:val="none"/>
                <w:lang w:val="en-US" w:eastAsia="zh-CN"/>
              </w:rPr>
              <w:t>异常低价响应审查表</w:t>
            </w:r>
          </w:p>
        </w:tc>
      </w:tr>
      <w:tr w14:paraId="5725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05" w:type="dxa"/>
            <w:tcBorders>
              <w:bottom w:val="single" w:color="auto" w:sz="4" w:space="0"/>
            </w:tcBorders>
            <w:vAlign w:val="center"/>
          </w:tcPr>
          <w:p w14:paraId="24C66339">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序号</w:t>
            </w:r>
          </w:p>
        </w:tc>
        <w:tc>
          <w:tcPr>
            <w:tcW w:w="1450" w:type="dxa"/>
            <w:tcBorders>
              <w:bottom w:val="single" w:color="auto" w:sz="4" w:space="0"/>
            </w:tcBorders>
            <w:vAlign w:val="center"/>
          </w:tcPr>
          <w:p w14:paraId="242D7536">
            <w:pPr>
              <w:spacing w:line="360" w:lineRule="auto"/>
              <w:ind w:firstLine="240" w:firstLineChars="100"/>
              <w:jc w:val="center"/>
              <w:rPr>
                <w:rFonts w:ascii="宋体" w:hAnsi="宋体" w:eastAsia="宋体"/>
                <w:kern w:val="2"/>
                <w:szCs w:val="24"/>
                <w:highlight w:val="none"/>
              </w:rPr>
            </w:pPr>
            <w:r>
              <w:rPr>
                <w:rFonts w:hint="eastAsia" w:ascii="宋体" w:hAnsi="宋体" w:eastAsia="宋体" w:cs="Times New Roman"/>
                <w:sz w:val="24"/>
                <w:highlight w:val="none"/>
                <w:lang w:val="en-US" w:eastAsia="zh-CN"/>
              </w:rPr>
              <w:t>评审指标</w:t>
            </w:r>
          </w:p>
        </w:tc>
        <w:tc>
          <w:tcPr>
            <w:tcW w:w="4439" w:type="dxa"/>
            <w:tcBorders>
              <w:bottom w:val="single" w:color="auto" w:sz="4" w:space="0"/>
            </w:tcBorders>
            <w:vAlign w:val="center"/>
          </w:tcPr>
          <w:p w14:paraId="63EC8315">
            <w:pPr>
              <w:spacing w:line="360" w:lineRule="auto"/>
              <w:ind w:firstLine="240" w:firstLineChars="100"/>
              <w:jc w:val="center"/>
              <w:rPr>
                <w:rFonts w:ascii="宋体" w:hAnsi="宋体" w:eastAsia="宋体"/>
                <w:sz w:val="24"/>
                <w:highlight w:val="none"/>
              </w:rPr>
            </w:pPr>
            <w:r>
              <w:rPr>
                <w:rFonts w:hint="eastAsia" w:ascii="宋体" w:hAnsi="宋体" w:eastAsia="宋体" w:cs="Times New Roman"/>
                <w:sz w:val="24"/>
                <w:highlight w:val="none"/>
                <w:lang w:val="en-US" w:eastAsia="zh-CN"/>
              </w:rPr>
              <w:t>评审标准</w:t>
            </w:r>
          </w:p>
        </w:tc>
        <w:tc>
          <w:tcPr>
            <w:tcW w:w="2260" w:type="dxa"/>
            <w:tcBorders>
              <w:bottom w:val="single" w:color="auto" w:sz="4" w:space="0"/>
            </w:tcBorders>
            <w:vAlign w:val="center"/>
          </w:tcPr>
          <w:p w14:paraId="39E809DA">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格式及材料要求</w:t>
            </w:r>
          </w:p>
        </w:tc>
      </w:tr>
      <w:tr w14:paraId="63D0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805" w:type="dxa"/>
            <w:tcBorders>
              <w:bottom w:val="single" w:color="auto" w:sz="4" w:space="0"/>
            </w:tcBorders>
            <w:vAlign w:val="center"/>
          </w:tcPr>
          <w:p w14:paraId="53262601">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lang w:val="en-US" w:eastAsia="zh-CN"/>
              </w:rPr>
              <w:t>1</w:t>
            </w:r>
          </w:p>
        </w:tc>
        <w:tc>
          <w:tcPr>
            <w:tcW w:w="1450" w:type="dxa"/>
            <w:tcBorders>
              <w:bottom w:val="single" w:color="auto" w:sz="4" w:space="0"/>
            </w:tcBorders>
            <w:vAlign w:val="center"/>
          </w:tcPr>
          <w:p w14:paraId="4828CEF5">
            <w:pPr>
              <w:spacing w:line="360" w:lineRule="auto"/>
              <w:rPr>
                <w:rFonts w:hint="eastAsia" w:ascii="宋体" w:hAnsi="宋体" w:eastAsia="宋体" w:cs="宋体"/>
                <w:sz w:val="24"/>
                <w:szCs w:val="28"/>
                <w:highlight w:val="none"/>
              </w:rPr>
            </w:pPr>
            <w:r>
              <w:rPr>
                <w:rFonts w:hint="eastAsia" w:ascii="宋体" w:hAnsi="宋体" w:eastAsia="宋体" w:cs="宋体"/>
                <w:sz w:val="24"/>
                <w:highlight w:val="none"/>
                <w:lang w:val="en-US" w:eastAsia="zh-CN"/>
              </w:rPr>
              <w:t>异常低价响应审查</w:t>
            </w:r>
          </w:p>
        </w:tc>
        <w:tc>
          <w:tcPr>
            <w:tcW w:w="4439" w:type="dxa"/>
            <w:tcBorders>
              <w:bottom w:val="single" w:color="auto" w:sz="4" w:space="0"/>
            </w:tcBorders>
            <w:vAlign w:val="center"/>
          </w:tcPr>
          <w:p w14:paraId="14855D12">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（1）报价＜全部通过初审供应商响应报价平均值×</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12D6E1A2">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（2）报价＜通过初审的次低报价供应商响应报价×</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595C90C5">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（3）报价＜采购项目最高限价（如采购项目未设定最高限价的，以采购项目预算金额作为最高限价）×</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6545F9B4">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（4）磋商小组基于专业判断，认为供应商报价过低，有可能影响产品质量或者不能诚信履约的其他情形。</w:t>
            </w:r>
          </w:p>
          <w:p w14:paraId="5325CC06">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提醒：</w:t>
            </w:r>
          </w:p>
          <w:p w14:paraId="5CB21018">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（1）上述第（1）项数值计算：涉及总价、单价的精确到“分”并四舍五入，涉及费率的精确到小数点后两位，第三位四舍五入（例：如平均值为123.456元，即为123.46元；如平均值为80.126%，即为80.13%）。</w:t>
            </w:r>
          </w:p>
          <w:p w14:paraId="17901286">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（2）上述第（1）项至第（2）项中的供应商响应报价为最后承诺报价。</w:t>
            </w:r>
          </w:p>
        </w:tc>
        <w:tc>
          <w:tcPr>
            <w:tcW w:w="2260" w:type="dxa"/>
            <w:vAlign w:val="center"/>
          </w:tcPr>
          <w:p w14:paraId="4F4E35CC">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lang w:val="en-US" w:eastAsia="zh-CN"/>
              </w:rPr>
              <w:t>供应商在评审现场合理的时间内对价格作出解释，提供项目具体成本测算等与报价合理性相关的书面说明及必要的证明材料，包括但不限于原材料成本、人工成本、制造费用等。</w:t>
            </w:r>
          </w:p>
        </w:tc>
      </w:tr>
    </w:tbl>
    <w:p w14:paraId="45C50771">
      <w:pPr>
        <w:spacing w:line="360" w:lineRule="auto"/>
        <w:rPr>
          <w:rFonts w:hint="eastAsia" w:ascii="宋体" w:hAnsi="宋体" w:eastAsia="宋体" w:cs="Arial"/>
          <w:sz w:val="24"/>
          <w:highlight w:val="none"/>
          <w:lang w:val="en-US" w:eastAsia="zh-CN"/>
        </w:rPr>
      </w:pPr>
      <w:r>
        <w:rPr>
          <w:rFonts w:hint="eastAsia" w:ascii="宋体" w:hAnsi="宋体" w:eastAsia="宋体" w:cs="Times New Roman"/>
          <w:sz w:val="24"/>
          <w:highlight w:val="none"/>
          <w:lang w:val="en-US" w:eastAsia="zh-CN"/>
        </w:rPr>
        <w:t>注：</w:t>
      </w:r>
    </w:p>
    <w:p w14:paraId="3AFC4DB9">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val="en-US" w:eastAsia="zh-CN"/>
        </w:rPr>
      </w:pPr>
      <w:r>
        <w:rPr>
          <w:rFonts w:hint="eastAsia" w:ascii="宋体" w:hAnsi="宋体" w:eastAsia="宋体"/>
          <w:sz w:val="24"/>
          <w:highlight w:val="none"/>
        </w:rPr>
        <w:t>根据《关于推进解决政府采购异常低价问题的通知》（财库〔2026〕2号），</w:t>
      </w:r>
      <w:r>
        <w:rPr>
          <w:rFonts w:hint="eastAsia" w:ascii="宋体" w:hAnsi="宋体" w:eastAsia="宋体"/>
          <w:sz w:val="24"/>
          <w:highlight w:val="none"/>
          <w:lang w:val="en-US" w:eastAsia="zh-CN"/>
        </w:rPr>
        <w:t>采购人可以结合具体项目实际情况，提高上述</w:t>
      </w:r>
      <w:r>
        <w:rPr>
          <w:rFonts w:hint="eastAsia" w:ascii="宋体" w:hAnsi="宋体" w:eastAsia="宋体" w:cs="Times New Roman"/>
          <w:sz w:val="24"/>
          <w:highlight w:val="none"/>
          <w:lang w:val="en-US" w:eastAsia="zh-CN"/>
        </w:rPr>
        <w:t>评审标准</w:t>
      </w:r>
      <w:r>
        <w:rPr>
          <w:rFonts w:hint="eastAsia" w:ascii="宋体" w:hAnsi="宋体" w:eastAsia="宋体"/>
          <w:sz w:val="24"/>
          <w:highlight w:val="none"/>
          <w:lang w:val="en-US" w:eastAsia="zh-CN"/>
        </w:rPr>
        <w:t>第（1）项至第（3）项中的数值标准，但是最高不得超过65%。</w:t>
      </w:r>
    </w:p>
    <w:p w14:paraId="153DDD6B">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rPr>
        <w:t>磋商小组启动异常低价响应审查后，属于评审标准中第（1）项至第（4）项情形的，应当要求相关供应商在评审现场合理的时间内（不少于30分钟）对响应价格作出解释，提供项目具体成本测算等与报价合理性相关的书面说明及必要的证明材料，包括但不限于原材料成本、人工成本、制造费用等。其中，属于第</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3</w:t>
      </w:r>
      <w:r>
        <w:rPr>
          <w:rFonts w:hint="eastAsia" w:ascii="宋体" w:hAnsi="宋体" w:eastAsia="宋体"/>
          <w:sz w:val="24"/>
          <w:highlight w:val="none"/>
          <w:lang w:eastAsia="zh-CN"/>
        </w:rPr>
        <w:t>）</w:t>
      </w:r>
      <w:r>
        <w:rPr>
          <w:rFonts w:hint="eastAsia" w:ascii="宋体" w:hAnsi="宋体" w:eastAsia="宋体"/>
          <w:sz w:val="24"/>
          <w:highlight w:val="none"/>
        </w:rPr>
        <w:t>项情形，供应商已随响应文件一并提交相关书面说明及必要的证明材料的，在评审现场可不再重复提交。</w:t>
      </w:r>
    </w:p>
    <w:p w14:paraId="5A95ACF3">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rPr>
        <w:t xml:space="preserve">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 </w:t>
      </w:r>
    </w:p>
    <w:p w14:paraId="76AE4267">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rPr>
        <w:t>磋商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磋商小组有关互联网浏览、查询历史一并归档。</w:t>
      </w:r>
    </w:p>
    <w:p w14:paraId="25FAD4AF">
      <w:pPr>
        <w:spacing w:line="360" w:lineRule="auto"/>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3</w:t>
      </w:r>
      <w:r>
        <w:rPr>
          <w:rFonts w:hint="eastAsia" w:asciiTheme="minorEastAsia" w:hAnsiTheme="minorEastAsia" w:eastAsiaTheme="minorEastAsia"/>
          <w:b/>
          <w:color w:val="auto"/>
          <w:sz w:val="24"/>
          <w:highlight w:val="none"/>
        </w:rPr>
        <w:t>综合评分</w:t>
      </w:r>
    </w:p>
    <w:p w14:paraId="1E82D52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磋商小组按照下表对</w:t>
      </w:r>
      <w:r>
        <w:rPr>
          <w:rFonts w:hint="eastAsia" w:ascii="宋体" w:hAnsi="宋体" w:eastAsia="宋体"/>
          <w:color w:val="auto"/>
          <w:sz w:val="24"/>
          <w:highlight w:val="none"/>
        </w:rPr>
        <w:t>进入综合评分的所有供应商的</w:t>
      </w:r>
      <w:r>
        <w:rPr>
          <w:rFonts w:hint="eastAsia" w:asciiTheme="minorEastAsia" w:hAnsiTheme="minorEastAsia" w:eastAsiaTheme="minorEastAsia"/>
          <w:color w:val="auto"/>
          <w:sz w:val="24"/>
          <w:highlight w:val="none"/>
        </w:rPr>
        <w:t>响应文件进行综合评分。</w:t>
      </w:r>
    </w:p>
    <w:p w14:paraId="5A302DE9">
      <w:pPr>
        <w:spacing w:line="360" w:lineRule="auto"/>
        <w:ind w:firstLine="435"/>
        <w:rPr>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rPr>
        <w:t>本项目综合评分满分为1</w:t>
      </w:r>
      <w:r>
        <w:rPr>
          <w:rFonts w:asciiTheme="minorEastAsia" w:hAnsiTheme="minorEastAsia" w:eastAsiaTheme="minorEastAsia"/>
          <w:color w:val="auto"/>
          <w:sz w:val="24"/>
          <w:highlight w:val="none"/>
        </w:rPr>
        <w:t>00</w:t>
      </w:r>
      <w:r>
        <w:rPr>
          <w:rFonts w:hint="eastAsia" w:asciiTheme="minorEastAsia" w:hAnsiTheme="minorEastAsia" w:eastAsiaTheme="minorEastAsia"/>
          <w:color w:val="auto"/>
          <w:sz w:val="24"/>
          <w:highlight w:val="none"/>
        </w:rPr>
        <w:t>分，其中：技术资信分值占总分值的权重为</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lang w:val="en-US" w:eastAsia="zh-CN"/>
        </w:rPr>
        <w:t>87</w:t>
      </w:r>
      <w:r>
        <w:rPr>
          <w:rFonts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rPr>
        <w:t>%，价格分值占总分值的权重为</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lang w:val="en-US" w:eastAsia="zh-CN"/>
        </w:rPr>
        <w:t>13</w:t>
      </w:r>
      <w:r>
        <w:rPr>
          <w:rFonts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rPr>
        <w:t>%。具体评分细则如下：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330"/>
        <w:gridCol w:w="4727"/>
        <w:gridCol w:w="994"/>
      </w:tblGrid>
      <w:tr w14:paraId="0CFC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863" w:type="pct"/>
            <w:tcBorders>
              <w:top w:val="single" w:color="auto" w:sz="4" w:space="0"/>
              <w:left w:val="single" w:color="auto" w:sz="4" w:space="0"/>
              <w:bottom w:val="single" w:color="auto" w:sz="4" w:space="0"/>
              <w:right w:val="single" w:color="auto" w:sz="4" w:space="0"/>
            </w:tcBorders>
            <w:vAlign w:val="center"/>
          </w:tcPr>
          <w:p w14:paraId="2C6657E2">
            <w:pPr>
              <w:jc w:val="center"/>
              <w:rPr>
                <w:rFonts w:hint="eastAsia" w:ascii="宋体" w:hAnsi="宋体" w:eastAsia="宋体" w:cs="宋体"/>
                <w:sz w:val="24"/>
                <w:szCs w:val="24"/>
              </w:rPr>
            </w:pPr>
            <w:r>
              <w:rPr>
                <w:rFonts w:hint="eastAsia" w:ascii="宋体" w:hAnsi="宋体" w:eastAsia="宋体" w:cs="宋体"/>
                <w:sz w:val="24"/>
                <w:szCs w:val="24"/>
              </w:rPr>
              <w:t>类别</w:t>
            </w:r>
          </w:p>
        </w:tc>
        <w:tc>
          <w:tcPr>
            <w:tcW w:w="780" w:type="pct"/>
            <w:tcBorders>
              <w:top w:val="single" w:color="auto" w:sz="4" w:space="0"/>
              <w:left w:val="single" w:color="auto" w:sz="4" w:space="0"/>
              <w:bottom w:val="single" w:color="auto" w:sz="4" w:space="0"/>
              <w:right w:val="single" w:color="auto" w:sz="4" w:space="0"/>
            </w:tcBorders>
            <w:vAlign w:val="center"/>
          </w:tcPr>
          <w:p w14:paraId="292231AA">
            <w:pPr>
              <w:jc w:val="center"/>
              <w:rPr>
                <w:rFonts w:hint="eastAsia" w:ascii="宋体" w:hAnsi="宋体" w:eastAsia="宋体" w:cs="宋体"/>
                <w:sz w:val="24"/>
                <w:szCs w:val="24"/>
              </w:rPr>
            </w:pPr>
            <w:r>
              <w:rPr>
                <w:rFonts w:hint="eastAsia" w:ascii="宋体" w:hAnsi="宋体" w:eastAsia="宋体" w:cs="宋体"/>
                <w:sz w:val="24"/>
                <w:szCs w:val="24"/>
              </w:rPr>
              <w:t>评分内容</w:t>
            </w:r>
          </w:p>
        </w:tc>
        <w:tc>
          <w:tcPr>
            <w:tcW w:w="2773" w:type="pct"/>
            <w:tcBorders>
              <w:top w:val="single" w:color="auto" w:sz="4" w:space="0"/>
              <w:left w:val="single" w:color="auto" w:sz="4" w:space="0"/>
              <w:bottom w:val="single" w:color="auto" w:sz="4" w:space="0"/>
              <w:right w:val="single" w:color="auto" w:sz="4" w:space="0"/>
            </w:tcBorders>
            <w:vAlign w:val="center"/>
          </w:tcPr>
          <w:p w14:paraId="407A0665">
            <w:pPr>
              <w:jc w:val="center"/>
              <w:rPr>
                <w:rFonts w:hint="eastAsia" w:ascii="宋体" w:hAnsi="宋体" w:eastAsia="宋体" w:cs="宋体"/>
                <w:sz w:val="24"/>
                <w:szCs w:val="24"/>
              </w:rPr>
            </w:pPr>
            <w:r>
              <w:rPr>
                <w:rFonts w:hint="eastAsia" w:ascii="宋体" w:hAnsi="宋体" w:eastAsia="宋体" w:cs="宋体"/>
                <w:sz w:val="24"/>
                <w:szCs w:val="24"/>
              </w:rPr>
              <w:t>评分标准</w:t>
            </w:r>
          </w:p>
        </w:tc>
        <w:tc>
          <w:tcPr>
            <w:tcW w:w="583" w:type="pct"/>
            <w:tcBorders>
              <w:top w:val="single" w:color="auto" w:sz="4" w:space="0"/>
              <w:left w:val="single" w:color="auto" w:sz="4" w:space="0"/>
              <w:bottom w:val="single" w:color="auto" w:sz="4" w:space="0"/>
              <w:right w:val="single" w:color="auto" w:sz="4" w:space="0"/>
            </w:tcBorders>
            <w:vAlign w:val="center"/>
          </w:tcPr>
          <w:p w14:paraId="0E342E24">
            <w:pPr>
              <w:jc w:val="center"/>
              <w:rPr>
                <w:rFonts w:hint="eastAsia" w:ascii="宋体" w:hAnsi="宋体" w:eastAsia="宋体" w:cs="宋体"/>
                <w:sz w:val="24"/>
                <w:szCs w:val="24"/>
              </w:rPr>
            </w:pPr>
            <w:r>
              <w:rPr>
                <w:rFonts w:hint="eastAsia" w:ascii="宋体" w:hAnsi="宋体" w:eastAsia="宋体" w:cs="宋体"/>
                <w:sz w:val="24"/>
                <w:szCs w:val="24"/>
              </w:rPr>
              <w:t>分值范围</w:t>
            </w:r>
          </w:p>
        </w:tc>
      </w:tr>
      <w:tr w14:paraId="7E6D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5" w:hRule="atLeast"/>
          <w:jc w:val="center"/>
        </w:trPr>
        <w:tc>
          <w:tcPr>
            <w:tcW w:w="863" w:type="pct"/>
            <w:vMerge w:val="restart"/>
            <w:tcBorders>
              <w:top w:val="single" w:color="auto" w:sz="4" w:space="0"/>
              <w:left w:val="single" w:color="auto" w:sz="4" w:space="0"/>
              <w:right w:val="single" w:color="auto" w:sz="4" w:space="0"/>
            </w:tcBorders>
            <w:vAlign w:val="center"/>
          </w:tcPr>
          <w:p w14:paraId="6511DB5E">
            <w:pPr>
              <w:rPr>
                <w:rFonts w:hint="eastAsia" w:ascii="宋体" w:hAnsi="宋体" w:eastAsia="宋体" w:cs="宋体"/>
                <w:sz w:val="24"/>
                <w:szCs w:val="24"/>
              </w:rPr>
            </w:pPr>
            <w:r>
              <w:rPr>
                <w:rFonts w:hint="eastAsia" w:ascii="宋体" w:hAnsi="宋体" w:eastAsia="宋体" w:cs="宋体"/>
                <w:sz w:val="24"/>
                <w:szCs w:val="24"/>
              </w:rPr>
              <w:t>技术资信分</w:t>
            </w:r>
          </w:p>
          <w:p w14:paraId="1DA53BB0">
            <w:pP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87</w:t>
            </w:r>
            <w:r>
              <w:rPr>
                <w:rFonts w:hint="eastAsia" w:ascii="宋体" w:hAnsi="宋体" w:eastAsia="宋体" w:cs="宋体"/>
                <w:sz w:val="24"/>
                <w:szCs w:val="24"/>
              </w:rPr>
              <w:t>分）</w:t>
            </w:r>
          </w:p>
        </w:tc>
        <w:tc>
          <w:tcPr>
            <w:tcW w:w="780" w:type="pct"/>
            <w:tcBorders>
              <w:top w:val="single" w:color="auto" w:sz="4" w:space="0"/>
              <w:left w:val="single" w:color="auto" w:sz="4" w:space="0"/>
              <w:bottom w:val="single" w:color="auto" w:sz="4" w:space="0"/>
              <w:right w:val="single" w:color="auto" w:sz="4" w:space="0"/>
            </w:tcBorders>
            <w:vAlign w:val="center"/>
          </w:tcPr>
          <w:p w14:paraId="5ABEB18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资信业绩</w:t>
            </w:r>
          </w:p>
        </w:tc>
        <w:tc>
          <w:tcPr>
            <w:tcW w:w="2773" w:type="pct"/>
            <w:tcBorders>
              <w:top w:val="single" w:color="auto" w:sz="4" w:space="0"/>
              <w:left w:val="single" w:color="auto" w:sz="4" w:space="0"/>
              <w:bottom w:val="single" w:color="auto" w:sz="4" w:space="0"/>
              <w:right w:val="single" w:color="auto" w:sz="4" w:space="0"/>
            </w:tcBorders>
            <w:vAlign w:val="center"/>
          </w:tcPr>
          <w:p w14:paraId="480131B6">
            <w:pPr>
              <w:jc w:val="left"/>
              <w:rPr>
                <w:rFonts w:hint="eastAsia" w:ascii="宋体" w:hAnsi="宋体" w:eastAsia="宋体" w:cs="宋体"/>
                <w:sz w:val="24"/>
                <w:szCs w:val="24"/>
              </w:rPr>
            </w:pPr>
            <w:r>
              <w:rPr>
                <w:rFonts w:hint="eastAsia" w:ascii="宋体" w:hAnsi="宋体" w:eastAsia="宋体" w:cs="宋体"/>
                <w:sz w:val="24"/>
                <w:szCs w:val="24"/>
                <w:lang w:val="en-US" w:eastAsia="zh-CN"/>
              </w:rPr>
              <w:t>投标供应商</w:t>
            </w:r>
            <w:r>
              <w:rPr>
                <w:rFonts w:hint="eastAsia" w:ascii="宋体" w:hAnsi="宋体" w:eastAsia="宋体" w:cs="宋体"/>
                <w:sz w:val="24"/>
                <w:szCs w:val="24"/>
              </w:rPr>
              <w:t>自</w:t>
            </w:r>
            <w:r>
              <w:rPr>
                <w:rFonts w:hint="eastAsia" w:ascii="宋体" w:hAnsi="宋体" w:eastAsia="宋体" w:cs="宋体"/>
                <w:sz w:val="24"/>
                <w:szCs w:val="24"/>
                <w:lang w:val="en-US" w:eastAsia="zh-CN"/>
              </w:rPr>
              <w:t>2023年1月1日至今，具有合同价款20万元（含）及以上的公共建筑电梯维保服务业绩的，</w:t>
            </w:r>
            <w:r>
              <w:rPr>
                <w:rFonts w:hint="eastAsia" w:ascii="宋体" w:hAnsi="宋体" w:eastAsia="宋体" w:cs="宋体"/>
                <w:sz w:val="24"/>
                <w:szCs w:val="24"/>
              </w:rPr>
              <w:t>每提供一个</w:t>
            </w:r>
            <w:r>
              <w:rPr>
                <w:rFonts w:hint="eastAsia" w:ascii="宋体" w:hAnsi="宋体" w:eastAsia="宋体" w:cs="宋体"/>
                <w:sz w:val="24"/>
                <w:szCs w:val="24"/>
                <w:lang w:val="en-US" w:eastAsia="zh-CN"/>
              </w:rPr>
              <w:t>业绩，</w:t>
            </w:r>
            <w:r>
              <w:rPr>
                <w:rFonts w:hint="eastAsia" w:ascii="宋体" w:hAnsi="宋体" w:eastAsia="宋体" w:cs="宋体"/>
                <w:sz w:val="24"/>
                <w:szCs w:val="24"/>
              </w:rPr>
              <w:t>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r>
              <w:rPr>
                <w:rFonts w:hint="eastAsia" w:ascii="宋体" w:hAnsi="宋体" w:eastAsia="宋体" w:cs="宋体"/>
                <w:sz w:val="24"/>
                <w:szCs w:val="24"/>
                <w:lang w:val="en-US" w:eastAsia="zh-CN"/>
              </w:rPr>
              <w:t>本项</w:t>
            </w:r>
            <w:r>
              <w:rPr>
                <w:rFonts w:hint="eastAsia" w:ascii="宋体" w:hAnsi="宋体" w:eastAsia="宋体" w:cs="宋体"/>
                <w:sz w:val="24"/>
                <w:szCs w:val="24"/>
              </w:rPr>
              <w:t>最高得</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p w14:paraId="67A6D8CA">
            <w:pPr>
              <w:pStyle w:val="8"/>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注：投标文件中提供业绩合同复印件（加盖公章），若合同无法体现签订时间、金额、服务内容等关键评审因素的，需另附招标人（合同甲方）证明材料。</w:t>
            </w:r>
          </w:p>
        </w:tc>
        <w:tc>
          <w:tcPr>
            <w:tcW w:w="583" w:type="pct"/>
            <w:tcBorders>
              <w:top w:val="single" w:color="auto" w:sz="4" w:space="0"/>
              <w:left w:val="single" w:color="auto" w:sz="4" w:space="0"/>
              <w:bottom w:val="single" w:color="auto" w:sz="4" w:space="0"/>
              <w:right w:val="single" w:color="auto" w:sz="4" w:space="0"/>
            </w:tcBorders>
            <w:vAlign w:val="center"/>
          </w:tcPr>
          <w:p w14:paraId="6054DD3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0-10分</w:t>
            </w:r>
          </w:p>
        </w:tc>
      </w:tr>
      <w:tr w14:paraId="0E02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63" w:type="pct"/>
            <w:vMerge w:val="continue"/>
            <w:tcBorders>
              <w:left w:val="single" w:color="auto" w:sz="4" w:space="0"/>
              <w:right w:val="single" w:color="auto" w:sz="4" w:space="0"/>
            </w:tcBorders>
            <w:vAlign w:val="center"/>
          </w:tcPr>
          <w:p w14:paraId="62427C1B">
            <w:pPr>
              <w:rPr>
                <w:rFonts w:hint="eastAsia" w:ascii="宋体" w:hAnsi="宋体" w:eastAsia="宋体" w:cs="宋体"/>
                <w:sz w:val="24"/>
                <w:szCs w:val="24"/>
              </w:rPr>
            </w:pPr>
          </w:p>
        </w:tc>
        <w:tc>
          <w:tcPr>
            <w:tcW w:w="780" w:type="pct"/>
            <w:tcBorders>
              <w:top w:val="single" w:color="auto" w:sz="4" w:space="0"/>
              <w:left w:val="single" w:color="auto" w:sz="4" w:space="0"/>
              <w:bottom w:val="single" w:color="auto" w:sz="4" w:space="0"/>
              <w:right w:val="single" w:color="auto" w:sz="4" w:space="0"/>
            </w:tcBorders>
            <w:vAlign w:val="center"/>
          </w:tcPr>
          <w:p w14:paraId="6B38DAF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资信人员</w:t>
            </w:r>
          </w:p>
          <w:p w14:paraId="5E354BD8">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配备</w:t>
            </w:r>
          </w:p>
        </w:tc>
        <w:tc>
          <w:tcPr>
            <w:tcW w:w="2773" w:type="pct"/>
            <w:tcBorders>
              <w:top w:val="single" w:color="auto" w:sz="4" w:space="0"/>
              <w:left w:val="single" w:color="auto" w:sz="4" w:space="0"/>
              <w:bottom w:val="single" w:color="auto" w:sz="4" w:space="0"/>
              <w:right w:val="single" w:color="auto" w:sz="4" w:space="0"/>
            </w:tcBorders>
            <w:vAlign w:val="center"/>
          </w:tcPr>
          <w:p w14:paraId="56978FC0">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针对本项目配备专职人员：</w:t>
            </w:r>
          </w:p>
          <w:p w14:paraId="6B296697">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投标供应商拟派的技术负责人具有机电工程二级及以上注册建造师证书（注册在本单位）的得5分，且同时具有市场监督管理部门颁发的特种设备安全管理和作业人员T证、具有应急管理部门颁发的焊接与热切割作业证和电工作业证的，每具有一个证书的得2分，最高得6分；本项最高得11分。</w:t>
            </w:r>
          </w:p>
          <w:p w14:paraId="4C2907F4">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2、拟派作业人员：具有特种设备作业人员T证书（电梯修理）的，每提供一人的，得2分，本项最高得16分。</w:t>
            </w:r>
          </w:p>
          <w:p w14:paraId="594CF787">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3、拟派安全管理人员：拟派的安全管理人员同时具有特种设备安全管理员A证和特种设备作业人员T证的，得5分。</w:t>
            </w:r>
          </w:p>
          <w:p w14:paraId="31228BFE">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4、其他人员：拟派其他人员具有市级及以上特种设备检测部门颁发职业技能证书的，得5分。</w:t>
            </w:r>
          </w:p>
          <w:p w14:paraId="77E4EC02">
            <w:pPr>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上述人员不得兼任，提供证书复印件加盖公章，提供上述人员须持有社保部门出具的本单位（或其分公司）为其缴纳的投标前近三个月内任意一个月的养老保险证明（含官网在线打印件，证明文件两个月内有效）。</w:t>
            </w:r>
          </w:p>
          <w:p w14:paraId="1B3EED29">
            <w:pPr>
              <w:jc w:val="left"/>
              <w:rPr>
                <w:rFonts w:hint="eastAsia" w:ascii="宋体" w:hAnsi="宋体" w:eastAsia="宋体" w:cs="宋体"/>
                <w:sz w:val="24"/>
                <w:szCs w:val="24"/>
                <w:lang w:val="en-US" w:eastAsia="zh-CN"/>
              </w:rPr>
            </w:pPr>
          </w:p>
        </w:tc>
        <w:tc>
          <w:tcPr>
            <w:tcW w:w="583" w:type="pct"/>
            <w:tcBorders>
              <w:top w:val="single" w:color="auto" w:sz="4" w:space="0"/>
              <w:left w:val="single" w:color="auto" w:sz="4" w:space="0"/>
              <w:bottom w:val="single" w:color="auto" w:sz="4" w:space="0"/>
              <w:right w:val="single" w:color="auto" w:sz="4" w:space="0"/>
            </w:tcBorders>
            <w:vAlign w:val="center"/>
          </w:tcPr>
          <w:p w14:paraId="482C374B">
            <w:pPr>
              <w:jc w:val="center"/>
              <w:rPr>
                <w:rFonts w:hint="eastAsia" w:ascii="宋体" w:hAnsi="宋体" w:eastAsia="宋体" w:cs="宋体"/>
                <w:sz w:val="24"/>
                <w:szCs w:val="24"/>
              </w:rPr>
            </w:pPr>
            <w:r>
              <w:rPr>
                <w:rFonts w:hint="eastAsia" w:ascii="宋体" w:hAnsi="宋体" w:eastAsia="宋体" w:cs="宋体"/>
                <w:sz w:val="24"/>
                <w:szCs w:val="24"/>
                <w:lang w:val="en-US" w:eastAsia="zh-CN"/>
              </w:rPr>
              <w:t>0-37分</w:t>
            </w:r>
          </w:p>
        </w:tc>
      </w:tr>
      <w:tr w14:paraId="6095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jc w:val="center"/>
        </w:trPr>
        <w:tc>
          <w:tcPr>
            <w:tcW w:w="863" w:type="pct"/>
            <w:vMerge w:val="continue"/>
            <w:tcBorders>
              <w:left w:val="single" w:color="auto" w:sz="4" w:space="0"/>
              <w:right w:val="single" w:color="auto" w:sz="4" w:space="0"/>
            </w:tcBorders>
            <w:vAlign w:val="center"/>
          </w:tcPr>
          <w:p w14:paraId="54D0BC04">
            <w:pPr>
              <w:rPr>
                <w:rFonts w:hint="eastAsia" w:ascii="宋体" w:hAnsi="宋体" w:eastAsia="宋体" w:cs="宋体"/>
                <w:sz w:val="24"/>
                <w:szCs w:val="24"/>
              </w:rPr>
            </w:pPr>
          </w:p>
        </w:tc>
        <w:tc>
          <w:tcPr>
            <w:tcW w:w="780" w:type="pct"/>
            <w:tcBorders>
              <w:top w:val="single" w:color="auto" w:sz="4" w:space="0"/>
              <w:left w:val="single" w:color="auto" w:sz="4" w:space="0"/>
              <w:bottom w:val="single" w:color="auto" w:sz="4" w:space="0"/>
              <w:right w:val="single" w:color="auto" w:sz="4" w:space="0"/>
            </w:tcBorders>
            <w:vAlign w:val="center"/>
          </w:tcPr>
          <w:p w14:paraId="290690A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lang w:val="en-US" w:eastAsia="zh-CN"/>
              </w:rPr>
              <w:t>维保评价</w:t>
            </w:r>
          </w:p>
        </w:tc>
        <w:tc>
          <w:tcPr>
            <w:tcW w:w="2773" w:type="pct"/>
            <w:tcBorders>
              <w:top w:val="single" w:color="auto" w:sz="4" w:space="0"/>
              <w:left w:val="single" w:color="auto" w:sz="4" w:space="0"/>
              <w:bottom w:val="single" w:color="auto" w:sz="4" w:space="0"/>
              <w:right w:val="single" w:color="auto" w:sz="4" w:space="0"/>
            </w:tcBorders>
            <w:vAlign w:val="center"/>
          </w:tcPr>
          <w:p w14:paraId="7EFB38F3">
            <w:pPr>
              <w:keepNext w:val="0"/>
              <w:keepLines w:val="0"/>
              <w:widowControl/>
              <w:numPr>
                <w:ilvl w:val="0"/>
                <w:numId w:val="0"/>
              </w:numPr>
              <w:suppressLineNumbers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投标供应商提供近3年中获得过市场监督管理部门（市级及以上）颁发的信用评价为B级及以上维保单位的得5分，C级维保单位的得3分，D级维保单位的得1分。</w:t>
            </w:r>
          </w:p>
          <w:p w14:paraId="01070E82">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提供有效的证明材料并加盖供应商公章，须能反映本细则规定的评审内容，否则不予得分</w:t>
            </w:r>
          </w:p>
        </w:tc>
        <w:tc>
          <w:tcPr>
            <w:tcW w:w="583" w:type="pct"/>
            <w:tcBorders>
              <w:top w:val="single" w:color="auto" w:sz="4" w:space="0"/>
              <w:left w:val="single" w:color="auto" w:sz="4" w:space="0"/>
              <w:bottom w:val="single" w:color="auto" w:sz="4" w:space="0"/>
              <w:right w:val="single" w:color="auto" w:sz="4" w:space="0"/>
            </w:tcBorders>
            <w:vAlign w:val="center"/>
          </w:tcPr>
          <w:p w14:paraId="11856581">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0-5分</w:t>
            </w:r>
          </w:p>
        </w:tc>
      </w:tr>
      <w:tr w14:paraId="28D9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jc w:val="center"/>
        </w:trPr>
        <w:tc>
          <w:tcPr>
            <w:tcW w:w="863" w:type="pct"/>
            <w:vMerge w:val="continue"/>
            <w:tcBorders>
              <w:left w:val="single" w:color="auto" w:sz="4" w:space="0"/>
              <w:right w:val="single" w:color="auto" w:sz="4" w:space="0"/>
            </w:tcBorders>
            <w:vAlign w:val="center"/>
          </w:tcPr>
          <w:p w14:paraId="120E5471">
            <w:pPr>
              <w:rPr>
                <w:rFonts w:hint="eastAsia" w:ascii="宋体" w:hAnsi="宋体" w:eastAsia="宋体" w:cs="宋体"/>
                <w:sz w:val="24"/>
                <w:szCs w:val="24"/>
              </w:rPr>
            </w:pPr>
          </w:p>
        </w:tc>
        <w:tc>
          <w:tcPr>
            <w:tcW w:w="780" w:type="pct"/>
            <w:tcBorders>
              <w:top w:val="single" w:color="auto" w:sz="4" w:space="0"/>
              <w:left w:val="single" w:color="auto" w:sz="4" w:space="0"/>
              <w:bottom w:val="single" w:color="auto" w:sz="4" w:space="0"/>
              <w:right w:val="single" w:color="auto" w:sz="4" w:space="0"/>
            </w:tcBorders>
            <w:vAlign w:val="center"/>
          </w:tcPr>
          <w:p w14:paraId="0F7A709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lang w:val="en-US" w:eastAsia="zh-CN"/>
              </w:rPr>
              <w:t>电梯稳定性</w:t>
            </w:r>
          </w:p>
        </w:tc>
        <w:tc>
          <w:tcPr>
            <w:tcW w:w="2773" w:type="pct"/>
            <w:tcBorders>
              <w:top w:val="single" w:color="auto" w:sz="4" w:space="0"/>
              <w:left w:val="single" w:color="auto" w:sz="4" w:space="0"/>
              <w:bottom w:val="single" w:color="auto" w:sz="4" w:space="0"/>
              <w:right w:val="single" w:color="auto" w:sz="4" w:space="0"/>
            </w:tcBorders>
            <w:vAlign w:val="center"/>
          </w:tcPr>
          <w:p w14:paraId="7FC15734">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sz w:val="24"/>
                <w:szCs w:val="24"/>
                <w:lang w:val="en-US" w:eastAsia="zh-CN"/>
              </w:rPr>
              <w:t>根据电梯运行稳定性需求，各投标供应商维修所使用的电梯零部件能确保与原有电梯相同材质及规格或优于原有设备的，保证与原结构合理联接，保证最终安装质量和安全性能，满足电梯检验标准和规范，</w:t>
            </w:r>
            <w:r>
              <w:rPr>
                <w:rFonts w:hint="eastAsia" w:ascii="宋体" w:hAnsi="宋体" w:eastAsia="宋体" w:cs="宋体"/>
                <w:b/>
                <w:bCs/>
                <w:sz w:val="24"/>
                <w:szCs w:val="24"/>
                <w:lang w:val="en-US" w:eastAsia="zh-CN"/>
              </w:rPr>
              <w:t>提供承诺书（</w:t>
            </w:r>
            <w:r>
              <w:rPr>
                <w:rFonts w:hint="eastAsia" w:ascii="宋体" w:hAnsi="宋体" w:eastAsia="宋体" w:cs="宋体"/>
                <w:b/>
                <w:bCs/>
                <w:color w:val="000000"/>
                <w:kern w:val="0"/>
                <w:sz w:val="24"/>
                <w:szCs w:val="24"/>
                <w:lang w:val="en-US" w:eastAsia="zh-CN" w:bidi="ar"/>
              </w:rPr>
              <w:t>加盖供应商公章</w:t>
            </w:r>
            <w:r>
              <w:rPr>
                <w:rFonts w:hint="eastAsia" w:ascii="宋体" w:hAnsi="宋体" w:eastAsia="宋体" w:cs="宋体"/>
                <w:b/>
                <w:bCs/>
                <w:sz w:val="24"/>
                <w:szCs w:val="24"/>
                <w:lang w:val="en-US" w:eastAsia="zh-CN"/>
              </w:rPr>
              <w:t>），得10分。</w:t>
            </w:r>
          </w:p>
        </w:tc>
        <w:tc>
          <w:tcPr>
            <w:tcW w:w="583" w:type="pct"/>
            <w:tcBorders>
              <w:top w:val="single" w:color="auto" w:sz="4" w:space="0"/>
              <w:left w:val="single" w:color="auto" w:sz="4" w:space="0"/>
              <w:bottom w:val="single" w:color="auto" w:sz="4" w:space="0"/>
              <w:right w:val="single" w:color="auto" w:sz="4" w:space="0"/>
            </w:tcBorders>
            <w:vAlign w:val="center"/>
          </w:tcPr>
          <w:p w14:paraId="125A288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0-10分</w:t>
            </w:r>
          </w:p>
        </w:tc>
      </w:tr>
      <w:tr w14:paraId="726B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863" w:type="pct"/>
            <w:vMerge w:val="continue"/>
            <w:tcBorders>
              <w:left w:val="single" w:color="auto" w:sz="4" w:space="0"/>
              <w:right w:val="single" w:color="auto" w:sz="4" w:space="0"/>
            </w:tcBorders>
            <w:vAlign w:val="center"/>
          </w:tcPr>
          <w:p w14:paraId="392182E5">
            <w:pPr>
              <w:rPr>
                <w:rFonts w:hint="eastAsia" w:ascii="宋体" w:hAnsi="宋体" w:eastAsia="宋体" w:cs="宋体"/>
                <w:sz w:val="24"/>
                <w:szCs w:val="24"/>
              </w:rPr>
            </w:pPr>
          </w:p>
        </w:tc>
        <w:tc>
          <w:tcPr>
            <w:tcW w:w="780" w:type="pct"/>
            <w:tcBorders>
              <w:top w:val="single" w:color="auto" w:sz="4" w:space="0"/>
              <w:left w:val="single" w:color="auto" w:sz="4" w:space="0"/>
              <w:bottom w:val="single" w:color="auto" w:sz="4" w:space="0"/>
              <w:right w:val="single" w:color="auto" w:sz="4" w:space="0"/>
            </w:tcBorders>
            <w:vAlign w:val="center"/>
          </w:tcPr>
          <w:p w14:paraId="5D1B9C7D">
            <w:pPr>
              <w:adjustRightInd w:val="0"/>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行政处罚</w:t>
            </w:r>
          </w:p>
        </w:tc>
        <w:tc>
          <w:tcPr>
            <w:tcW w:w="2773" w:type="pct"/>
            <w:tcBorders>
              <w:top w:val="single" w:color="auto" w:sz="4" w:space="0"/>
              <w:left w:val="single" w:color="auto" w:sz="4" w:space="0"/>
              <w:bottom w:val="single" w:color="auto" w:sz="4" w:space="0"/>
              <w:right w:val="single" w:color="auto" w:sz="4" w:space="0"/>
            </w:tcBorders>
            <w:vAlign w:val="center"/>
          </w:tcPr>
          <w:p w14:paraId="147FEA6E">
            <w:pPr>
              <w:adjustRightInd w:val="0"/>
              <w:snapToGrid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投标供</w:t>
            </w:r>
            <w:r>
              <w:rPr>
                <w:rFonts w:hint="eastAsia" w:ascii="宋体" w:hAnsi="宋体" w:eastAsia="宋体" w:cs="宋体"/>
                <w:b w:val="0"/>
                <w:bCs w:val="0"/>
                <w:sz w:val="24"/>
                <w:szCs w:val="24"/>
                <w:lang w:val="en-US" w:eastAsia="zh-CN"/>
              </w:rPr>
              <w:t>应商在电梯维保服务中从未受到过行政处罚的，得5分，其余不得分。</w:t>
            </w:r>
            <w:r>
              <w:rPr>
                <w:rFonts w:hint="eastAsia" w:ascii="宋体" w:hAnsi="宋体" w:eastAsia="宋体" w:cs="宋体"/>
                <w:b/>
                <w:bCs/>
                <w:sz w:val="24"/>
                <w:szCs w:val="24"/>
                <w:lang w:val="en-US" w:eastAsia="zh-CN"/>
              </w:rPr>
              <w:t>提供信用中国网页截图及承诺书（</w:t>
            </w:r>
            <w:r>
              <w:rPr>
                <w:rFonts w:hint="eastAsia" w:ascii="宋体" w:hAnsi="宋体" w:eastAsia="宋体" w:cs="宋体"/>
                <w:b/>
                <w:bCs/>
                <w:color w:val="000000"/>
                <w:kern w:val="0"/>
                <w:sz w:val="24"/>
                <w:szCs w:val="24"/>
                <w:lang w:val="en-US" w:eastAsia="zh-CN" w:bidi="ar"/>
              </w:rPr>
              <w:t>加盖供应商公章</w:t>
            </w:r>
            <w:r>
              <w:rPr>
                <w:rFonts w:hint="eastAsia" w:ascii="宋体" w:hAnsi="宋体" w:eastAsia="宋体" w:cs="宋体"/>
                <w:b/>
                <w:bCs/>
                <w:sz w:val="24"/>
                <w:szCs w:val="24"/>
                <w:lang w:val="en-US" w:eastAsia="zh-CN"/>
              </w:rPr>
              <w:t>）</w:t>
            </w:r>
          </w:p>
        </w:tc>
        <w:tc>
          <w:tcPr>
            <w:tcW w:w="583" w:type="pct"/>
            <w:tcBorders>
              <w:top w:val="single" w:color="auto" w:sz="4" w:space="0"/>
              <w:left w:val="single" w:color="auto" w:sz="4" w:space="0"/>
              <w:bottom w:val="single" w:color="auto" w:sz="4" w:space="0"/>
              <w:right w:val="single" w:color="auto" w:sz="4" w:space="0"/>
            </w:tcBorders>
            <w:vAlign w:val="center"/>
          </w:tcPr>
          <w:p w14:paraId="2DE7A58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0-5分</w:t>
            </w:r>
          </w:p>
        </w:tc>
      </w:tr>
      <w:tr w14:paraId="3C07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0" w:hRule="atLeast"/>
          <w:jc w:val="center"/>
        </w:trPr>
        <w:tc>
          <w:tcPr>
            <w:tcW w:w="863" w:type="pct"/>
            <w:vMerge w:val="continue"/>
            <w:tcBorders>
              <w:left w:val="single" w:color="auto" w:sz="4" w:space="0"/>
              <w:right w:val="single" w:color="auto" w:sz="4" w:space="0"/>
            </w:tcBorders>
            <w:vAlign w:val="center"/>
          </w:tcPr>
          <w:p w14:paraId="446EBAB5">
            <w:pPr>
              <w:rPr>
                <w:rFonts w:hint="eastAsia" w:ascii="宋体" w:hAnsi="宋体" w:eastAsia="宋体" w:cs="宋体"/>
                <w:sz w:val="24"/>
                <w:szCs w:val="24"/>
              </w:rPr>
            </w:pPr>
          </w:p>
        </w:tc>
        <w:tc>
          <w:tcPr>
            <w:tcW w:w="780" w:type="pct"/>
            <w:tcBorders>
              <w:top w:val="single" w:color="auto" w:sz="4" w:space="0"/>
              <w:left w:val="single" w:color="auto" w:sz="4" w:space="0"/>
              <w:bottom w:val="single" w:color="auto" w:sz="4" w:space="0"/>
              <w:right w:val="single" w:color="auto" w:sz="4" w:space="0"/>
            </w:tcBorders>
            <w:vAlign w:val="center"/>
          </w:tcPr>
          <w:p w14:paraId="211493AC">
            <w:pPr>
              <w:keepNext w:val="0"/>
              <w:keepLines w:val="0"/>
              <w:pageBreakBefore w:val="0"/>
              <w:widowControl w:val="0"/>
              <w:kinsoku/>
              <w:overflowPunct/>
              <w:autoSpaceDE/>
              <w:autoSpaceDN/>
              <w:bidi w:val="0"/>
              <w:adjustRightInd/>
              <w:snapToGrid/>
              <w:spacing w:line="400" w:lineRule="exact"/>
              <w:jc w:val="center"/>
              <w:rPr>
                <w:rFonts w:hint="eastAsia" w:ascii="宋体" w:hAnsi="宋体" w:eastAsia="宋体" w:cs="宋体"/>
                <w:sz w:val="24"/>
                <w:szCs w:val="24"/>
              </w:rPr>
            </w:pPr>
            <w:r>
              <w:rPr>
                <w:rFonts w:hint="eastAsia" w:ascii="宋体" w:hAnsi="宋体" w:eastAsia="宋体" w:cs="宋体"/>
                <w:sz w:val="24"/>
                <w:szCs w:val="24"/>
              </w:rPr>
              <w:t>管理服务水平的整体设想及策划</w:t>
            </w:r>
          </w:p>
        </w:tc>
        <w:tc>
          <w:tcPr>
            <w:tcW w:w="2773" w:type="pct"/>
            <w:tcBorders>
              <w:top w:val="single" w:color="auto" w:sz="4" w:space="0"/>
              <w:left w:val="single" w:color="auto" w:sz="4" w:space="0"/>
              <w:bottom w:val="single" w:color="auto" w:sz="4" w:space="0"/>
              <w:right w:val="single" w:color="auto" w:sz="4" w:space="0"/>
            </w:tcBorders>
            <w:vAlign w:val="center"/>
          </w:tcPr>
          <w:p w14:paraId="18A3513C">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根据有关法规、政策、标准及本项目特点，拟提出整体设想及策划，包括但不限于高标准、高水平管理的措施，管理深度和广度的做法，创造性、全方位贴心服务的意识等内容。评标委员会根据供应商提供的以上内容综合评分： </w:t>
            </w:r>
          </w:p>
          <w:p w14:paraId="35677C41">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①内容健全周密，完整详细，实施措施完善，得5分； </w:t>
            </w:r>
          </w:p>
          <w:p w14:paraId="5FBB5CA8">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②内容完整，有实施措施，符合实际需求的，得4分； </w:t>
            </w:r>
          </w:p>
          <w:p w14:paraId="52D7F09A">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③内容简单，合理的,得3分； </w:t>
            </w:r>
          </w:p>
          <w:p w14:paraId="62F78FE9">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④未提供不得分。</w:t>
            </w:r>
          </w:p>
        </w:tc>
        <w:tc>
          <w:tcPr>
            <w:tcW w:w="583" w:type="pct"/>
            <w:tcBorders>
              <w:top w:val="single" w:color="auto" w:sz="4" w:space="0"/>
              <w:left w:val="single" w:color="auto" w:sz="4" w:space="0"/>
              <w:bottom w:val="single" w:color="auto" w:sz="4" w:space="0"/>
              <w:right w:val="single" w:color="auto" w:sz="4" w:space="0"/>
            </w:tcBorders>
            <w:vAlign w:val="center"/>
          </w:tcPr>
          <w:p w14:paraId="2D13E42A">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0-5分</w:t>
            </w:r>
          </w:p>
        </w:tc>
      </w:tr>
      <w:tr w14:paraId="1648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863" w:type="pct"/>
            <w:vMerge w:val="continue"/>
            <w:tcBorders>
              <w:left w:val="single" w:color="auto" w:sz="4" w:space="0"/>
              <w:right w:val="single" w:color="auto" w:sz="4" w:space="0"/>
            </w:tcBorders>
            <w:vAlign w:val="center"/>
          </w:tcPr>
          <w:p w14:paraId="27F6960D">
            <w:pPr>
              <w:rPr>
                <w:rFonts w:hint="eastAsia" w:ascii="宋体" w:hAnsi="宋体" w:eastAsia="宋体" w:cs="宋体"/>
                <w:sz w:val="24"/>
                <w:szCs w:val="24"/>
              </w:rPr>
            </w:pPr>
          </w:p>
        </w:tc>
        <w:tc>
          <w:tcPr>
            <w:tcW w:w="780" w:type="pct"/>
            <w:tcBorders>
              <w:top w:val="single" w:color="auto" w:sz="4" w:space="0"/>
              <w:left w:val="single" w:color="auto" w:sz="4" w:space="0"/>
              <w:bottom w:val="single" w:color="auto" w:sz="4" w:space="0"/>
              <w:right w:val="single" w:color="auto" w:sz="4" w:space="0"/>
            </w:tcBorders>
            <w:vAlign w:val="center"/>
          </w:tcPr>
          <w:p w14:paraId="63E9A25D">
            <w:pPr>
              <w:keepNext w:val="0"/>
              <w:keepLines w:val="0"/>
              <w:pageBreakBefore w:val="0"/>
              <w:widowControl w:val="0"/>
              <w:kinsoku/>
              <w:overflowPunct/>
              <w:autoSpaceDE/>
              <w:autoSpaceDN/>
              <w:bidi w:val="0"/>
              <w:adjustRightInd/>
              <w:snapToGrid/>
              <w:spacing w:line="40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人员配备、培训及管理</w:t>
            </w:r>
          </w:p>
        </w:tc>
        <w:tc>
          <w:tcPr>
            <w:tcW w:w="2773" w:type="pct"/>
            <w:tcBorders>
              <w:top w:val="single" w:color="auto" w:sz="4" w:space="0"/>
              <w:left w:val="single" w:color="auto" w:sz="4" w:space="0"/>
              <w:bottom w:val="single" w:color="auto" w:sz="4" w:space="0"/>
              <w:right w:val="single" w:color="auto" w:sz="4" w:space="0"/>
            </w:tcBorders>
            <w:vAlign w:val="center"/>
          </w:tcPr>
          <w:p w14:paraId="785E0D28">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根据项目特点提供整体的人员配备、培训方案，包括：人员培训：对各类人员的培训计划、方式、目标及行为规范的培训等。由评标委员会根据投标文件以上内容进行综合评审： </w:t>
            </w:r>
          </w:p>
          <w:p w14:paraId="4E1F5AF9">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①方案切合实际情况，各部分有深入的表述，解决方案合理、有具体切实可行的保障措施的得 5 分； </w:t>
            </w:r>
          </w:p>
          <w:p w14:paraId="64D98AB4">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②方案符合实际情况，内容完整、表述清晰，有保障措施，措施实施内容具体可行的得 4 分； </w:t>
            </w:r>
          </w:p>
          <w:p w14:paraId="26BADB49">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③方案满足项目要求，内容完整，考虑了保障措施，保障措施及解决方案出现非专门针对本项目内容的得 3 分； </w:t>
            </w:r>
          </w:p>
          <w:p w14:paraId="4BC8998B">
            <w:pPr>
              <w:keepNext w:val="0"/>
              <w:keepLines w:val="0"/>
              <w:pageBreakBefore w:val="0"/>
              <w:widowControl w:val="0"/>
              <w:numPr>
                <w:ilvl w:val="0"/>
                <w:numId w:val="0"/>
              </w:numPr>
              <w:suppressLineNumbers w:val="0"/>
              <w:kinsoku/>
              <w:wordWrap w:val="0"/>
              <w:overflowPunct/>
              <w:topLinePunct/>
              <w:autoSpaceDE/>
              <w:autoSpaceDN/>
              <w:bidi w:val="0"/>
              <w:adjustRightInd/>
              <w:snapToGrid/>
              <w:spacing w:before="0" w:beforeAutospacing="0" w:after="0" w:afterAutospacing="0" w:line="400" w:lineRule="exact"/>
              <w:ind w:left="0" w:leftChars="0" w:right="0" w:rightChars="0" w:firstLine="0" w:firstLineChars="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④未提供不得分。</w:t>
            </w:r>
          </w:p>
        </w:tc>
        <w:tc>
          <w:tcPr>
            <w:tcW w:w="583" w:type="pct"/>
            <w:tcBorders>
              <w:top w:val="single" w:color="auto" w:sz="4" w:space="0"/>
              <w:left w:val="single" w:color="auto" w:sz="4" w:space="0"/>
              <w:bottom w:val="single" w:color="auto" w:sz="4" w:space="0"/>
              <w:right w:val="single" w:color="auto" w:sz="4" w:space="0"/>
            </w:tcBorders>
            <w:vAlign w:val="center"/>
          </w:tcPr>
          <w:p w14:paraId="332FF967">
            <w:pPr>
              <w:jc w:val="center"/>
              <w:rPr>
                <w:rFonts w:hint="eastAsia" w:ascii="宋体" w:hAnsi="宋体" w:eastAsia="宋体" w:cs="宋体"/>
                <w:sz w:val="24"/>
                <w:szCs w:val="24"/>
              </w:rPr>
            </w:pPr>
            <w:r>
              <w:rPr>
                <w:rFonts w:hint="eastAsia" w:ascii="宋体" w:hAnsi="宋体" w:eastAsia="宋体" w:cs="宋体"/>
                <w:sz w:val="24"/>
                <w:szCs w:val="24"/>
                <w:lang w:val="en-US" w:eastAsia="zh-CN"/>
              </w:rPr>
              <w:t>0-5分</w:t>
            </w:r>
          </w:p>
        </w:tc>
      </w:tr>
      <w:tr w14:paraId="5E372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63" w:type="pct"/>
            <w:vMerge w:val="continue"/>
            <w:tcBorders>
              <w:left w:val="single" w:color="auto" w:sz="4" w:space="0"/>
              <w:right w:val="single" w:color="auto" w:sz="4" w:space="0"/>
            </w:tcBorders>
            <w:vAlign w:val="center"/>
          </w:tcPr>
          <w:p w14:paraId="04CF6F0E">
            <w:pPr>
              <w:rPr>
                <w:rFonts w:hint="eastAsia" w:ascii="宋体" w:hAnsi="宋体" w:eastAsia="宋体" w:cs="宋体"/>
                <w:sz w:val="24"/>
                <w:szCs w:val="24"/>
              </w:rPr>
            </w:pPr>
          </w:p>
        </w:tc>
        <w:tc>
          <w:tcPr>
            <w:tcW w:w="780" w:type="pct"/>
            <w:tcBorders>
              <w:top w:val="single" w:color="auto" w:sz="4" w:space="0"/>
              <w:left w:val="single" w:color="auto" w:sz="4" w:space="0"/>
              <w:bottom w:val="single" w:color="auto" w:sz="4" w:space="0"/>
              <w:right w:val="single" w:color="auto" w:sz="4" w:space="0"/>
            </w:tcBorders>
            <w:vAlign w:val="center"/>
          </w:tcPr>
          <w:p w14:paraId="293BBDA5">
            <w:pPr>
              <w:keepNext w:val="0"/>
              <w:keepLines w:val="0"/>
              <w:pageBreakBefore w:val="0"/>
              <w:widowControl w:val="0"/>
              <w:kinsoku/>
              <w:overflowPunct/>
              <w:bidi w:val="0"/>
              <w:spacing w:line="3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应急处理</w:t>
            </w:r>
          </w:p>
          <w:p w14:paraId="04D41C6D">
            <w:pPr>
              <w:keepNext w:val="0"/>
              <w:keepLines w:val="0"/>
              <w:pageBreakBefore w:val="0"/>
              <w:widowControl w:val="0"/>
              <w:kinsoku/>
              <w:overflowPunct/>
              <w:bidi w:val="0"/>
              <w:spacing w:line="3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预案</w:t>
            </w:r>
          </w:p>
          <w:p w14:paraId="3F9C6FBC">
            <w:pPr>
              <w:keepNext w:val="0"/>
              <w:keepLines w:val="0"/>
              <w:pageBreakBefore w:val="0"/>
              <w:widowControl w:val="0"/>
              <w:kinsoku/>
              <w:overflowPunct/>
              <w:bidi w:val="0"/>
              <w:spacing w:line="380" w:lineRule="exact"/>
              <w:jc w:val="center"/>
              <w:rPr>
                <w:rFonts w:hint="eastAsia" w:ascii="宋体" w:hAnsi="宋体" w:eastAsia="宋体" w:cs="宋体"/>
                <w:sz w:val="24"/>
                <w:szCs w:val="24"/>
              </w:rPr>
            </w:pPr>
          </w:p>
        </w:tc>
        <w:tc>
          <w:tcPr>
            <w:tcW w:w="2773" w:type="pct"/>
            <w:tcBorders>
              <w:top w:val="single" w:color="auto" w:sz="4" w:space="0"/>
              <w:left w:val="single" w:color="auto" w:sz="4" w:space="0"/>
              <w:bottom w:val="single" w:color="auto" w:sz="4" w:space="0"/>
              <w:right w:val="single" w:color="auto" w:sz="4" w:space="0"/>
            </w:tcBorders>
            <w:vAlign w:val="center"/>
          </w:tcPr>
          <w:p w14:paraId="6D938A2D">
            <w:pPr>
              <w:keepNext w:val="0"/>
              <w:keepLines w:val="0"/>
              <w:pageBreakBefore w:val="0"/>
              <w:widowControl w:val="0"/>
              <w:kinsoku/>
              <w:overflowPunct/>
              <w:bidi w:val="0"/>
              <w:spacing w:line="380" w:lineRule="exact"/>
              <w:jc w:val="left"/>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针对本项目的实际情况制定的应急预案方案，对突发事件如火灾、地震、停供电等事项能安排专人负责，有详细的应急预案及安全秩序维护，评标委员会根据供应商提供的以上内容综合评分： </w:t>
            </w:r>
          </w:p>
          <w:p w14:paraId="7D1D975B">
            <w:pPr>
              <w:keepNext w:val="0"/>
              <w:keepLines w:val="0"/>
              <w:pageBreakBefore w:val="0"/>
              <w:widowControl w:val="0"/>
              <w:kinsoku/>
              <w:overflowPunct/>
              <w:bidi w:val="0"/>
              <w:spacing w:line="380" w:lineRule="exact"/>
              <w:jc w:val="left"/>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①方案完善，应急响应时间安排合理，应急设备及应急服务人员配备充足，突发情况应急处理控制措施完整可行，得 5 分； </w:t>
            </w:r>
          </w:p>
          <w:p w14:paraId="77FC1B73">
            <w:pPr>
              <w:keepNext w:val="0"/>
              <w:keepLines w:val="0"/>
              <w:pageBreakBefore w:val="0"/>
              <w:widowControl w:val="0"/>
              <w:kinsoku/>
              <w:overflowPunct/>
              <w:bidi w:val="0"/>
              <w:spacing w:line="380" w:lineRule="exact"/>
              <w:jc w:val="left"/>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②方案合理，应急响应时间安排合理，应急设备及应急服务人员配备可行，可以完成突发情况应急处理，得 4 分； </w:t>
            </w:r>
          </w:p>
          <w:p w14:paraId="58BEC03B">
            <w:pPr>
              <w:keepNext w:val="0"/>
              <w:keepLines w:val="0"/>
              <w:pageBreakBefore w:val="0"/>
              <w:widowControl w:val="0"/>
              <w:kinsoku/>
              <w:overflowPunct/>
              <w:bidi w:val="0"/>
              <w:spacing w:line="380" w:lineRule="exact"/>
              <w:jc w:val="left"/>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 xml:space="preserve">③方案简单，应急响应时间、应急设备及应急服务人员配备勉强满足项目需求且出现非专门针对本项目特性内容，方案有待改善，得 3 分； </w:t>
            </w:r>
          </w:p>
          <w:p w14:paraId="33ECA780">
            <w:pPr>
              <w:keepNext w:val="0"/>
              <w:keepLines w:val="0"/>
              <w:pageBreakBefore w:val="0"/>
              <w:widowControl w:val="0"/>
              <w:kinsoku/>
              <w:overflowPunct/>
              <w:bidi w:val="0"/>
              <w:spacing w:line="38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④未提供不得分。</w:t>
            </w:r>
          </w:p>
        </w:tc>
        <w:tc>
          <w:tcPr>
            <w:tcW w:w="583" w:type="pct"/>
            <w:tcBorders>
              <w:top w:val="single" w:color="auto" w:sz="4" w:space="0"/>
              <w:left w:val="single" w:color="auto" w:sz="4" w:space="0"/>
              <w:bottom w:val="single" w:color="auto" w:sz="4" w:space="0"/>
              <w:right w:val="single" w:color="auto" w:sz="4" w:space="0"/>
            </w:tcBorders>
            <w:vAlign w:val="center"/>
          </w:tcPr>
          <w:p w14:paraId="63D17A0E">
            <w:pPr>
              <w:jc w:val="center"/>
              <w:rPr>
                <w:rFonts w:hint="eastAsia" w:ascii="宋体" w:hAnsi="宋体" w:eastAsia="宋体" w:cs="宋体"/>
                <w:sz w:val="24"/>
                <w:szCs w:val="24"/>
              </w:rPr>
            </w:pPr>
            <w:r>
              <w:rPr>
                <w:rFonts w:hint="eastAsia" w:ascii="宋体" w:hAnsi="宋体" w:eastAsia="宋体" w:cs="宋体"/>
                <w:sz w:val="24"/>
                <w:szCs w:val="24"/>
                <w:lang w:val="en-US" w:eastAsia="zh-CN"/>
              </w:rPr>
              <w:t>0-5分</w:t>
            </w:r>
          </w:p>
        </w:tc>
      </w:tr>
      <w:tr w14:paraId="0CDA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jc w:val="center"/>
        </w:trPr>
        <w:tc>
          <w:tcPr>
            <w:tcW w:w="863" w:type="pct"/>
            <w:vMerge w:val="continue"/>
            <w:tcBorders>
              <w:left w:val="single" w:color="auto" w:sz="4" w:space="0"/>
              <w:right w:val="single" w:color="auto" w:sz="4" w:space="0"/>
            </w:tcBorders>
            <w:vAlign w:val="center"/>
          </w:tcPr>
          <w:p w14:paraId="64270CD4">
            <w:pPr>
              <w:rPr>
                <w:rFonts w:hint="eastAsia" w:ascii="宋体" w:hAnsi="宋体" w:eastAsia="宋体" w:cs="宋体"/>
                <w:sz w:val="24"/>
                <w:szCs w:val="24"/>
              </w:rPr>
            </w:pPr>
          </w:p>
        </w:tc>
        <w:tc>
          <w:tcPr>
            <w:tcW w:w="780" w:type="pct"/>
            <w:tcBorders>
              <w:top w:val="single" w:color="auto" w:sz="4" w:space="0"/>
              <w:left w:val="single" w:color="auto" w:sz="4" w:space="0"/>
              <w:right w:val="single" w:color="auto" w:sz="4" w:space="0"/>
            </w:tcBorders>
            <w:vAlign w:val="center"/>
          </w:tcPr>
          <w:p w14:paraId="0E0F6642">
            <w:pPr>
              <w:keepNext w:val="0"/>
              <w:keepLines w:val="0"/>
              <w:pageBreakBefore w:val="0"/>
              <w:widowControl w:val="0"/>
              <w:kinsoku/>
              <w:overflowPunct/>
              <w:bidi w:val="0"/>
              <w:spacing w:line="3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日常维护方案</w:t>
            </w:r>
          </w:p>
        </w:tc>
        <w:tc>
          <w:tcPr>
            <w:tcW w:w="2773" w:type="pct"/>
            <w:tcBorders>
              <w:top w:val="single" w:color="auto" w:sz="4" w:space="0"/>
              <w:left w:val="single" w:color="auto" w:sz="4" w:space="0"/>
              <w:right w:val="single" w:color="auto" w:sz="4" w:space="0"/>
            </w:tcBorders>
            <w:vAlign w:val="center"/>
          </w:tcPr>
          <w:p w14:paraId="46748C42">
            <w:pPr>
              <w:keepNext w:val="0"/>
              <w:keepLines w:val="0"/>
              <w:pageBreakBefore w:val="0"/>
              <w:widowControl w:val="0"/>
              <w:kinsoku/>
              <w:overflowPunct/>
              <w:bidi w:val="0"/>
              <w:spacing w:line="3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针对本项目的工作特点提供日常维护方案。由评标委员会根据响应文件以上内容进行综合评审：</w:t>
            </w:r>
          </w:p>
          <w:p w14:paraId="726F5A91">
            <w:pPr>
              <w:keepNext w:val="0"/>
              <w:keepLines w:val="0"/>
              <w:pageBreakBefore w:val="0"/>
              <w:widowControl w:val="0"/>
              <w:kinsoku/>
              <w:overflowPunct/>
              <w:bidi w:val="0"/>
              <w:spacing w:line="3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①服务方案全面、完整、详尽、各项服务措施完善，满足项目实施要求得5分；</w:t>
            </w:r>
          </w:p>
          <w:p w14:paraId="1848D9AD">
            <w:pPr>
              <w:keepNext w:val="0"/>
              <w:keepLines w:val="0"/>
              <w:pageBreakBefore w:val="0"/>
              <w:widowControl w:val="0"/>
              <w:kinsoku/>
              <w:overflowPunct/>
              <w:bidi w:val="0"/>
              <w:spacing w:line="3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②服务方案有各项服务措施，工作安排符合项目实施要求得4分；</w:t>
            </w:r>
          </w:p>
          <w:p w14:paraId="10743964">
            <w:pPr>
              <w:keepNext w:val="0"/>
              <w:keepLines w:val="0"/>
              <w:pageBreakBefore w:val="0"/>
              <w:widowControl w:val="0"/>
              <w:kinsoku/>
              <w:overflowPunct/>
              <w:bidi w:val="0"/>
              <w:spacing w:line="380" w:lineRule="exact"/>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③服务方案简单，服务措施及服务安排存在不足得3分；</w:t>
            </w:r>
          </w:p>
          <w:p w14:paraId="56324026">
            <w:pPr>
              <w:keepNext w:val="0"/>
              <w:keepLines w:val="0"/>
              <w:pageBreakBefore w:val="0"/>
              <w:widowControl w:val="0"/>
              <w:kinsoku/>
              <w:overflowPunct/>
              <w:bidi w:val="0"/>
              <w:spacing w:line="38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④未提供的不得分。</w:t>
            </w:r>
          </w:p>
        </w:tc>
        <w:tc>
          <w:tcPr>
            <w:tcW w:w="583" w:type="pct"/>
            <w:tcBorders>
              <w:top w:val="single" w:color="auto" w:sz="4" w:space="0"/>
              <w:left w:val="single" w:color="auto" w:sz="4" w:space="0"/>
              <w:bottom w:val="single" w:color="auto" w:sz="4" w:space="0"/>
              <w:right w:val="single" w:color="auto" w:sz="4" w:space="0"/>
            </w:tcBorders>
            <w:vAlign w:val="center"/>
          </w:tcPr>
          <w:p w14:paraId="6DB0FCBD">
            <w:pPr>
              <w:jc w:val="center"/>
              <w:rPr>
                <w:rFonts w:hint="eastAsia" w:ascii="宋体" w:hAnsi="宋体" w:eastAsia="宋体" w:cs="宋体"/>
                <w:sz w:val="24"/>
                <w:szCs w:val="24"/>
              </w:rPr>
            </w:pPr>
            <w:r>
              <w:rPr>
                <w:rFonts w:hint="eastAsia" w:ascii="宋体" w:hAnsi="宋体" w:eastAsia="宋体" w:cs="宋体"/>
                <w:sz w:val="24"/>
                <w:szCs w:val="24"/>
                <w:lang w:val="en-US" w:eastAsia="zh-CN"/>
              </w:rPr>
              <w:t>0-5分</w:t>
            </w:r>
          </w:p>
        </w:tc>
      </w:tr>
      <w:tr w14:paraId="17A0C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pct"/>
            <w:tcBorders>
              <w:left w:val="single" w:color="auto" w:sz="4" w:space="0"/>
              <w:right w:val="single" w:color="auto" w:sz="4" w:space="0"/>
            </w:tcBorders>
            <w:vAlign w:val="center"/>
          </w:tcPr>
          <w:p w14:paraId="77F42B0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价格分</w:t>
            </w:r>
          </w:p>
          <w:p w14:paraId="53890B7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分）</w:t>
            </w:r>
          </w:p>
        </w:tc>
        <w:tc>
          <w:tcPr>
            <w:tcW w:w="4136" w:type="pct"/>
            <w:gridSpan w:val="3"/>
            <w:tcBorders>
              <w:top w:val="single" w:color="auto" w:sz="4" w:space="0"/>
              <w:left w:val="single" w:color="auto" w:sz="4" w:space="0"/>
              <w:bottom w:val="single" w:color="auto" w:sz="4" w:space="0"/>
              <w:right w:val="single" w:color="auto" w:sz="4" w:space="0"/>
            </w:tcBorders>
            <w:vAlign w:val="center"/>
          </w:tcPr>
          <w:p w14:paraId="1C2CC8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价格分统一采用低价优先法，即满足磋商文件要求且最后报价最低的供应商的价格为磋商基准价，其价格分为满分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分。其他供应商的价格分统一按照下列公式计算：</w:t>
            </w:r>
          </w:p>
          <w:p w14:paraId="2545735E">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磋商报价得分＝（磋商基准价/最后磋商报价）×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％×100</w:t>
            </w:r>
          </w:p>
        </w:tc>
      </w:tr>
    </w:tbl>
    <w:p w14:paraId="03FA309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分值汇总</w:t>
      </w:r>
    </w:p>
    <w:p w14:paraId="161F113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1）磋商小组各成员应当独立对每个有效响应的文件进行评价、打分，然后汇总每个供应商每项评分因素的得分，再取各位评委评分之平均值，四舍五入保留至小数点后两位数，得到该供应商的技术资信分。</w:t>
      </w:r>
    </w:p>
    <w:p w14:paraId="59938E8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2）将每个供应商的技术资信分加上根据上述标准计算出的价格分，即为该供应商的综合总得分。</w:t>
      </w:r>
    </w:p>
    <w:p w14:paraId="0DD34D74">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2277A901">
      <w:pPr>
        <w:spacing w:line="360" w:lineRule="auto"/>
        <w:jc w:val="center"/>
        <w:outlineLvl w:val="0"/>
        <w:rPr>
          <w:rFonts w:asciiTheme="minorEastAsia" w:hAnsiTheme="minorEastAsia" w:eastAsiaTheme="minorEastAsia"/>
          <w:b/>
          <w:sz w:val="28"/>
          <w:highlight w:val="none"/>
        </w:rPr>
      </w:pPr>
      <w:bookmarkStart w:id="71" w:name="_Toc355"/>
      <w:bookmarkStart w:id="72" w:name="_Toc63440929"/>
      <w:r>
        <w:rPr>
          <w:rFonts w:hint="eastAsia" w:asciiTheme="minorEastAsia" w:hAnsiTheme="minorEastAsia" w:eastAsiaTheme="minorEastAsia"/>
          <w:b/>
          <w:sz w:val="28"/>
          <w:highlight w:val="none"/>
        </w:rPr>
        <w:t xml:space="preserve">第五章  </w:t>
      </w:r>
      <w:r>
        <w:rPr>
          <w:rFonts w:asciiTheme="minorEastAsia" w:hAnsiTheme="minorEastAsia" w:eastAsiaTheme="minorEastAsia"/>
          <w:b/>
          <w:sz w:val="28"/>
          <w:highlight w:val="none"/>
        </w:rPr>
        <w:t>政府采购合同</w:t>
      </w:r>
      <w:bookmarkEnd w:id="71"/>
      <w:bookmarkEnd w:id="72"/>
    </w:p>
    <w:p w14:paraId="7508F0FB">
      <w:pPr>
        <w:spacing w:line="480" w:lineRule="auto"/>
        <w:jc w:val="center"/>
        <w:rPr>
          <w:rFonts w:ascii="宋体" w:hAnsi="宋体" w:eastAsia="宋体"/>
          <w:b/>
          <w:sz w:val="24"/>
          <w:highlight w:val="none"/>
        </w:rPr>
      </w:pPr>
    </w:p>
    <w:p w14:paraId="0B18DDD1">
      <w:pPr>
        <w:spacing w:line="480" w:lineRule="auto"/>
        <w:jc w:val="center"/>
        <w:rPr>
          <w:rFonts w:ascii="宋体" w:hAnsi="宋体" w:eastAsia="宋体"/>
          <w:b/>
          <w:sz w:val="24"/>
          <w:highlight w:val="none"/>
        </w:rPr>
      </w:pPr>
    </w:p>
    <w:p w14:paraId="7972953F">
      <w:pPr>
        <w:spacing w:line="480" w:lineRule="auto"/>
        <w:jc w:val="center"/>
        <w:rPr>
          <w:rFonts w:ascii="宋体" w:hAnsi="宋体" w:eastAsia="宋体"/>
          <w:b/>
          <w:sz w:val="24"/>
          <w:highlight w:val="none"/>
        </w:rPr>
      </w:pPr>
    </w:p>
    <w:p w14:paraId="1369DA74">
      <w:pPr>
        <w:spacing w:line="480" w:lineRule="auto"/>
        <w:jc w:val="center"/>
        <w:outlineLvl w:val="1"/>
        <w:rPr>
          <w:rFonts w:ascii="宋体" w:hAnsi="宋体" w:eastAsia="宋体"/>
          <w:b/>
          <w:sz w:val="32"/>
          <w:szCs w:val="32"/>
          <w:highlight w:val="none"/>
        </w:rPr>
      </w:pPr>
      <w:r>
        <w:rPr>
          <w:rFonts w:ascii="宋体" w:hAnsi="宋体" w:eastAsia="宋体"/>
          <w:b/>
          <w:sz w:val="32"/>
          <w:szCs w:val="32"/>
          <w:highlight w:val="none"/>
        </w:rPr>
        <w:t>政府采购合同</w:t>
      </w:r>
      <w:r>
        <w:rPr>
          <w:rFonts w:hint="eastAsia" w:ascii="宋体" w:hAnsi="宋体" w:eastAsia="宋体"/>
          <w:b/>
          <w:sz w:val="32"/>
          <w:szCs w:val="32"/>
          <w:highlight w:val="none"/>
        </w:rPr>
        <w:t>参考范本</w:t>
      </w:r>
    </w:p>
    <w:p w14:paraId="6095CD12">
      <w:pPr>
        <w:spacing w:line="480" w:lineRule="auto"/>
        <w:jc w:val="center"/>
        <w:outlineLvl w:val="1"/>
        <w:rPr>
          <w:rFonts w:ascii="宋体" w:hAnsi="宋体" w:eastAsia="宋体"/>
          <w:b/>
          <w:sz w:val="32"/>
          <w:szCs w:val="32"/>
          <w:highlight w:val="none"/>
        </w:rPr>
      </w:pPr>
      <w:r>
        <w:rPr>
          <w:rFonts w:hint="eastAsia" w:ascii="宋体" w:hAnsi="宋体" w:eastAsia="宋体"/>
          <w:b/>
          <w:sz w:val="32"/>
          <w:szCs w:val="32"/>
          <w:highlight w:val="none"/>
        </w:rPr>
        <w:t>（服务类）</w:t>
      </w:r>
    </w:p>
    <w:p w14:paraId="466E0370">
      <w:pPr>
        <w:spacing w:line="480" w:lineRule="auto"/>
        <w:jc w:val="center"/>
        <w:rPr>
          <w:rFonts w:ascii="宋体" w:hAnsi="宋体" w:eastAsia="宋体"/>
          <w:b/>
          <w:sz w:val="24"/>
          <w:highlight w:val="none"/>
        </w:rPr>
      </w:pPr>
    </w:p>
    <w:p w14:paraId="114BE070">
      <w:pPr>
        <w:spacing w:line="480" w:lineRule="auto"/>
        <w:jc w:val="center"/>
        <w:rPr>
          <w:rFonts w:ascii="宋体" w:hAnsi="宋体" w:eastAsia="宋体"/>
          <w:b/>
          <w:sz w:val="24"/>
          <w:highlight w:val="none"/>
        </w:rPr>
      </w:pPr>
    </w:p>
    <w:p w14:paraId="53F776F8">
      <w:pPr>
        <w:spacing w:line="480" w:lineRule="auto"/>
        <w:jc w:val="center"/>
        <w:rPr>
          <w:rFonts w:ascii="宋体" w:hAnsi="宋体" w:eastAsia="宋体"/>
          <w:b/>
          <w:sz w:val="24"/>
          <w:highlight w:val="none"/>
        </w:rPr>
      </w:pPr>
    </w:p>
    <w:p w14:paraId="750953C3">
      <w:pPr>
        <w:spacing w:line="360" w:lineRule="auto"/>
        <w:jc w:val="center"/>
        <w:outlineLvl w:val="1"/>
        <w:rPr>
          <w:rFonts w:ascii="宋体" w:hAnsi="宋体" w:eastAsia="宋体"/>
          <w:b/>
          <w:sz w:val="24"/>
          <w:highlight w:val="none"/>
        </w:rPr>
      </w:pPr>
      <w:r>
        <w:rPr>
          <w:rFonts w:hint="eastAsia" w:ascii="宋体" w:hAnsi="宋体" w:eastAsia="宋体"/>
          <w:b/>
          <w:sz w:val="24"/>
          <w:highlight w:val="none"/>
        </w:rPr>
        <w:t>第一部分 合同书</w:t>
      </w:r>
    </w:p>
    <w:p w14:paraId="7473D2AA">
      <w:pPr>
        <w:spacing w:line="480" w:lineRule="auto"/>
        <w:jc w:val="center"/>
        <w:rPr>
          <w:rFonts w:ascii="宋体" w:hAnsi="宋体" w:eastAsia="宋体"/>
          <w:b/>
          <w:sz w:val="24"/>
          <w:highlight w:val="none"/>
        </w:rPr>
      </w:pPr>
    </w:p>
    <w:p w14:paraId="3B123CBE">
      <w:pPr>
        <w:spacing w:line="480" w:lineRule="auto"/>
        <w:jc w:val="center"/>
        <w:rPr>
          <w:rFonts w:ascii="宋体" w:hAnsi="宋体" w:eastAsia="宋体"/>
          <w:b/>
          <w:sz w:val="24"/>
          <w:highlight w:val="none"/>
        </w:rPr>
      </w:pPr>
    </w:p>
    <w:p w14:paraId="51141FF8">
      <w:pPr>
        <w:spacing w:line="480" w:lineRule="auto"/>
        <w:jc w:val="center"/>
        <w:rPr>
          <w:rFonts w:ascii="宋体" w:hAnsi="宋体" w:eastAsia="宋体"/>
          <w:b/>
          <w:sz w:val="24"/>
          <w:highlight w:val="none"/>
        </w:rPr>
      </w:pPr>
    </w:p>
    <w:p w14:paraId="04021C61">
      <w:pPr>
        <w:spacing w:before="120" w:line="480" w:lineRule="auto"/>
        <w:ind w:left="960"/>
        <w:rPr>
          <w:rFonts w:hint="default" w:ascii="宋体" w:hAnsi="宋体" w:eastAsia="宋体"/>
          <w:sz w:val="24"/>
          <w:highlight w:val="none"/>
          <w:u w:val="single"/>
          <w:lang w:val="en-US"/>
        </w:rPr>
      </w:pPr>
      <w:r>
        <w:rPr>
          <w:rFonts w:hint="eastAsia" w:ascii="宋体" w:hAnsi="宋体" w:eastAsia="宋体"/>
          <w:sz w:val="24"/>
          <w:highlight w:val="none"/>
        </w:rPr>
        <w:t>项目名称：</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 xml:space="preserve">定远县中医院电梯维保服务项目 </w:t>
      </w:r>
    </w:p>
    <w:p w14:paraId="23122B3B">
      <w:pPr>
        <w:spacing w:before="120" w:line="480" w:lineRule="auto"/>
        <w:ind w:left="960"/>
        <w:rPr>
          <w:rFonts w:ascii="宋体" w:hAnsi="宋体" w:eastAsia="宋体"/>
          <w:sz w:val="24"/>
          <w:highlight w:val="none"/>
        </w:rPr>
      </w:pPr>
      <w:r>
        <w:rPr>
          <w:rFonts w:hint="eastAsia" w:ascii="宋体" w:hAnsi="宋体" w:eastAsia="宋体"/>
          <w:sz w:val="24"/>
          <w:highlight w:val="none"/>
        </w:rPr>
        <w:t>项目编号：</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ANSC202604-03</w:t>
      </w:r>
      <w:r>
        <w:rPr>
          <w:rFonts w:hint="eastAsia" w:ascii="宋体" w:hAnsi="宋体" w:eastAsia="宋体"/>
          <w:sz w:val="24"/>
          <w:highlight w:val="none"/>
          <w:u w:val="single"/>
        </w:rPr>
        <w:t xml:space="preserve"> </w:t>
      </w:r>
    </w:p>
    <w:p w14:paraId="5B3B5B92">
      <w:pPr>
        <w:spacing w:before="120" w:line="480" w:lineRule="auto"/>
        <w:ind w:left="960"/>
        <w:rPr>
          <w:rFonts w:ascii="宋体" w:hAnsi="宋体" w:eastAsia="宋体"/>
          <w:sz w:val="24"/>
          <w:highlight w:val="none"/>
          <w:u w:val="single"/>
        </w:rPr>
      </w:pPr>
      <w:r>
        <w:rPr>
          <w:rFonts w:hint="eastAsia" w:ascii="宋体" w:hAnsi="宋体" w:eastAsia="宋体"/>
          <w:sz w:val="24"/>
          <w:highlight w:val="none"/>
        </w:rPr>
        <w:t>甲方（采购人）：</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定远县总医院</w:t>
      </w:r>
      <w:r>
        <w:rPr>
          <w:rFonts w:hint="eastAsia" w:ascii="宋体" w:hAnsi="宋体" w:eastAsia="宋体"/>
          <w:sz w:val="24"/>
          <w:highlight w:val="none"/>
          <w:u w:val="single"/>
        </w:rPr>
        <w:t xml:space="preserve">  </w:t>
      </w:r>
    </w:p>
    <w:p w14:paraId="6160F78E">
      <w:pPr>
        <w:spacing w:before="120" w:line="480" w:lineRule="auto"/>
        <w:ind w:left="960"/>
        <w:rPr>
          <w:rFonts w:ascii="宋体" w:hAnsi="宋体" w:eastAsia="宋体"/>
          <w:sz w:val="24"/>
          <w:highlight w:val="none"/>
          <w:u w:val="single"/>
        </w:rPr>
      </w:pPr>
      <w:r>
        <w:rPr>
          <w:rFonts w:hint="eastAsia" w:ascii="宋体" w:hAnsi="宋体" w:eastAsia="宋体"/>
          <w:sz w:val="24"/>
          <w:highlight w:val="none"/>
        </w:rPr>
        <w:t>乙方（成交供应商）：</w:t>
      </w:r>
      <w:r>
        <w:rPr>
          <w:rFonts w:ascii="宋体" w:hAnsi="宋体" w:eastAsia="宋体"/>
          <w:sz w:val="24"/>
          <w:highlight w:val="none"/>
          <w:u w:val="single"/>
        </w:rPr>
        <w:t xml:space="preserve">        </w:t>
      </w:r>
      <w:r>
        <w:rPr>
          <w:rFonts w:hint="eastAsia" w:ascii="宋体" w:hAnsi="宋体" w:eastAsia="宋体"/>
          <w:sz w:val="24"/>
          <w:highlight w:val="none"/>
          <w:u w:val="single"/>
        </w:rPr>
        <w:t xml:space="preserve"> </w:t>
      </w:r>
      <w:r>
        <w:rPr>
          <w:rFonts w:ascii="宋体" w:hAnsi="宋体" w:eastAsia="宋体"/>
          <w:sz w:val="24"/>
          <w:highlight w:val="none"/>
          <w:u w:val="single"/>
        </w:rPr>
        <w:t xml:space="preserve">   </w:t>
      </w:r>
      <w:r>
        <w:rPr>
          <w:rFonts w:hint="eastAsia" w:ascii="宋体" w:hAnsi="宋体" w:eastAsia="宋体"/>
          <w:sz w:val="24"/>
          <w:highlight w:val="none"/>
          <w:u w:val="single"/>
        </w:rPr>
        <w:t xml:space="preserve">            </w:t>
      </w:r>
    </w:p>
    <w:p w14:paraId="2A0FC771">
      <w:pPr>
        <w:spacing w:before="120" w:line="480" w:lineRule="auto"/>
        <w:ind w:firstLine="960" w:firstLineChars="400"/>
        <w:rPr>
          <w:rFonts w:ascii="宋体" w:hAnsi="宋体" w:eastAsia="宋体"/>
          <w:sz w:val="24"/>
          <w:highlight w:val="none"/>
          <w:u w:val="single"/>
        </w:rPr>
      </w:pPr>
      <w:r>
        <w:rPr>
          <w:rFonts w:hint="eastAsia" w:ascii="宋体" w:hAnsi="宋体" w:eastAsia="宋体"/>
          <w:sz w:val="24"/>
          <w:highlight w:val="none"/>
        </w:rPr>
        <w:t>签订地：</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定远县总医院</w:t>
      </w:r>
      <w:r>
        <w:rPr>
          <w:rFonts w:hint="eastAsia" w:ascii="宋体" w:hAnsi="宋体" w:eastAsia="宋体"/>
          <w:sz w:val="24"/>
          <w:highlight w:val="none"/>
          <w:u w:val="single"/>
        </w:rPr>
        <w:t xml:space="preserve">  </w:t>
      </w:r>
    </w:p>
    <w:p w14:paraId="1BA30088">
      <w:pPr>
        <w:spacing w:before="120" w:line="480" w:lineRule="auto"/>
        <w:ind w:firstLine="960" w:firstLineChars="400"/>
        <w:rPr>
          <w:rFonts w:ascii="宋体" w:hAnsi="宋体" w:eastAsia="宋体"/>
          <w:sz w:val="24"/>
          <w:highlight w:val="none"/>
        </w:rPr>
      </w:pPr>
      <w:r>
        <w:rPr>
          <w:rFonts w:hint="eastAsia" w:ascii="宋体" w:hAnsi="宋体" w:eastAsia="宋体"/>
          <w:sz w:val="24"/>
          <w:highlight w:val="none"/>
        </w:rPr>
        <w:t>签订日期：</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2026</w:t>
      </w:r>
      <w:r>
        <w:rPr>
          <w:rFonts w:hint="eastAsia" w:ascii="宋体" w:hAnsi="宋体" w:eastAsia="宋体"/>
          <w:sz w:val="24"/>
          <w:highlight w:val="none"/>
          <w:u w:val="single"/>
        </w:rPr>
        <w:t xml:space="preserve">  </w:t>
      </w:r>
      <w:r>
        <w:rPr>
          <w:rFonts w:hint="eastAsia" w:ascii="宋体" w:hAnsi="宋体" w:eastAsia="宋体"/>
          <w:sz w:val="24"/>
          <w:highlight w:val="none"/>
        </w:rPr>
        <w:t>年</w:t>
      </w:r>
      <w:r>
        <w:rPr>
          <w:rFonts w:hint="eastAsia" w:ascii="宋体" w:hAnsi="宋体" w:eastAsia="宋体"/>
          <w:sz w:val="24"/>
          <w:highlight w:val="none"/>
          <w:u w:val="single"/>
        </w:rPr>
        <w:t xml:space="preserve">       </w:t>
      </w:r>
      <w:r>
        <w:rPr>
          <w:rFonts w:hint="eastAsia" w:ascii="宋体" w:hAnsi="宋体" w:eastAsia="宋体"/>
          <w:sz w:val="24"/>
          <w:highlight w:val="none"/>
        </w:rPr>
        <w:t>月</w:t>
      </w:r>
      <w:r>
        <w:rPr>
          <w:rFonts w:hint="eastAsia" w:ascii="宋体" w:hAnsi="宋体" w:eastAsia="宋体"/>
          <w:sz w:val="24"/>
          <w:highlight w:val="none"/>
          <w:u w:val="single"/>
        </w:rPr>
        <w:t xml:space="preserve">       </w:t>
      </w:r>
      <w:r>
        <w:rPr>
          <w:rFonts w:hint="eastAsia" w:ascii="宋体" w:hAnsi="宋体" w:eastAsia="宋体"/>
          <w:sz w:val="24"/>
          <w:highlight w:val="none"/>
        </w:rPr>
        <w:t>日</w:t>
      </w:r>
    </w:p>
    <w:p w14:paraId="3F816F85">
      <w:pPr>
        <w:widowControl/>
        <w:jc w:val="left"/>
        <w:rPr>
          <w:rFonts w:ascii="宋体" w:hAnsi="宋体" w:eastAsia="宋体"/>
          <w:sz w:val="24"/>
          <w:highlight w:val="none"/>
        </w:rPr>
      </w:pPr>
      <w:r>
        <w:rPr>
          <w:rFonts w:ascii="宋体" w:hAnsi="宋体" w:eastAsia="宋体"/>
          <w:sz w:val="24"/>
          <w:highlight w:val="none"/>
        </w:rPr>
        <w:br w:type="page"/>
      </w:r>
    </w:p>
    <w:p w14:paraId="1D6CA193">
      <w:pPr>
        <w:spacing w:line="360" w:lineRule="auto"/>
        <w:ind w:firstLine="435"/>
        <w:rPr>
          <w:rFonts w:ascii="宋体" w:hAnsi="宋体" w:eastAsia="宋体"/>
          <w:sz w:val="24"/>
          <w:highlight w:val="none"/>
        </w:rPr>
      </w:pPr>
      <w:r>
        <w:rPr>
          <w:rFonts w:hint="eastAsia" w:ascii="宋体" w:hAnsi="宋体" w:eastAsia="宋体"/>
          <w:sz w:val="24"/>
          <w:highlight w:val="none"/>
          <w:u w:val="single"/>
          <w:lang w:val="en-US" w:eastAsia="zh-CN"/>
        </w:rPr>
        <w:t>定远县总医院</w:t>
      </w:r>
      <w:r>
        <w:rPr>
          <w:rFonts w:hint="eastAsia" w:ascii="宋体" w:hAnsi="宋体" w:eastAsia="宋体"/>
          <w:sz w:val="24"/>
          <w:highlight w:val="none"/>
          <w:u w:val="single"/>
        </w:rPr>
        <w:t xml:space="preserve"> </w:t>
      </w:r>
      <w:r>
        <w:rPr>
          <w:rFonts w:hint="eastAsia" w:ascii="宋体" w:hAnsi="宋体" w:eastAsia="宋体"/>
          <w:sz w:val="24"/>
          <w:highlight w:val="none"/>
        </w:rPr>
        <w:t>（</w:t>
      </w:r>
      <w:r>
        <w:rPr>
          <w:rFonts w:hint="eastAsia" w:ascii="宋体" w:hAnsi="宋体" w:eastAsia="宋体"/>
          <w:sz w:val="24"/>
          <w:highlight w:val="none"/>
          <w:lang w:val="zh-CN"/>
        </w:rPr>
        <w:t>以下简称：甲方</w:t>
      </w:r>
      <w:r>
        <w:rPr>
          <w:rFonts w:hint="eastAsia" w:ascii="宋体" w:hAnsi="宋体" w:eastAsia="宋体"/>
          <w:sz w:val="24"/>
          <w:highlight w:val="none"/>
        </w:rPr>
        <w:t>）通过</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安徽三辰工程项目管理有限公司</w:t>
      </w:r>
      <w:r>
        <w:rPr>
          <w:rFonts w:hint="eastAsia" w:ascii="宋体" w:hAnsi="宋体" w:eastAsia="宋体"/>
          <w:sz w:val="24"/>
          <w:highlight w:val="none"/>
          <w:u w:val="single"/>
        </w:rPr>
        <w:t xml:space="preserve"> </w:t>
      </w:r>
      <w:r>
        <w:rPr>
          <w:rFonts w:hint="eastAsia" w:ascii="宋体" w:hAnsi="宋体" w:eastAsia="宋体"/>
          <w:sz w:val="24"/>
          <w:highlight w:val="none"/>
        </w:rPr>
        <w:t>组织的</w:t>
      </w:r>
      <w:r>
        <w:rPr>
          <w:rFonts w:hint="eastAsia" w:ascii="宋体" w:hAnsi="宋体" w:eastAsia="宋体"/>
          <w:sz w:val="24"/>
          <w:highlight w:val="none"/>
          <w:u w:val="single"/>
        </w:rPr>
        <w:t>竞争性磋商</w:t>
      </w:r>
      <w:r>
        <w:rPr>
          <w:rFonts w:hint="eastAsia" w:ascii="宋体" w:hAnsi="宋体" w:eastAsia="宋体"/>
          <w:sz w:val="24"/>
          <w:highlight w:val="none"/>
        </w:rPr>
        <w:t>方式采购活动，经</w:t>
      </w:r>
      <w:r>
        <w:rPr>
          <w:rFonts w:hint="eastAsia" w:ascii="宋体" w:hAnsi="宋体" w:eastAsia="宋体"/>
          <w:sz w:val="24"/>
          <w:highlight w:val="none"/>
          <w:u w:val="single"/>
        </w:rPr>
        <w:t>磋商小组</w:t>
      </w:r>
      <w:r>
        <w:rPr>
          <w:rFonts w:hint="eastAsia" w:ascii="宋体" w:hAnsi="宋体" w:eastAsia="宋体"/>
          <w:sz w:val="24"/>
          <w:highlight w:val="none"/>
        </w:rPr>
        <w:t>评定，</w:t>
      </w:r>
      <w:r>
        <w:rPr>
          <w:rFonts w:hint="eastAsia" w:ascii="宋体" w:hAnsi="宋体" w:eastAsia="宋体"/>
          <w:sz w:val="24"/>
          <w:highlight w:val="none"/>
          <w:u w:val="single"/>
        </w:rPr>
        <w:t xml:space="preserve">               </w:t>
      </w:r>
      <w:r>
        <w:rPr>
          <w:rFonts w:hint="eastAsia" w:ascii="宋体" w:hAnsi="宋体" w:eastAsia="宋体"/>
          <w:sz w:val="24"/>
          <w:highlight w:val="none"/>
        </w:rPr>
        <w:t>（</w:t>
      </w:r>
      <w:r>
        <w:rPr>
          <w:rFonts w:hint="eastAsia" w:ascii="宋体" w:hAnsi="宋体" w:eastAsia="宋体"/>
          <w:sz w:val="24"/>
          <w:highlight w:val="none"/>
          <w:lang w:val="zh-CN"/>
        </w:rPr>
        <w:t>以下简称：乙方</w:t>
      </w:r>
      <w:r>
        <w:rPr>
          <w:rFonts w:hint="eastAsia" w:ascii="宋体" w:hAnsi="宋体" w:eastAsia="宋体"/>
          <w:sz w:val="24"/>
          <w:highlight w:val="none"/>
        </w:rPr>
        <w:t>）为本项目成交供应商，现按照采购文件确定的事项签订本合同。</w:t>
      </w:r>
    </w:p>
    <w:p w14:paraId="0903C70C">
      <w:pPr>
        <w:spacing w:line="360" w:lineRule="auto"/>
        <w:ind w:firstLine="435"/>
        <w:rPr>
          <w:rFonts w:ascii="宋体" w:hAnsi="宋体" w:eastAsia="宋体"/>
          <w:sz w:val="24"/>
          <w:highlight w:val="none"/>
          <w:lang w:val="zh-CN"/>
        </w:rPr>
      </w:pPr>
      <w:r>
        <w:rPr>
          <w:rFonts w:hint="eastAsia" w:ascii="宋体" w:hAnsi="宋体" w:eastAsia="宋体"/>
          <w:sz w:val="24"/>
          <w:highlight w:val="none"/>
        </w:rPr>
        <w:t>根据《中华人民共和国民法典》、《中华人民共和国政府采购法》等相关法律法规之规定，按照平等、自愿、公平和诚实信用的原则，经甲方和乙方协商一致，约定以下合同条款，以兹共同遵守、全面履行。</w:t>
      </w:r>
    </w:p>
    <w:p w14:paraId="1BAFD38E">
      <w:pPr>
        <w:spacing w:line="360" w:lineRule="auto"/>
        <w:ind w:firstLine="437"/>
        <w:outlineLvl w:val="2"/>
        <w:rPr>
          <w:rFonts w:ascii="宋体" w:hAnsi="宋体" w:eastAsia="宋体"/>
          <w:b/>
          <w:bCs/>
          <w:sz w:val="24"/>
          <w:highlight w:val="none"/>
          <w:lang w:val="zh-CN"/>
        </w:rPr>
      </w:pPr>
      <w:bookmarkStart w:id="73" w:name="_Toc24059"/>
      <w:bookmarkStart w:id="74" w:name="_Toc2232"/>
      <w:bookmarkStart w:id="75" w:name="_Toc3029"/>
      <w:r>
        <w:rPr>
          <w:rFonts w:hint="eastAsia" w:ascii="宋体" w:hAnsi="宋体" w:eastAsia="宋体"/>
          <w:b/>
          <w:bCs/>
          <w:sz w:val="24"/>
          <w:highlight w:val="none"/>
          <w:lang w:val="zh-CN"/>
        </w:rPr>
        <w:t>1.1</w:t>
      </w:r>
      <w:r>
        <w:rPr>
          <w:rFonts w:ascii="宋体" w:hAnsi="宋体" w:eastAsia="宋体"/>
          <w:b/>
          <w:bCs/>
          <w:sz w:val="24"/>
          <w:highlight w:val="none"/>
          <w:lang w:val="zh-CN"/>
        </w:rPr>
        <w:t xml:space="preserve"> </w:t>
      </w:r>
      <w:r>
        <w:rPr>
          <w:rFonts w:hint="eastAsia" w:ascii="宋体" w:hAnsi="宋体" w:eastAsia="宋体"/>
          <w:b/>
          <w:bCs/>
          <w:sz w:val="24"/>
          <w:highlight w:val="none"/>
          <w:lang w:val="zh-CN"/>
        </w:rPr>
        <w:t>合同组成部分</w:t>
      </w:r>
      <w:bookmarkEnd w:id="73"/>
      <w:bookmarkEnd w:id="74"/>
      <w:bookmarkEnd w:id="75"/>
    </w:p>
    <w:p w14:paraId="0A86F7A5">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6BE01506">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1.1.1本合同及其补充合同、变更协议；</w:t>
      </w:r>
    </w:p>
    <w:p w14:paraId="45414318">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1.1.2成交通知书；</w:t>
      </w:r>
    </w:p>
    <w:p w14:paraId="7E58A307">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1.1.3响应文件（含澄清或者说明文件）；</w:t>
      </w:r>
    </w:p>
    <w:p w14:paraId="360EB513">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1.1.4磋商文件（含澄清或者修改文件）；</w:t>
      </w:r>
    </w:p>
    <w:p w14:paraId="519C6529">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1.1.5其他相关采购文件。</w:t>
      </w:r>
    </w:p>
    <w:p w14:paraId="5A12C8EF">
      <w:pPr>
        <w:spacing w:line="360" w:lineRule="auto"/>
        <w:ind w:firstLine="437"/>
        <w:outlineLvl w:val="2"/>
        <w:rPr>
          <w:rFonts w:ascii="宋体" w:hAnsi="宋体" w:eastAsia="宋体"/>
          <w:b/>
          <w:bCs/>
          <w:sz w:val="24"/>
          <w:highlight w:val="none"/>
          <w:lang w:val="zh-CN"/>
        </w:rPr>
      </w:pPr>
      <w:bookmarkStart w:id="76" w:name="_Toc6773"/>
      <w:bookmarkStart w:id="77" w:name="_Toc6311"/>
      <w:bookmarkStart w:id="78" w:name="_Toc22185"/>
      <w:bookmarkStart w:id="79" w:name="_Toc18585"/>
      <w:bookmarkStart w:id="80" w:name="_Toc2918"/>
      <w:r>
        <w:rPr>
          <w:rFonts w:hint="eastAsia" w:ascii="宋体" w:hAnsi="宋体" w:eastAsia="宋体"/>
          <w:b/>
          <w:bCs/>
          <w:sz w:val="24"/>
          <w:highlight w:val="none"/>
          <w:lang w:val="zh-CN"/>
        </w:rPr>
        <w:t xml:space="preserve">1.2 </w:t>
      </w:r>
      <w:bookmarkEnd w:id="76"/>
      <w:bookmarkEnd w:id="77"/>
      <w:bookmarkEnd w:id="78"/>
      <w:bookmarkEnd w:id="79"/>
      <w:bookmarkEnd w:id="80"/>
      <w:r>
        <w:rPr>
          <w:rFonts w:hint="eastAsia" w:ascii="宋体" w:hAnsi="宋体" w:eastAsia="宋体"/>
          <w:b/>
          <w:bCs/>
          <w:sz w:val="24"/>
          <w:highlight w:val="none"/>
          <w:lang w:val="zh-CN"/>
        </w:rPr>
        <w:t>服务</w:t>
      </w:r>
    </w:p>
    <w:p w14:paraId="3B0C6DB3">
      <w:pPr>
        <w:spacing w:line="360" w:lineRule="auto"/>
        <w:ind w:firstLine="435"/>
        <w:rPr>
          <w:rFonts w:ascii="宋体" w:hAnsi="宋体" w:eastAsia="宋体"/>
          <w:color w:val="auto"/>
          <w:sz w:val="24"/>
          <w:highlight w:val="none"/>
          <w:u w:val="single"/>
        </w:rPr>
      </w:pPr>
      <w:r>
        <w:rPr>
          <w:rFonts w:hint="eastAsia" w:ascii="宋体" w:hAnsi="宋体" w:eastAsia="宋体"/>
          <w:color w:val="auto"/>
          <w:sz w:val="24"/>
          <w:highlight w:val="none"/>
        </w:rPr>
        <w:t>1.2.1服务</w:t>
      </w:r>
      <w:r>
        <w:rPr>
          <w:rFonts w:ascii="宋体" w:hAnsi="宋体" w:eastAsia="宋体"/>
          <w:color w:val="auto"/>
          <w:sz w:val="24"/>
          <w:highlight w:val="none"/>
        </w:rPr>
        <w:t>名称：</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u w:val="single"/>
          <w:lang w:val="en-US" w:eastAsia="zh-CN"/>
        </w:rPr>
        <w:t>定远县中医院电梯维保服务项目</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313F6109">
      <w:pPr>
        <w:spacing w:line="360" w:lineRule="auto"/>
        <w:ind w:firstLine="435"/>
        <w:rPr>
          <w:rFonts w:ascii="宋体" w:hAnsi="宋体" w:eastAsia="宋体"/>
          <w:color w:val="auto"/>
          <w:sz w:val="24"/>
          <w:highlight w:val="none"/>
          <w:u w:val="single"/>
        </w:rPr>
      </w:pPr>
      <w:r>
        <w:rPr>
          <w:rFonts w:hint="eastAsia" w:ascii="宋体" w:hAnsi="宋体" w:eastAsia="宋体"/>
          <w:color w:val="auto"/>
          <w:sz w:val="24"/>
          <w:highlight w:val="none"/>
        </w:rPr>
        <w:t>1.2.2服务内容</w:t>
      </w:r>
      <w:r>
        <w:rPr>
          <w:rFonts w:ascii="宋体" w:hAnsi="宋体" w:eastAsia="宋体"/>
          <w:color w:val="auto"/>
          <w:sz w:val="24"/>
          <w:highlight w:val="none"/>
        </w:rPr>
        <w:t>：</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u w:val="single"/>
          <w:lang w:val="en-US" w:eastAsia="zh-CN"/>
        </w:rPr>
        <w:t xml:space="preserve"> </w:t>
      </w:r>
      <w:r>
        <w:rPr>
          <w:rFonts w:hint="eastAsia" w:ascii="宋体" w:hAnsi="宋体" w:eastAsia="宋体" w:cs="宋体"/>
          <w:color w:val="auto"/>
          <w:sz w:val="24"/>
          <w:szCs w:val="18"/>
          <w:highlight w:val="none"/>
          <w:u w:val="single"/>
        </w:rPr>
        <w:t>为保证电梯安全运行，按特种设备管理要求需专业维保公司进行定期保养维护。电梯总台数为</w:t>
      </w:r>
      <w:r>
        <w:rPr>
          <w:rFonts w:hint="eastAsia" w:ascii="宋体" w:hAnsi="宋体" w:eastAsia="宋体" w:cs="宋体"/>
          <w:color w:val="auto"/>
          <w:sz w:val="24"/>
          <w:szCs w:val="18"/>
          <w:highlight w:val="none"/>
          <w:u w:val="single"/>
          <w:lang w:val="en-US" w:eastAsia="zh-CN"/>
        </w:rPr>
        <w:t>22</w:t>
      </w:r>
      <w:r>
        <w:rPr>
          <w:rFonts w:hint="eastAsia" w:ascii="宋体" w:hAnsi="宋体" w:eastAsia="宋体" w:cs="宋体"/>
          <w:color w:val="auto"/>
          <w:sz w:val="24"/>
          <w:szCs w:val="18"/>
          <w:highlight w:val="none"/>
          <w:u w:val="single"/>
        </w:rPr>
        <w:t>台</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lang w:val="en-US" w:eastAsia="zh-CN"/>
        </w:rPr>
        <w:t>其中6台扶梯</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rPr>
        <w:t>。招标采购内容为电梯维护保养（全包方式），提供维保所需工具和劳务，免费更换或维修损坏的电梯零部件</w:t>
      </w:r>
      <w:r>
        <w:rPr>
          <w:rFonts w:hint="eastAsia" w:ascii="宋体" w:hAnsi="宋体" w:eastAsia="宋体" w:cs="宋体"/>
          <w:color w:val="auto"/>
          <w:sz w:val="24"/>
          <w:szCs w:val="18"/>
          <w:highlight w:val="none"/>
          <w:u w:val="single"/>
          <w:lang w:eastAsia="zh-CN"/>
        </w:rPr>
        <w:t>（不包含主机、曳引机、门机系统）</w:t>
      </w:r>
      <w:r>
        <w:rPr>
          <w:rFonts w:hint="eastAsia" w:ascii="宋体" w:hAnsi="宋体" w:eastAsia="宋体" w:cs="宋体"/>
          <w:color w:val="auto"/>
          <w:sz w:val="24"/>
          <w:szCs w:val="18"/>
          <w:highlight w:val="none"/>
          <w:u w:val="single"/>
        </w:rPr>
        <w:t>，并包含电梯年度检验检测申报等工作</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567D7AF2">
      <w:pPr>
        <w:spacing w:line="360" w:lineRule="auto"/>
        <w:ind w:firstLine="435"/>
        <w:rPr>
          <w:rFonts w:ascii="宋体" w:hAnsi="宋体" w:eastAsia="宋体"/>
          <w:sz w:val="24"/>
          <w:highlight w:val="none"/>
        </w:rPr>
      </w:pPr>
      <w:r>
        <w:rPr>
          <w:rFonts w:hint="eastAsia" w:ascii="宋体" w:hAnsi="宋体" w:eastAsia="宋体"/>
          <w:color w:val="auto"/>
          <w:sz w:val="24"/>
          <w:highlight w:val="none"/>
        </w:rPr>
        <w:t>1.2.3服务质量：</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u w:val="single"/>
          <w:lang w:val="en-US" w:eastAsia="zh-CN"/>
        </w:rPr>
        <w:t>符合国家相关规范要求</w:t>
      </w:r>
      <w:r>
        <w:rPr>
          <w:rFonts w:hint="eastAsia" w:ascii="宋体" w:hAnsi="宋体" w:eastAsia="宋体"/>
          <w:color w:val="auto"/>
          <w:sz w:val="24"/>
          <w:highlight w:val="none"/>
          <w:u w:val="single"/>
        </w:rPr>
        <w:t xml:space="preserve">   </w:t>
      </w:r>
      <w:r>
        <w:rPr>
          <w:rFonts w:hint="eastAsia" w:ascii="宋体" w:hAnsi="宋体" w:eastAsia="宋体"/>
          <w:sz w:val="24"/>
          <w:highlight w:val="none"/>
        </w:rPr>
        <w:t>。</w:t>
      </w:r>
    </w:p>
    <w:p w14:paraId="682EBAE7">
      <w:pPr>
        <w:spacing w:line="360" w:lineRule="auto"/>
        <w:ind w:firstLine="437"/>
        <w:outlineLvl w:val="2"/>
        <w:rPr>
          <w:rFonts w:ascii="宋体" w:hAnsi="宋体" w:eastAsia="宋体"/>
          <w:b/>
          <w:bCs/>
          <w:color w:val="auto"/>
          <w:sz w:val="24"/>
          <w:highlight w:val="none"/>
          <w:lang w:val="zh-CN"/>
        </w:rPr>
      </w:pPr>
      <w:bookmarkStart w:id="81" w:name="_Toc21631"/>
      <w:bookmarkStart w:id="82" w:name="_Toc23292"/>
      <w:bookmarkStart w:id="83" w:name="_Toc21551"/>
      <w:r>
        <w:rPr>
          <w:rFonts w:hint="eastAsia" w:ascii="宋体" w:hAnsi="宋体" w:eastAsia="宋体"/>
          <w:b/>
          <w:bCs/>
          <w:sz w:val="24"/>
          <w:highlight w:val="none"/>
          <w:lang w:val="zh-CN"/>
        </w:rPr>
        <w:t>1.</w:t>
      </w:r>
      <w:r>
        <w:rPr>
          <w:rFonts w:ascii="宋体" w:hAnsi="宋体" w:eastAsia="宋体"/>
          <w:b/>
          <w:bCs/>
          <w:sz w:val="24"/>
          <w:highlight w:val="none"/>
          <w:lang w:val="zh-CN"/>
        </w:rPr>
        <w:t xml:space="preserve">3 </w:t>
      </w:r>
      <w:r>
        <w:rPr>
          <w:rFonts w:hint="eastAsia" w:ascii="宋体" w:hAnsi="宋体" w:eastAsia="宋体"/>
          <w:b/>
          <w:bCs/>
          <w:sz w:val="24"/>
          <w:highlight w:val="none"/>
          <w:lang w:val="zh-CN"/>
        </w:rPr>
        <w:t>价款</w:t>
      </w:r>
      <w:bookmarkEnd w:id="81"/>
      <w:bookmarkEnd w:id="82"/>
      <w:bookmarkEnd w:id="83"/>
    </w:p>
    <w:p w14:paraId="5837E2CD">
      <w:pPr>
        <w:spacing w:line="360" w:lineRule="auto"/>
        <w:ind w:firstLine="435"/>
        <w:rPr>
          <w:rFonts w:ascii="宋体" w:hAnsi="宋体" w:eastAsia="宋体"/>
          <w:color w:val="auto"/>
          <w:sz w:val="24"/>
          <w:highlight w:val="none"/>
        </w:rPr>
      </w:pPr>
      <w:r>
        <w:rPr>
          <w:rFonts w:ascii="宋体" w:hAnsi="宋体" w:eastAsia="宋体"/>
          <w:color w:val="auto"/>
          <w:sz w:val="24"/>
          <w:highlight w:val="none"/>
        </w:rPr>
        <w:t>本合同总价为</w:t>
      </w:r>
      <w:r>
        <w:rPr>
          <w:rFonts w:hint="eastAsia" w:ascii="宋体" w:hAnsi="宋体" w:eastAsia="宋体"/>
          <w:color w:val="auto"/>
          <w:sz w:val="24"/>
          <w:highlight w:val="none"/>
        </w:rPr>
        <w:t>：￥</w:t>
      </w:r>
      <w:r>
        <w:rPr>
          <w:rFonts w:hint="eastAsia" w:ascii="宋体" w:hAnsi="宋体" w:eastAsia="宋体"/>
          <w:color w:val="auto"/>
          <w:sz w:val="24"/>
          <w:highlight w:val="none"/>
          <w:u w:val="single"/>
        </w:rPr>
        <w:t xml:space="preserve">           </w:t>
      </w:r>
      <w:r>
        <w:rPr>
          <w:rFonts w:ascii="宋体" w:hAnsi="宋体" w:eastAsia="宋体"/>
          <w:color w:val="auto"/>
          <w:sz w:val="24"/>
          <w:highlight w:val="none"/>
        </w:rPr>
        <w:t>元</w:t>
      </w:r>
      <w:r>
        <w:rPr>
          <w:rFonts w:hint="eastAsia" w:ascii="宋体" w:hAnsi="宋体" w:eastAsia="宋体"/>
          <w:color w:val="auto"/>
          <w:sz w:val="24"/>
          <w:highlight w:val="none"/>
          <w:lang w:val="en-US" w:eastAsia="zh-CN"/>
        </w:rPr>
        <w:t>/年</w:t>
      </w:r>
      <w:r>
        <w:rPr>
          <w:rFonts w:hint="eastAsia" w:ascii="宋体" w:hAnsi="宋体" w:eastAsia="宋体"/>
          <w:color w:val="auto"/>
          <w:sz w:val="24"/>
          <w:highlight w:val="none"/>
        </w:rPr>
        <w:t>（大写：人民币</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元</w:t>
      </w:r>
      <w:r>
        <w:rPr>
          <w:rFonts w:hint="eastAsia" w:ascii="宋体" w:hAnsi="宋体" w:eastAsia="宋体"/>
          <w:color w:val="auto"/>
          <w:sz w:val="24"/>
          <w:highlight w:val="none"/>
          <w:lang w:val="en-US" w:eastAsia="zh-CN"/>
        </w:rPr>
        <w:t>/年</w:t>
      </w:r>
      <w:r>
        <w:rPr>
          <w:rFonts w:hint="eastAsia" w:ascii="宋体" w:hAnsi="宋体" w:eastAsia="宋体"/>
          <w:color w:val="auto"/>
          <w:sz w:val="24"/>
          <w:highlight w:val="none"/>
        </w:rPr>
        <w:t>）</w:t>
      </w:r>
      <w:r>
        <w:rPr>
          <w:rFonts w:ascii="宋体" w:hAnsi="宋体" w:eastAsia="宋体"/>
          <w:color w:val="auto"/>
          <w:sz w:val="24"/>
          <w:highlight w:val="none"/>
        </w:rPr>
        <w:t>。</w:t>
      </w:r>
    </w:p>
    <w:p w14:paraId="061275F7">
      <w:pPr>
        <w:spacing w:line="360" w:lineRule="auto"/>
        <w:ind w:firstLine="437"/>
        <w:outlineLvl w:val="2"/>
        <w:rPr>
          <w:rFonts w:ascii="宋体" w:hAnsi="宋体" w:eastAsia="宋体"/>
          <w:b/>
          <w:bCs/>
          <w:color w:val="auto"/>
          <w:sz w:val="24"/>
          <w:highlight w:val="none"/>
          <w:lang w:val="zh-CN"/>
        </w:rPr>
      </w:pPr>
      <w:bookmarkStart w:id="84" w:name="_Toc22618"/>
      <w:bookmarkStart w:id="85" w:name="_Toc10340"/>
      <w:bookmarkStart w:id="86" w:name="_Toc1814"/>
      <w:r>
        <w:rPr>
          <w:rFonts w:hint="eastAsia" w:ascii="宋体" w:hAnsi="宋体" w:eastAsia="宋体"/>
          <w:b/>
          <w:bCs/>
          <w:color w:val="auto"/>
          <w:sz w:val="24"/>
          <w:highlight w:val="none"/>
          <w:lang w:val="zh-CN"/>
        </w:rPr>
        <w:t>1.</w:t>
      </w:r>
      <w:r>
        <w:rPr>
          <w:rFonts w:ascii="宋体" w:hAnsi="宋体" w:eastAsia="宋体"/>
          <w:b/>
          <w:bCs/>
          <w:color w:val="auto"/>
          <w:sz w:val="24"/>
          <w:highlight w:val="none"/>
          <w:lang w:val="zh-CN"/>
        </w:rPr>
        <w:t>4 付款方式和发票开具方式</w:t>
      </w:r>
      <w:bookmarkEnd w:id="84"/>
      <w:bookmarkEnd w:id="85"/>
      <w:bookmarkEnd w:id="86"/>
    </w:p>
    <w:p w14:paraId="71BA608B">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1.4.1</w:t>
      </w:r>
      <w:r>
        <w:rPr>
          <w:rFonts w:ascii="宋体" w:hAnsi="宋体" w:eastAsia="宋体"/>
          <w:color w:val="auto"/>
          <w:sz w:val="24"/>
          <w:highlight w:val="none"/>
        </w:rPr>
        <w:t>付款方式：</w:t>
      </w:r>
      <w:r>
        <w:rPr>
          <w:rFonts w:hint="eastAsia" w:ascii="宋体" w:hAnsi="宋体" w:eastAsia="宋体"/>
          <w:color w:val="auto"/>
          <w:sz w:val="24"/>
          <w:highlight w:val="none"/>
          <w:u w:val="single"/>
        </w:rPr>
        <w:t xml:space="preserve">  </w:t>
      </w:r>
      <w:r>
        <w:rPr>
          <w:rFonts w:hint="eastAsia" w:ascii="宋体" w:hAnsi="宋体" w:eastAsia="宋体"/>
          <w:b w:val="0"/>
          <w:color w:val="auto"/>
          <w:sz w:val="24"/>
          <w:highlight w:val="none"/>
          <w:u w:val="single"/>
        </w:rPr>
        <w:t>按季度付款，每季度</w:t>
      </w:r>
      <w:r>
        <w:rPr>
          <w:rFonts w:hint="eastAsia" w:ascii="宋体" w:hAnsi="宋体" w:eastAsia="宋体"/>
          <w:b w:val="0"/>
          <w:color w:val="auto"/>
          <w:sz w:val="24"/>
          <w:highlight w:val="none"/>
          <w:u w:val="single"/>
          <w:lang w:val="en-US" w:eastAsia="zh-CN"/>
        </w:rPr>
        <w:t>结束</w:t>
      </w:r>
      <w:r>
        <w:rPr>
          <w:rFonts w:hint="eastAsia" w:ascii="宋体" w:hAnsi="宋体" w:eastAsia="宋体"/>
          <w:b w:val="0"/>
          <w:color w:val="auto"/>
          <w:sz w:val="24"/>
          <w:highlight w:val="none"/>
          <w:u w:val="single"/>
        </w:rPr>
        <w:t>完成电梯维保工作后支付</w:t>
      </w:r>
      <w:r>
        <w:rPr>
          <w:rFonts w:hint="eastAsia" w:ascii="宋体" w:hAnsi="宋体" w:eastAsia="宋体"/>
          <w:b w:val="0"/>
          <w:color w:val="auto"/>
          <w:sz w:val="24"/>
          <w:highlight w:val="none"/>
          <w:u w:val="single"/>
          <w:lang w:val="en-US" w:eastAsia="zh-CN"/>
        </w:rPr>
        <w:t>实际使用电梯的维保费用</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4EF80F62">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1.4.2发票开具方式：</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u w:val="single"/>
          <w:lang w:eastAsia="zh-CN"/>
        </w:rPr>
        <w:t>普通增值税发票</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220564D3">
      <w:pPr>
        <w:spacing w:line="360" w:lineRule="auto"/>
        <w:ind w:firstLine="437"/>
        <w:outlineLvl w:val="2"/>
        <w:rPr>
          <w:rFonts w:ascii="宋体" w:hAnsi="宋体" w:eastAsia="宋体"/>
          <w:b/>
          <w:bCs/>
          <w:sz w:val="24"/>
          <w:highlight w:val="none"/>
          <w:lang w:val="zh-CN"/>
        </w:rPr>
      </w:pPr>
      <w:bookmarkStart w:id="87" w:name="_Toc2846"/>
      <w:bookmarkStart w:id="88" w:name="_Toc32071"/>
      <w:bookmarkStart w:id="89" w:name="_Toc19304"/>
      <w:r>
        <w:rPr>
          <w:rFonts w:hint="eastAsia" w:ascii="宋体" w:hAnsi="宋体" w:eastAsia="宋体"/>
          <w:b/>
          <w:bCs/>
          <w:sz w:val="24"/>
          <w:highlight w:val="none"/>
          <w:lang w:val="zh-CN"/>
        </w:rPr>
        <w:t>1.</w:t>
      </w:r>
      <w:r>
        <w:rPr>
          <w:rFonts w:ascii="宋体" w:hAnsi="宋体" w:eastAsia="宋体"/>
          <w:b/>
          <w:bCs/>
          <w:sz w:val="24"/>
          <w:highlight w:val="none"/>
          <w:lang w:val="zh-CN"/>
        </w:rPr>
        <w:t xml:space="preserve">5 </w:t>
      </w:r>
      <w:r>
        <w:rPr>
          <w:rFonts w:hint="eastAsia" w:ascii="宋体" w:hAnsi="宋体" w:eastAsia="宋体"/>
          <w:b/>
          <w:bCs/>
          <w:sz w:val="24"/>
          <w:highlight w:val="none"/>
          <w:lang w:val="zh-CN"/>
        </w:rPr>
        <w:t>服务</w:t>
      </w:r>
      <w:r>
        <w:rPr>
          <w:rFonts w:ascii="宋体" w:hAnsi="宋体" w:eastAsia="宋体"/>
          <w:b/>
          <w:bCs/>
          <w:sz w:val="24"/>
          <w:highlight w:val="none"/>
          <w:lang w:val="zh-CN"/>
        </w:rPr>
        <w:t>期限</w:t>
      </w:r>
      <w:r>
        <w:rPr>
          <w:rFonts w:hint="eastAsia" w:ascii="宋体" w:hAnsi="宋体" w:eastAsia="宋体"/>
          <w:b/>
          <w:bCs/>
          <w:sz w:val="24"/>
          <w:highlight w:val="none"/>
          <w:lang w:val="zh-CN"/>
        </w:rPr>
        <w:t>、地点和方式</w:t>
      </w:r>
      <w:bookmarkEnd w:id="87"/>
      <w:bookmarkEnd w:id="88"/>
      <w:bookmarkEnd w:id="89"/>
    </w:p>
    <w:p w14:paraId="52FD8320">
      <w:pPr>
        <w:spacing w:line="360" w:lineRule="auto"/>
        <w:ind w:firstLine="435"/>
        <w:rPr>
          <w:rFonts w:ascii="宋体" w:hAnsi="宋体" w:eastAsia="宋体"/>
          <w:sz w:val="24"/>
          <w:highlight w:val="none"/>
          <w:u w:val="single"/>
        </w:rPr>
      </w:pPr>
      <w:r>
        <w:rPr>
          <w:rFonts w:hint="eastAsia" w:ascii="宋体" w:hAnsi="宋体" w:eastAsia="宋体"/>
          <w:sz w:val="24"/>
          <w:highlight w:val="none"/>
        </w:rPr>
        <w:t>1.5.1服务期限</w:t>
      </w:r>
      <w:r>
        <w:rPr>
          <w:rFonts w:ascii="宋体" w:hAnsi="宋体" w:eastAsia="宋体"/>
          <w:sz w:val="24"/>
          <w:highlight w:val="none"/>
        </w:rPr>
        <w:t>：</w:t>
      </w:r>
      <w:r>
        <w:rPr>
          <w:rFonts w:hint="eastAsia" w:ascii="宋体" w:hAnsi="宋体" w:eastAsia="宋体"/>
          <w:sz w:val="24"/>
          <w:highlight w:val="none"/>
          <w:u w:val="single"/>
        </w:rPr>
        <w:t xml:space="preserve">  </w:t>
      </w:r>
      <w:r>
        <w:rPr>
          <w:rFonts w:hint="eastAsia" w:ascii="宋体" w:hAnsi="宋体" w:eastAsia="宋体" w:cs="宋体"/>
          <w:color w:val="auto"/>
          <w:sz w:val="24"/>
          <w:szCs w:val="18"/>
          <w:highlight w:val="none"/>
          <w:u w:val="single"/>
          <w:lang w:val="en-US" w:eastAsia="zh-CN"/>
        </w:rPr>
        <w:t>自合同生效之日起满1年</w:t>
      </w:r>
      <w:r>
        <w:rPr>
          <w:rFonts w:hint="eastAsia" w:ascii="宋体" w:hAnsi="宋体" w:eastAsia="宋体" w:cs="宋体"/>
          <w:color w:val="auto"/>
          <w:sz w:val="24"/>
          <w:szCs w:val="18"/>
          <w:highlight w:val="none"/>
          <w:u w:val="single"/>
        </w:rPr>
        <w:t xml:space="preserve">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78834CCF">
      <w:pPr>
        <w:spacing w:line="360" w:lineRule="auto"/>
        <w:ind w:firstLine="435"/>
        <w:rPr>
          <w:rFonts w:ascii="宋体" w:hAnsi="宋体" w:eastAsia="宋体"/>
          <w:sz w:val="24"/>
          <w:highlight w:val="none"/>
        </w:rPr>
      </w:pPr>
      <w:r>
        <w:rPr>
          <w:rFonts w:hint="eastAsia" w:ascii="宋体" w:hAnsi="宋体" w:eastAsia="宋体"/>
          <w:sz w:val="24"/>
          <w:highlight w:val="none"/>
        </w:rPr>
        <w:t>1.5.2服务地点</w:t>
      </w:r>
      <w:r>
        <w:rPr>
          <w:rFonts w:ascii="宋体" w:hAnsi="宋体" w:eastAsia="宋体"/>
          <w:sz w:val="24"/>
          <w:highlight w:val="none"/>
        </w:rPr>
        <w:t>：</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定远县中医院（</w:t>
      </w:r>
      <w:r>
        <w:rPr>
          <w:rFonts w:hint="eastAsia" w:cs="Times New Roman" w:asciiTheme="minorEastAsia" w:hAnsiTheme="minorEastAsia" w:eastAsiaTheme="minorEastAsia"/>
          <w:color w:val="000000" w:themeColor="text1"/>
          <w:sz w:val="24"/>
          <w:szCs w:val="24"/>
          <w:u w:val="single"/>
          <w:lang w:eastAsia="zh-CN"/>
          <w14:textFill>
            <w14:solidFill>
              <w14:schemeClr w14:val="tx1"/>
            </w14:solidFill>
          </w14:textFill>
        </w:rPr>
        <w:t>采购人指定位置</w:t>
      </w:r>
      <w:r>
        <w:rPr>
          <w:rFonts w:hint="eastAsia" w:ascii="宋体" w:hAnsi="宋体" w:eastAsia="宋体"/>
          <w:sz w:val="24"/>
          <w:highlight w:val="none"/>
          <w:u w:val="single"/>
          <w:lang w:val="en-US" w:eastAsia="zh-CN"/>
        </w:rPr>
        <w:t>）</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022B4E2C">
      <w:pPr>
        <w:spacing w:line="360" w:lineRule="auto"/>
        <w:ind w:firstLine="437"/>
        <w:outlineLvl w:val="2"/>
        <w:rPr>
          <w:rFonts w:ascii="宋体" w:hAnsi="宋体" w:eastAsia="宋体"/>
          <w:b/>
          <w:bCs/>
          <w:sz w:val="24"/>
          <w:highlight w:val="none"/>
          <w:lang w:val="zh-CN"/>
        </w:rPr>
      </w:pPr>
      <w:bookmarkStart w:id="90" w:name="_Toc27250"/>
      <w:bookmarkStart w:id="91" w:name="_Toc19554"/>
      <w:bookmarkStart w:id="92" w:name="_Toc21423"/>
      <w:r>
        <w:rPr>
          <w:rFonts w:hint="eastAsia" w:ascii="宋体" w:hAnsi="宋体" w:eastAsia="宋体"/>
          <w:b/>
          <w:bCs/>
          <w:sz w:val="24"/>
          <w:highlight w:val="none"/>
          <w:lang w:val="zh-CN"/>
        </w:rPr>
        <w:t>1.6 违约责任</w:t>
      </w:r>
      <w:bookmarkEnd w:id="90"/>
      <w:bookmarkEnd w:id="91"/>
      <w:bookmarkEnd w:id="92"/>
    </w:p>
    <w:p w14:paraId="4AA07172">
      <w:pPr>
        <w:spacing w:line="360" w:lineRule="auto"/>
        <w:ind w:firstLine="435"/>
        <w:rPr>
          <w:rFonts w:ascii="宋体" w:hAnsi="宋体" w:eastAsia="宋体"/>
          <w:sz w:val="24"/>
          <w:highlight w:val="none"/>
        </w:rPr>
      </w:pPr>
      <w:r>
        <w:rPr>
          <w:rFonts w:hint="eastAsia" w:ascii="宋体" w:hAnsi="宋体" w:eastAsia="宋体"/>
          <w:sz w:val="24"/>
          <w:highlight w:val="none"/>
        </w:rPr>
        <w:t>1.6.1</w:t>
      </w:r>
      <w:r>
        <w:rPr>
          <w:rFonts w:ascii="宋体" w:hAnsi="宋体" w:eastAsia="宋体"/>
          <w:sz w:val="24"/>
          <w:highlight w:val="none"/>
        </w:rPr>
        <w:t>除不可抗力外，如果乙方没有按照本合同约定的期限</w:t>
      </w:r>
      <w:r>
        <w:rPr>
          <w:rFonts w:hint="eastAsia" w:ascii="宋体" w:hAnsi="宋体" w:eastAsia="宋体"/>
          <w:sz w:val="24"/>
          <w:highlight w:val="none"/>
        </w:rPr>
        <w:t>、</w:t>
      </w:r>
      <w:r>
        <w:rPr>
          <w:rFonts w:ascii="宋体" w:hAnsi="宋体" w:eastAsia="宋体"/>
          <w:sz w:val="24"/>
          <w:highlight w:val="none"/>
        </w:rPr>
        <w:t>地点和方式</w:t>
      </w:r>
      <w:r>
        <w:rPr>
          <w:rFonts w:hint="eastAsia" w:ascii="宋体" w:hAnsi="宋体" w:eastAsia="宋体"/>
          <w:sz w:val="24"/>
          <w:highlight w:val="none"/>
        </w:rPr>
        <w:t>履行</w:t>
      </w:r>
      <w:r>
        <w:rPr>
          <w:rFonts w:ascii="宋体" w:hAnsi="宋体" w:eastAsia="宋体"/>
          <w:sz w:val="24"/>
          <w:highlight w:val="none"/>
        </w:rPr>
        <w:t>，那么甲方可要求乙方支付违约金</w:t>
      </w:r>
      <w:r>
        <w:rPr>
          <w:rFonts w:hint="eastAsia" w:ascii="宋体" w:hAnsi="宋体" w:eastAsia="宋体"/>
          <w:sz w:val="24"/>
          <w:highlight w:val="none"/>
        </w:rPr>
        <w:t>，</w:t>
      </w:r>
      <w:r>
        <w:rPr>
          <w:rFonts w:ascii="宋体" w:hAnsi="宋体" w:eastAsia="宋体"/>
          <w:sz w:val="24"/>
          <w:highlight w:val="none"/>
        </w:rPr>
        <w:t>违约金按每迟延</w:t>
      </w:r>
      <w:r>
        <w:rPr>
          <w:rFonts w:hint="eastAsia" w:ascii="宋体" w:hAnsi="宋体" w:eastAsia="宋体"/>
          <w:sz w:val="24"/>
          <w:highlight w:val="none"/>
        </w:rPr>
        <w:t>履行</w:t>
      </w:r>
      <w:r>
        <w:rPr>
          <w:rFonts w:ascii="宋体" w:hAnsi="宋体" w:eastAsia="宋体"/>
          <w:sz w:val="24"/>
          <w:highlight w:val="none"/>
        </w:rPr>
        <w:t>一日的应提供而未</w:t>
      </w:r>
      <w:r>
        <w:rPr>
          <w:rFonts w:hint="eastAsia" w:ascii="宋体" w:hAnsi="宋体" w:eastAsia="宋体"/>
          <w:sz w:val="24"/>
          <w:highlight w:val="none"/>
        </w:rPr>
        <w:t>提供</w:t>
      </w:r>
      <w:r>
        <w:rPr>
          <w:rFonts w:ascii="宋体" w:hAnsi="宋体" w:eastAsia="宋体"/>
          <w:sz w:val="24"/>
          <w:highlight w:val="none"/>
        </w:rPr>
        <w:t>服务价格的</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20</w:t>
      </w:r>
      <w:r>
        <w:rPr>
          <w:rFonts w:hint="eastAsia" w:ascii="宋体" w:hAnsi="宋体" w:eastAsia="宋体"/>
          <w:sz w:val="24"/>
          <w:highlight w:val="none"/>
          <w:u w:val="single"/>
        </w:rPr>
        <w:t xml:space="preserve"> </w:t>
      </w:r>
      <w:r>
        <w:rPr>
          <w:rFonts w:ascii="宋体" w:hAnsi="宋体" w:eastAsia="宋体"/>
          <w:sz w:val="24"/>
          <w:highlight w:val="none"/>
        </w:rPr>
        <w:t>%计算</w:t>
      </w:r>
      <w:r>
        <w:rPr>
          <w:rFonts w:hint="eastAsia" w:ascii="宋体" w:hAnsi="宋体" w:eastAsia="宋体"/>
          <w:sz w:val="24"/>
          <w:highlight w:val="none"/>
        </w:rPr>
        <w:t>，</w:t>
      </w:r>
      <w:r>
        <w:rPr>
          <w:rFonts w:ascii="宋体" w:hAnsi="宋体" w:eastAsia="宋体"/>
          <w:sz w:val="24"/>
          <w:highlight w:val="none"/>
        </w:rPr>
        <w:t>最高限额为</w:t>
      </w:r>
      <w:r>
        <w:rPr>
          <w:rFonts w:hint="eastAsia" w:ascii="宋体" w:hAnsi="宋体" w:eastAsia="宋体"/>
          <w:sz w:val="24"/>
          <w:highlight w:val="none"/>
        </w:rPr>
        <w:t>本</w:t>
      </w:r>
      <w:r>
        <w:rPr>
          <w:rFonts w:ascii="宋体" w:hAnsi="宋体" w:eastAsia="宋体"/>
          <w:sz w:val="24"/>
          <w:highlight w:val="none"/>
        </w:rPr>
        <w:t>合同总价的</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100</w:t>
      </w:r>
      <w:r>
        <w:rPr>
          <w:rFonts w:hint="eastAsia" w:ascii="宋体" w:hAnsi="宋体" w:eastAsia="宋体"/>
          <w:sz w:val="24"/>
          <w:highlight w:val="none"/>
          <w:u w:val="single"/>
        </w:rPr>
        <w:t xml:space="preserve"> </w:t>
      </w:r>
      <w:r>
        <w:rPr>
          <w:rFonts w:ascii="宋体" w:hAnsi="宋体" w:eastAsia="宋体"/>
          <w:sz w:val="24"/>
          <w:highlight w:val="none"/>
        </w:rPr>
        <w:t>%</w:t>
      </w:r>
      <w:r>
        <w:rPr>
          <w:rFonts w:hint="eastAsia" w:ascii="宋体" w:hAnsi="宋体" w:eastAsia="宋体"/>
          <w:sz w:val="24"/>
          <w:highlight w:val="none"/>
        </w:rPr>
        <w:t>；</w:t>
      </w:r>
      <w:r>
        <w:rPr>
          <w:rFonts w:ascii="宋体" w:hAnsi="宋体" w:eastAsia="宋体"/>
          <w:sz w:val="24"/>
          <w:highlight w:val="none"/>
        </w:rPr>
        <w:t>迟延</w:t>
      </w:r>
      <w:r>
        <w:rPr>
          <w:rFonts w:hint="eastAsia" w:ascii="宋体" w:hAnsi="宋体" w:eastAsia="宋体"/>
          <w:sz w:val="24"/>
          <w:highlight w:val="none"/>
        </w:rPr>
        <w:t>履行</w:t>
      </w:r>
      <w:r>
        <w:rPr>
          <w:rFonts w:ascii="宋体" w:hAnsi="宋体" w:eastAsia="宋体"/>
          <w:sz w:val="24"/>
          <w:highlight w:val="none"/>
        </w:rPr>
        <w:t>的违约金计算数额达到前述最高限额之日起</w:t>
      </w:r>
      <w:r>
        <w:rPr>
          <w:rFonts w:hint="eastAsia" w:ascii="宋体" w:hAnsi="宋体" w:eastAsia="宋体"/>
          <w:sz w:val="24"/>
          <w:highlight w:val="none"/>
        </w:rPr>
        <w:t>，</w:t>
      </w:r>
      <w:r>
        <w:rPr>
          <w:rFonts w:ascii="宋体" w:hAnsi="宋体" w:eastAsia="宋体"/>
          <w:sz w:val="24"/>
          <w:highlight w:val="none"/>
        </w:rPr>
        <w:t>甲方有权在要求乙方支付违约金的同时</w:t>
      </w:r>
      <w:r>
        <w:rPr>
          <w:rFonts w:hint="eastAsia" w:ascii="宋体" w:hAnsi="宋体" w:eastAsia="宋体"/>
          <w:sz w:val="24"/>
          <w:highlight w:val="none"/>
        </w:rPr>
        <w:t>，书面通知乙方</w:t>
      </w:r>
      <w:r>
        <w:rPr>
          <w:rFonts w:ascii="宋体" w:hAnsi="宋体" w:eastAsia="宋体"/>
          <w:sz w:val="24"/>
          <w:highlight w:val="none"/>
        </w:rPr>
        <w:t>解除本合同</w:t>
      </w:r>
      <w:r>
        <w:rPr>
          <w:rFonts w:hint="eastAsia" w:ascii="宋体" w:hAnsi="宋体" w:eastAsia="宋体"/>
          <w:sz w:val="24"/>
          <w:highlight w:val="none"/>
        </w:rPr>
        <w:t>；</w:t>
      </w:r>
    </w:p>
    <w:p w14:paraId="7972BFFF">
      <w:pPr>
        <w:spacing w:line="360" w:lineRule="auto"/>
        <w:ind w:firstLine="435"/>
        <w:rPr>
          <w:rFonts w:ascii="宋体" w:hAnsi="宋体" w:eastAsia="宋体"/>
          <w:sz w:val="24"/>
          <w:highlight w:val="none"/>
        </w:rPr>
      </w:pPr>
      <w:r>
        <w:rPr>
          <w:rFonts w:hint="eastAsia" w:ascii="宋体" w:hAnsi="宋体" w:eastAsia="宋体"/>
          <w:sz w:val="24"/>
          <w:highlight w:val="none"/>
        </w:rPr>
        <w:t>1.6.2</w:t>
      </w:r>
      <w:r>
        <w:rPr>
          <w:rFonts w:ascii="宋体" w:hAnsi="宋体" w:eastAsia="宋体"/>
          <w:sz w:val="24"/>
          <w:highlight w:val="none"/>
        </w:rPr>
        <w:t>除不可抗力外，如果甲方没有按照本合同约定的付款方式付款，那么乙方可要求甲方支付违约金</w:t>
      </w:r>
      <w:r>
        <w:rPr>
          <w:rFonts w:hint="eastAsia" w:ascii="宋体" w:hAnsi="宋体" w:eastAsia="宋体"/>
          <w:sz w:val="24"/>
          <w:highlight w:val="none"/>
        </w:rPr>
        <w:t>，</w:t>
      </w:r>
      <w:r>
        <w:rPr>
          <w:rFonts w:ascii="宋体" w:hAnsi="宋体" w:eastAsia="宋体"/>
          <w:sz w:val="24"/>
          <w:highlight w:val="none"/>
        </w:rPr>
        <w:t>违约金按每迟延</w:t>
      </w:r>
      <w:r>
        <w:rPr>
          <w:rFonts w:hint="eastAsia" w:ascii="宋体" w:hAnsi="宋体" w:eastAsia="宋体"/>
          <w:sz w:val="24"/>
          <w:highlight w:val="none"/>
        </w:rPr>
        <w:t>付款</w:t>
      </w:r>
      <w:r>
        <w:rPr>
          <w:rFonts w:ascii="宋体" w:hAnsi="宋体" w:eastAsia="宋体"/>
          <w:sz w:val="24"/>
          <w:highlight w:val="none"/>
        </w:rPr>
        <w:t>一日的应付而未付款的</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20</w:t>
      </w:r>
      <w:r>
        <w:rPr>
          <w:rFonts w:hint="eastAsia" w:ascii="宋体" w:hAnsi="宋体" w:eastAsia="宋体"/>
          <w:sz w:val="24"/>
          <w:highlight w:val="none"/>
          <w:u w:val="single"/>
        </w:rPr>
        <w:t xml:space="preserve"> </w:t>
      </w:r>
      <w:r>
        <w:rPr>
          <w:rFonts w:ascii="宋体" w:hAnsi="宋体" w:eastAsia="宋体"/>
          <w:sz w:val="24"/>
          <w:highlight w:val="none"/>
        </w:rPr>
        <w:t>%计算</w:t>
      </w:r>
      <w:r>
        <w:rPr>
          <w:rFonts w:hint="eastAsia" w:ascii="宋体" w:hAnsi="宋体" w:eastAsia="宋体"/>
          <w:sz w:val="24"/>
          <w:highlight w:val="none"/>
        </w:rPr>
        <w:t>，</w:t>
      </w:r>
      <w:r>
        <w:rPr>
          <w:rFonts w:ascii="宋体" w:hAnsi="宋体" w:eastAsia="宋体"/>
          <w:sz w:val="24"/>
          <w:highlight w:val="none"/>
        </w:rPr>
        <w:t>最高限额为</w:t>
      </w:r>
      <w:r>
        <w:rPr>
          <w:rFonts w:hint="eastAsia" w:ascii="宋体" w:hAnsi="宋体" w:eastAsia="宋体"/>
          <w:sz w:val="24"/>
          <w:highlight w:val="none"/>
        </w:rPr>
        <w:t>本</w:t>
      </w:r>
      <w:r>
        <w:rPr>
          <w:rFonts w:ascii="宋体" w:hAnsi="宋体" w:eastAsia="宋体"/>
          <w:sz w:val="24"/>
          <w:highlight w:val="none"/>
        </w:rPr>
        <w:t>合同总价的</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100</w:t>
      </w:r>
      <w:r>
        <w:rPr>
          <w:rFonts w:hint="eastAsia" w:ascii="宋体" w:hAnsi="宋体" w:eastAsia="宋体"/>
          <w:sz w:val="24"/>
          <w:highlight w:val="none"/>
          <w:u w:val="single"/>
        </w:rPr>
        <w:t xml:space="preserve"> </w:t>
      </w:r>
      <w:r>
        <w:rPr>
          <w:rFonts w:ascii="宋体" w:hAnsi="宋体" w:eastAsia="宋体"/>
          <w:sz w:val="24"/>
          <w:highlight w:val="none"/>
        </w:rPr>
        <w:t>%</w:t>
      </w:r>
      <w:r>
        <w:rPr>
          <w:rFonts w:hint="eastAsia" w:ascii="宋体" w:hAnsi="宋体" w:eastAsia="宋体"/>
          <w:sz w:val="24"/>
          <w:highlight w:val="none"/>
        </w:rPr>
        <w:t>；</w:t>
      </w:r>
      <w:r>
        <w:rPr>
          <w:rFonts w:ascii="宋体" w:hAnsi="宋体" w:eastAsia="宋体"/>
          <w:sz w:val="24"/>
          <w:highlight w:val="none"/>
        </w:rPr>
        <w:t>迟延</w:t>
      </w:r>
      <w:r>
        <w:rPr>
          <w:rFonts w:hint="eastAsia" w:ascii="宋体" w:hAnsi="宋体" w:eastAsia="宋体"/>
          <w:sz w:val="24"/>
          <w:highlight w:val="none"/>
        </w:rPr>
        <w:t>付款</w:t>
      </w:r>
      <w:r>
        <w:rPr>
          <w:rFonts w:ascii="宋体" w:hAnsi="宋体" w:eastAsia="宋体"/>
          <w:sz w:val="24"/>
          <w:highlight w:val="none"/>
        </w:rPr>
        <w:t>的违约金计算数额达到前述最高限额之日起</w:t>
      </w:r>
      <w:r>
        <w:rPr>
          <w:rFonts w:hint="eastAsia" w:ascii="宋体" w:hAnsi="宋体" w:eastAsia="宋体"/>
          <w:sz w:val="24"/>
          <w:highlight w:val="none"/>
        </w:rPr>
        <w:t>，乙</w:t>
      </w:r>
      <w:r>
        <w:rPr>
          <w:rFonts w:ascii="宋体" w:hAnsi="宋体" w:eastAsia="宋体"/>
          <w:sz w:val="24"/>
          <w:highlight w:val="none"/>
        </w:rPr>
        <w:t>方有权在要求甲方支付违约金的同时</w:t>
      </w:r>
      <w:r>
        <w:rPr>
          <w:rFonts w:hint="eastAsia" w:ascii="宋体" w:hAnsi="宋体" w:eastAsia="宋体"/>
          <w:sz w:val="24"/>
          <w:highlight w:val="none"/>
        </w:rPr>
        <w:t>，书面通知甲方</w:t>
      </w:r>
      <w:r>
        <w:rPr>
          <w:rFonts w:ascii="宋体" w:hAnsi="宋体" w:eastAsia="宋体"/>
          <w:sz w:val="24"/>
          <w:highlight w:val="none"/>
        </w:rPr>
        <w:t>解除本合同</w:t>
      </w:r>
      <w:r>
        <w:rPr>
          <w:rFonts w:hint="eastAsia" w:ascii="宋体" w:hAnsi="宋体" w:eastAsia="宋体"/>
          <w:sz w:val="24"/>
          <w:highlight w:val="none"/>
        </w:rPr>
        <w:t>；</w:t>
      </w:r>
    </w:p>
    <w:p w14:paraId="668EEA43">
      <w:pPr>
        <w:spacing w:line="360" w:lineRule="auto"/>
        <w:ind w:firstLine="435"/>
        <w:rPr>
          <w:rFonts w:ascii="宋体" w:hAnsi="宋体" w:eastAsia="宋体"/>
          <w:sz w:val="24"/>
          <w:highlight w:val="none"/>
        </w:rPr>
      </w:pPr>
      <w:r>
        <w:rPr>
          <w:rFonts w:hint="eastAsia" w:ascii="宋体" w:hAnsi="宋体" w:eastAsia="宋体"/>
          <w:sz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51B9F64A">
      <w:pPr>
        <w:spacing w:line="360" w:lineRule="auto"/>
        <w:ind w:firstLine="435"/>
        <w:rPr>
          <w:rFonts w:ascii="宋体" w:hAnsi="宋体" w:eastAsia="宋体"/>
          <w:sz w:val="24"/>
          <w:highlight w:val="none"/>
        </w:rPr>
      </w:pPr>
      <w:r>
        <w:rPr>
          <w:rFonts w:hint="eastAsia" w:ascii="宋体" w:hAnsi="宋体" w:eastAsia="宋体"/>
          <w:sz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68D7D082">
      <w:pPr>
        <w:spacing w:line="360" w:lineRule="auto"/>
        <w:ind w:firstLine="435"/>
        <w:rPr>
          <w:rFonts w:ascii="宋体" w:hAnsi="宋体" w:eastAsia="宋体"/>
          <w:sz w:val="24"/>
          <w:highlight w:val="none"/>
        </w:rPr>
      </w:pPr>
      <w:r>
        <w:rPr>
          <w:rFonts w:hint="eastAsia" w:ascii="宋体" w:hAnsi="宋体" w:eastAsia="宋体"/>
          <w:sz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25B930AF">
      <w:pPr>
        <w:spacing w:line="360" w:lineRule="auto"/>
        <w:ind w:firstLine="435"/>
        <w:rPr>
          <w:rFonts w:ascii="宋体" w:hAnsi="宋体" w:eastAsia="宋体"/>
          <w:sz w:val="24"/>
          <w:highlight w:val="none"/>
        </w:rPr>
      </w:pPr>
      <w:r>
        <w:rPr>
          <w:rFonts w:hint="eastAsia" w:ascii="宋体" w:hAnsi="宋体" w:eastAsia="宋体"/>
          <w:sz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69569A1F">
      <w:pPr>
        <w:spacing w:line="360" w:lineRule="auto"/>
        <w:ind w:firstLine="435"/>
        <w:rPr>
          <w:rFonts w:asciiTheme="minorEastAsia" w:hAnsiTheme="minorEastAsia" w:eastAsiaTheme="minorEastAsia"/>
          <w:sz w:val="24"/>
          <w:highlight w:val="none"/>
        </w:rPr>
      </w:pPr>
      <w:bookmarkStart w:id="93" w:name="_Toc28375"/>
      <w:bookmarkStart w:id="94" w:name="_Toc15583"/>
      <w:bookmarkStart w:id="95" w:name="_Toc16021"/>
      <w:r>
        <w:rPr>
          <w:rFonts w:hint="eastAsia" w:asciiTheme="minorEastAsia" w:hAnsiTheme="minorEastAsia" w:eastAsiaTheme="minorEastAsia"/>
          <w:sz w:val="24"/>
          <w:highlight w:val="none"/>
        </w:rPr>
        <w:t>1.6.7因甲方未按合同约定支付价款、未按合同约定受领标的物、擅自解除合同</w:t>
      </w:r>
      <w:r>
        <w:rPr>
          <w:rFonts w:hint="eastAsia" w:cs="Times New Roman" w:asciiTheme="minorEastAsia" w:hAnsiTheme="minorEastAsia" w:eastAsiaTheme="minorEastAsia"/>
          <w:color w:val="000000" w:themeColor="text1"/>
          <w:sz w:val="24"/>
          <w:szCs w:val="24"/>
          <w:highlight w:val="none"/>
          <w:lang w:eastAsia="zh-CN"/>
          <w14:textFill>
            <w14:solidFill>
              <w14:schemeClr w14:val="tx1"/>
            </w14:solidFill>
          </w14:textFill>
        </w:rPr>
        <w:t>、</w:t>
      </w: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逾期退还履约保证金</w:t>
      </w:r>
      <w:r>
        <w:rPr>
          <w:rFonts w:hint="eastAsia" w:asciiTheme="minorEastAsia" w:hAnsiTheme="minorEastAsia" w:eastAsiaTheme="minorEastAsia"/>
          <w:sz w:val="24"/>
          <w:highlight w:val="none"/>
        </w:rPr>
        <w:t>导致乙方遭受的直接损失，乙方可向甲方申请赔偿，赔偿金额由双方协商一致；针对因政策变化等原因不能签订合同或解除合同时，造成乙方合法利益受损的情形，可以给予乙方合理补偿，补偿金额不得超过乙方的直接损失。</w:t>
      </w:r>
    </w:p>
    <w:p w14:paraId="5F78DA8C">
      <w:pPr>
        <w:spacing w:line="360" w:lineRule="auto"/>
        <w:ind w:firstLine="437"/>
        <w:outlineLvl w:val="2"/>
        <w:rPr>
          <w:rFonts w:ascii="宋体" w:hAnsi="宋体" w:eastAsia="宋体"/>
          <w:b/>
          <w:bCs/>
          <w:sz w:val="24"/>
          <w:highlight w:val="none"/>
          <w:lang w:val="zh-CN"/>
        </w:rPr>
      </w:pPr>
      <w:r>
        <w:rPr>
          <w:rFonts w:hint="eastAsia" w:ascii="宋体" w:hAnsi="宋体" w:eastAsia="宋体"/>
          <w:b/>
          <w:bCs/>
          <w:sz w:val="24"/>
          <w:highlight w:val="none"/>
          <w:lang w:val="zh-CN"/>
        </w:rPr>
        <w:t>1.7</w:t>
      </w:r>
      <w:r>
        <w:rPr>
          <w:rFonts w:ascii="宋体" w:hAnsi="宋体" w:eastAsia="宋体"/>
          <w:b/>
          <w:bCs/>
          <w:sz w:val="24"/>
          <w:highlight w:val="none"/>
          <w:lang w:val="zh-CN"/>
        </w:rPr>
        <w:t xml:space="preserve"> </w:t>
      </w:r>
      <w:r>
        <w:rPr>
          <w:rFonts w:hint="eastAsia" w:ascii="宋体" w:hAnsi="宋体" w:eastAsia="宋体"/>
          <w:b/>
          <w:bCs/>
          <w:sz w:val="24"/>
          <w:highlight w:val="none"/>
          <w:lang w:val="zh-CN"/>
        </w:rPr>
        <w:t>合同</w:t>
      </w:r>
      <w:r>
        <w:rPr>
          <w:rFonts w:ascii="宋体" w:hAnsi="宋体" w:eastAsia="宋体"/>
          <w:b/>
          <w:bCs/>
          <w:sz w:val="24"/>
          <w:highlight w:val="none"/>
          <w:lang w:val="zh-CN"/>
        </w:rPr>
        <w:t>争议的解决</w:t>
      </w:r>
      <w:bookmarkEnd w:id="93"/>
      <w:bookmarkEnd w:id="94"/>
      <w:bookmarkEnd w:id="95"/>
    </w:p>
    <w:p w14:paraId="77B7817F">
      <w:pPr>
        <w:spacing w:line="360" w:lineRule="auto"/>
        <w:ind w:firstLine="435"/>
        <w:rPr>
          <w:rFonts w:ascii="宋体" w:hAnsi="宋体" w:eastAsia="宋体"/>
          <w:sz w:val="24"/>
          <w:highlight w:val="none"/>
        </w:rPr>
      </w:pPr>
      <w:r>
        <w:rPr>
          <w:rFonts w:hint="eastAsia" w:ascii="宋体" w:hAnsi="宋体" w:eastAsia="宋体"/>
          <w:sz w:val="24"/>
          <w:highlight w:val="none"/>
        </w:rPr>
        <w:t>本合</w:t>
      </w:r>
      <w:r>
        <w:rPr>
          <w:rFonts w:ascii="宋体" w:hAnsi="宋体" w:eastAsia="宋体"/>
          <w:sz w:val="24"/>
          <w:highlight w:val="none"/>
        </w:rPr>
        <w:t>同履行过程中发生的任何争议，双方当事人均可</w:t>
      </w:r>
      <w:r>
        <w:rPr>
          <w:rFonts w:hint="eastAsia" w:ascii="宋体" w:hAnsi="宋体" w:eastAsia="宋体"/>
          <w:sz w:val="24"/>
          <w:highlight w:val="none"/>
        </w:rPr>
        <w:t>通过和解或者调解解决；不愿和解、调解或者和解、调解不成的，可以选择下列第</w:t>
      </w:r>
      <w:r>
        <w:rPr>
          <w:rFonts w:hint="eastAsia" w:ascii="宋体" w:hAnsi="宋体" w:eastAsia="宋体"/>
          <w:sz w:val="24"/>
          <w:highlight w:val="none"/>
          <w:u w:val="single"/>
        </w:rPr>
        <w:t xml:space="preserve"> </w:t>
      </w:r>
      <w:r>
        <w:rPr>
          <w:rFonts w:hint="eastAsia" w:ascii="宋体" w:hAnsi="宋体" w:eastAsia="宋体"/>
          <w:sz w:val="24"/>
          <w:highlight w:val="none"/>
          <w:u w:val="single"/>
          <w:lang w:eastAsia="zh-CN"/>
        </w:rPr>
        <w:t>（</w:t>
      </w:r>
      <w:r>
        <w:rPr>
          <w:rFonts w:hint="eastAsia" w:ascii="宋体" w:hAnsi="宋体" w:eastAsia="宋体"/>
          <w:sz w:val="24"/>
          <w:highlight w:val="none"/>
          <w:u w:val="single"/>
          <w:lang w:val="en-US" w:eastAsia="zh-CN"/>
        </w:rPr>
        <w:t>2</w:t>
      </w:r>
      <w:r>
        <w:rPr>
          <w:rFonts w:hint="eastAsia" w:ascii="宋体" w:hAnsi="宋体" w:eastAsia="宋体"/>
          <w:sz w:val="24"/>
          <w:highlight w:val="none"/>
          <w:u w:val="single"/>
          <w:lang w:eastAsia="zh-CN"/>
        </w:rPr>
        <w:t>）</w:t>
      </w:r>
      <w:r>
        <w:rPr>
          <w:rFonts w:hint="eastAsia" w:ascii="宋体" w:hAnsi="宋体" w:eastAsia="宋体"/>
          <w:sz w:val="24"/>
          <w:highlight w:val="none"/>
          <w:u w:val="single"/>
        </w:rPr>
        <w:t xml:space="preserve"> </w:t>
      </w:r>
      <w:r>
        <w:rPr>
          <w:rFonts w:hint="eastAsia" w:ascii="宋体" w:hAnsi="宋体" w:eastAsia="宋体"/>
          <w:sz w:val="24"/>
          <w:highlight w:val="none"/>
        </w:rPr>
        <w:t>种方式解决：</w:t>
      </w:r>
    </w:p>
    <w:p w14:paraId="74EF13DE">
      <w:pPr>
        <w:spacing w:line="360" w:lineRule="auto"/>
        <w:ind w:firstLine="435"/>
        <w:rPr>
          <w:rFonts w:ascii="宋体" w:hAnsi="宋体" w:eastAsia="宋体"/>
          <w:sz w:val="24"/>
          <w:highlight w:val="none"/>
        </w:rPr>
      </w:pPr>
      <w:r>
        <w:rPr>
          <w:rFonts w:hint="eastAsia" w:ascii="宋体" w:hAnsi="宋体" w:eastAsia="宋体"/>
          <w:sz w:val="24"/>
          <w:highlight w:val="none"/>
        </w:rPr>
        <w:t>1.7.1将争议提交</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滁州市</w:t>
      </w:r>
      <w:r>
        <w:rPr>
          <w:rFonts w:hint="eastAsia" w:ascii="宋体" w:hAnsi="宋体" w:eastAsia="宋体"/>
          <w:sz w:val="24"/>
          <w:highlight w:val="none"/>
          <w:u w:val="single"/>
        </w:rPr>
        <w:t xml:space="preserve">    </w:t>
      </w:r>
      <w:r>
        <w:rPr>
          <w:rFonts w:hint="eastAsia" w:ascii="宋体" w:hAnsi="宋体" w:eastAsia="宋体"/>
          <w:sz w:val="24"/>
          <w:highlight w:val="none"/>
        </w:rPr>
        <w:t>仲裁委员会依申请仲裁时其现行有效的仲裁规则裁决；</w:t>
      </w:r>
    </w:p>
    <w:p w14:paraId="573DA2D0">
      <w:pPr>
        <w:spacing w:line="360" w:lineRule="auto"/>
        <w:ind w:firstLine="435"/>
        <w:rPr>
          <w:rFonts w:ascii="宋体" w:hAnsi="宋体" w:eastAsia="宋体"/>
          <w:sz w:val="24"/>
          <w:highlight w:val="none"/>
        </w:rPr>
      </w:pPr>
      <w:r>
        <w:rPr>
          <w:rFonts w:hint="eastAsia" w:ascii="宋体" w:hAnsi="宋体" w:eastAsia="宋体"/>
          <w:sz w:val="24"/>
          <w:highlight w:val="none"/>
        </w:rPr>
        <w:t>1.7.2向</w:t>
      </w:r>
      <w:r>
        <w:rPr>
          <w:rFonts w:hint="eastAsia" w:ascii="宋体" w:hAnsi="宋体" w:eastAsia="宋体"/>
          <w:sz w:val="24"/>
          <w:highlight w:val="none"/>
          <w:u w:val="single"/>
        </w:rPr>
        <w:t xml:space="preserve">   </w:t>
      </w:r>
      <w:r>
        <w:rPr>
          <w:rFonts w:hint="eastAsia" w:ascii="宋体" w:hAnsi="宋体" w:eastAsia="宋体"/>
          <w:sz w:val="24"/>
          <w:highlight w:val="none"/>
          <w:u w:val="single"/>
          <w:lang w:val="en-US" w:eastAsia="zh-CN"/>
        </w:rPr>
        <w:t>定远县</w:t>
      </w:r>
      <w:r>
        <w:rPr>
          <w:rFonts w:ascii="宋体" w:hAnsi="宋体" w:eastAsia="宋体"/>
          <w:sz w:val="24"/>
          <w:highlight w:val="none"/>
          <w:u w:val="single"/>
        </w:rPr>
        <w:t xml:space="preserve">   </w:t>
      </w:r>
      <w:r>
        <w:rPr>
          <w:rFonts w:hint="eastAsia" w:ascii="宋体" w:hAnsi="宋体" w:eastAsia="宋体"/>
          <w:sz w:val="24"/>
          <w:highlight w:val="none"/>
        </w:rPr>
        <w:t>人民法院起诉。</w:t>
      </w:r>
    </w:p>
    <w:p w14:paraId="3DFBCEF3">
      <w:pPr>
        <w:spacing w:line="360" w:lineRule="auto"/>
        <w:ind w:firstLine="437"/>
        <w:outlineLvl w:val="2"/>
        <w:rPr>
          <w:rFonts w:ascii="宋体" w:hAnsi="宋体" w:eastAsia="宋体"/>
          <w:b/>
          <w:bCs/>
          <w:sz w:val="24"/>
          <w:highlight w:val="none"/>
          <w:lang w:val="zh-CN"/>
        </w:rPr>
      </w:pPr>
      <w:bookmarkStart w:id="96" w:name="_Toc7245"/>
      <w:bookmarkStart w:id="97" w:name="_Toc15322"/>
      <w:bookmarkStart w:id="98" w:name="_Toc11173"/>
      <w:r>
        <w:rPr>
          <w:rFonts w:hint="eastAsia" w:ascii="宋体" w:hAnsi="宋体" w:eastAsia="宋体"/>
          <w:b/>
          <w:bCs/>
          <w:sz w:val="24"/>
          <w:highlight w:val="none"/>
          <w:lang w:val="zh-CN"/>
        </w:rPr>
        <w:t>1.8</w:t>
      </w:r>
      <w:r>
        <w:rPr>
          <w:rFonts w:ascii="宋体" w:hAnsi="宋体" w:eastAsia="宋体"/>
          <w:b/>
          <w:bCs/>
          <w:sz w:val="24"/>
          <w:highlight w:val="none"/>
          <w:lang w:val="zh-CN"/>
        </w:rPr>
        <w:t xml:space="preserve"> 合同生效</w:t>
      </w:r>
      <w:bookmarkEnd w:id="96"/>
      <w:bookmarkEnd w:id="97"/>
      <w:bookmarkEnd w:id="98"/>
    </w:p>
    <w:p w14:paraId="7C12DA62">
      <w:pPr>
        <w:spacing w:line="360" w:lineRule="auto"/>
        <w:ind w:firstLine="435"/>
        <w:rPr>
          <w:rFonts w:ascii="宋体" w:hAnsi="宋体" w:eastAsia="宋体"/>
          <w:sz w:val="24"/>
          <w:highlight w:val="none"/>
        </w:rPr>
      </w:pPr>
      <w:r>
        <w:rPr>
          <w:rFonts w:ascii="宋体" w:hAnsi="宋体" w:eastAsia="宋体"/>
          <w:sz w:val="24"/>
          <w:highlight w:val="none"/>
        </w:rPr>
        <w:t>本合同自</w:t>
      </w:r>
      <w:r>
        <w:rPr>
          <w:rFonts w:hint="eastAsia" w:ascii="宋体" w:hAnsi="宋体" w:eastAsia="宋体"/>
          <w:sz w:val="24"/>
          <w:highlight w:val="none"/>
        </w:rPr>
        <w:t>双方当事人盖章时</w:t>
      </w:r>
      <w:r>
        <w:rPr>
          <w:rFonts w:ascii="宋体" w:hAnsi="宋体" w:eastAsia="宋体"/>
          <w:sz w:val="24"/>
          <w:highlight w:val="none"/>
        </w:rPr>
        <w:t>生效。</w:t>
      </w:r>
    </w:p>
    <w:p w14:paraId="113B4F80">
      <w:pPr>
        <w:autoSpaceDE w:val="0"/>
        <w:autoSpaceDN w:val="0"/>
        <w:adjustRightInd w:val="0"/>
        <w:spacing w:line="560" w:lineRule="exact"/>
        <w:rPr>
          <w:rFonts w:ascii="宋体" w:hAnsi="宋体" w:eastAsia="宋体"/>
          <w:sz w:val="24"/>
          <w:highlight w:val="none"/>
          <w:lang w:val="zh-CN"/>
        </w:rPr>
      </w:pPr>
    </w:p>
    <w:p w14:paraId="4988652C">
      <w:pPr>
        <w:autoSpaceDE w:val="0"/>
        <w:autoSpaceDN w:val="0"/>
        <w:adjustRightInd w:val="0"/>
        <w:spacing w:line="560" w:lineRule="exact"/>
        <w:rPr>
          <w:rFonts w:ascii="宋体" w:hAnsi="宋体" w:eastAsia="宋体"/>
          <w:sz w:val="24"/>
          <w:highlight w:val="none"/>
          <w:lang w:val="zh-CN"/>
        </w:rPr>
      </w:pPr>
    </w:p>
    <w:p w14:paraId="45F7A010">
      <w:pPr>
        <w:autoSpaceDE w:val="0"/>
        <w:autoSpaceDN w:val="0"/>
        <w:adjustRightInd w:val="0"/>
        <w:spacing w:line="560" w:lineRule="exact"/>
        <w:rPr>
          <w:rFonts w:ascii="宋体" w:hAnsi="宋体" w:eastAsia="宋体"/>
          <w:sz w:val="24"/>
          <w:highlight w:val="none"/>
          <w:lang w:val="zh-CN"/>
        </w:rPr>
      </w:pPr>
    </w:p>
    <w:p w14:paraId="5EF188A8">
      <w:pPr>
        <w:autoSpaceDE w:val="0"/>
        <w:autoSpaceDN w:val="0"/>
        <w:adjustRightInd w:val="0"/>
        <w:spacing w:line="560" w:lineRule="exact"/>
        <w:rPr>
          <w:rFonts w:cs="Times New Roman" w:asciiTheme="minorEastAsia" w:hAnsiTheme="minorEastAsia" w:eastAsiaTheme="minorEastAsia"/>
          <w:bCs/>
          <w:sz w:val="24"/>
          <w:szCs w:val="24"/>
          <w:highlight w:val="none"/>
          <w:lang w:val="zh-CN"/>
        </w:rPr>
      </w:pPr>
      <w:bookmarkStart w:id="99" w:name="_Toc331685783"/>
      <w:r>
        <w:rPr>
          <w:rFonts w:hint="eastAsia" w:cs="Times New Roman" w:asciiTheme="minorEastAsia" w:hAnsiTheme="minorEastAsia" w:eastAsiaTheme="minorEastAsia"/>
          <w:bCs/>
          <w:sz w:val="24"/>
          <w:szCs w:val="24"/>
          <w:highlight w:val="none"/>
          <w:lang w:val="zh-CN"/>
        </w:rPr>
        <w:t xml:space="preserve">甲 </w:t>
      </w:r>
      <w:r>
        <w:rPr>
          <w:rFonts w:cs="Times New Roman" w:asciiTheme="minorEastAsia" w:hAnsiTheme="minorEastAsia" w:eastAsiaTheme="minorEastAsia"/>
          <w:bCs/>
          <w:sz w:val="24"/>
          <w:szCs w:val="24"/>
          <w:highlight w:val="none"/>
          <w:lang w:val="zh-CN"/>
        </w:rPr>
        <w:t xml:space="preserve">   </w:t>
      </w:r>
      <w:r>
        <w:rPr>
          <w:rFonts w:hint="eastAsia" w:cs="Times New Roman" w:asciiTheme="minorEastAsia" w:hAnsiTheme="minorEastAsia" w:eastAsiaTheme="minorEastAsia"/>
          <w:bCs/>
          <w:sz w:val="24"/>
          <w:szCs w:val="24"/>
          <w:highlight w:val="none"/>
          <w:lang w:val="zh-CN"/>
        </w:rPr>
        <w:t>方：</w:t>
      </w:r>
      <w:r>
        <w:rPr>
          <w:rFonts w:hint="eastAsia" w:cs="Times New Roman" w:asciiTheme="minorEastAsia" w:hAnsiTheme="minorEastAsia" w:eastAsiaTheme="minorEastAsia"/>
          <w:bCs/>
          <w:sz w:val="24"/>
          <w:szCs w:val="24"/>
          <w:highlight w:val="none"/>
          <w:u w:val="single"/>
          <w:lang w:val="zh-CN"/>
        </w:rPr>
        <w:t xml:space="preserve">    （单位盖章）     </w:t>
      </w:r>
      <w:r>
        <w:rPr>
          <w:rFonts w:hint="eastAsia" w:cs="Times New Roman" w:asciiTheme="minorEastAsia" w:hAnsiTheme="minorEastAsia" w:eastAsiaTheme="minorEastAsia"/>
          <w:bCs/>
          <w:sz w:val="24"/>
          <w:szCs w:val="24"/>
          <w:highlight w:val="none"/>
          <w:lang w:val="zh-CN"/>
        </w:rPr>
        <w:t xml:space="preserve">          乙方：</w:t>
      </w:r>
      <w:r>
        <w:rPr>
          <w:rFonts w:hint="eastAsia" w:cs="Times New Roman" w:asciiTheme="minorEastAsia" w:hAnsiTheme="minorEastAsia" w:eastAsiaTheme="minorEastAsia"/>
          <w:bCs/>
          <w:sz w:val="24"/>
          <w:szCs w:val="24"/>
          <w:highlight w:val="none"/>
          <w:u w:val="single"/>
          <w:lang w:val="zh-CN"/>
        </w:rPr>
        <w:t xml:space="preserve">    （单位盖章）     </w:t>
      </w:r>
    </w:p>
    <w:p w14:paraId="08C3CFD4">
      <w:pPr>
        <w:autoSpaceDE w:val="0"/>
        <w:autoSpaceDN w:val="0"/>
        <w:adjustRightInd w:val="0"/>
        <w:spacing w:line="560" w:lineRule="exact"/>
        <w:rPr>
          <w:rFonts w:cs="Times New Roman" w:asciiTheme="minorEastAsia" w:hAnsiTheme="minorEastAsia" w:eastAsiaTheme="minorEastAsia"/>
          <w:sz w:val="24"/>
          <w:szCs w:val="24"/>
          <w:highlight w:val="none"/>
          <w:lang w:val="zh-CN"/>
        </w:rPr>
      </w:pPr>
      <w:r>
        <w:rPr>
          <w:rFonts w:hint="eastAsia" w:cs="Times New Roman" w:asciiTheme="minorEastAsia" w:hAnsiTheme="minorEastAsia" w:eastAsiaTheme="minorEastAsia"/>
          <w:sz w:val="24"/>
          <w:szCs w:val="24"/>
          <w:highlight w:val="none"/>
          <w:lang w:val="zh-CN"/>
        </w:rPr>
        <w:t xml:space="preserve">法定代表人                             </w:t>
      </w:r>
      <w:r>
        <w:rPr>
          <w:rFonts w:cs="Times New Roman" w:asciiTheme="minorEastAsia" w:hAnsiTheme="minorEastAsia" w:eastAsiaTheme="minorEastAsia"/>
          <w:sz w:val="24"/>
          <w:szCs w:val="24"/>
          <w:highlight w:val="none"/>
          <w:lang w:val="zh-CN"/>
        </w:rPr>
        <w:t xml:space="preserve">  </w:t>
      </w:r>
      <w:r>
        <w:rPr>
          <w:rFonts w:hint="eastAsia" w:cs="Times New Roman" w:asciiTheme="minorEastAsia" w:hAnsiTheme="minorEastAsia" w:eastAsiaTheme="minorEastAsia"/>
          <w:sz w:val="24"/>
          <w:szCs w:val="24"/>
          <w:highlight w:val="none"/>
          <w:lang w:val="zh-CN"/>
        </w:rPr>
        <w:t>法定代表人</w:t>
      </w:r>
    </w:p>
    <w:p w14:paraId="19559207">
      <w:pPr>
        <w:autoSpaceDE w:val="0"/>
        <w:autoSpaceDN w:val="0"/>
        <w:adjustRightInd w:val="0"/>
        <w:spacing w:line="560" w:lineRule="exact"/>
        <w:rPr>
          <w:rFonts w:cs="Times New Roman" w:asciiTheme="minorEastAsia" w:hAnsiTheme="minorEastAsia" w:eastAsiaTheme="minorEastAsia"/>
          <w:sz w:val="24"/>
          <w:szCs w:val="24"/>
          <w:highlight w:val="none"/>
          <w:lang w:val="zh-CN"/>
        </w:rPr>
      </w:pPr>
      <w:r>
        <w:rPr>
          <w:rFonts w:hint="eastAsia" w:cs="Times New Roman" w:asciiTheme="minorEastAsia" w:hAnsiTheme="minorEastAsia" w:eastAsiaTheme="minorEastAsia"/>
          <w:sz w:val="24"/>
          <w:szCs w:val="24"/>
          <w:highlight w:val="none"/>
          <w:lang w:val="zh-CN"/>
        </w:rPr>
        <w:t>或授权代表（签字）：                      或授权代表（签字）：</w:t>
      </w:r>
    </w:p>
    <w:p w14:paraId="7CB3795D">
      <w:pPr>
        <w:widowControl/>
        <w:spacing w:line="560" w:lineRule="exact"/>
        <w:jc w:val="left"/>
        <w:rPr>
          <w:rFonts w:hint="eastAsia" w:cs="Times New Roman" w:asciiTheme="minorEastAsia" w:hAnsiTheme="minorEastAsia" w:eastAsiaTheme="minorEastAsia"/>
          <w:bCs/>
          <w:sz w:val="24"/>
          <w:szCs w:val="24"/>
          <w:highlight w:val="none"/>
        </w:rPr>
      </w:pPr>
      <w:r>
        <w:rPr>
          <w:rFonts w:hint="eastAsia" w:cs="Times New Roman" w:asciiTheme="minorEastAsia" w:hAnsiTheme="minorEastAsia" w:eastAsiaTheme="minorEastAsia"/>
          <w:bCs/>
          <w:sz w:val="24"/>
          <w:szCs w:val="24"/>
          <w:highlight w:val="none"/>
        </w:rPr>
        <w:t>时间：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月</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日               时间：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月</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日</w:t>
      </w:r>
    </w:p>
    <w:p w14:paraId="6BF04849">
      <w:pPr>
        <w:widowControl/>
        <w:spacing w:line="560" w:lineRule="exact"/>
        <w:jc w:val="left"/>
        <w:rPr>
          <w:rFonts w:hint="eastAsia" w:cs="Times New Roman" w:asciiTheme="minorEastAsia" w:hAnsiTheme="minorEastAsia" w:eastAsiaTheme="minorEastAsia"/>
          <w:bCs/>
          <w:sz w:val="24"/>
          <w:szCs w:val="24"/>
          <w:highlight w:val="none"/>
        </w:rPr>
      </w:pPr>
      <w:r>
        <w:rPr>
          <w:rFonts w:hint="eastAsia" w:cs="Times New Roman" w:asciiTheme="minorEastAsia" w:hAnsiTheme="minorEastAsia" w:eastAsiaTheme="minorEastAsia"/>
          <w:bCs/>
          <w:sz w:val="24"/>
          <w:szCs w:val="24"/>
          <w:highlight w:val="none"/>
        </w:rPr>
        <w:t xml:space="preserve"> </w:t>
      </w:r>
      <w:r>
        <w:rPr>
          <w:rFonts w:hint="eastAsia" w:cs="Times New Roman" w:asciiTheme="minorEastAsia" w:hAnsiTheme="minorEastAsia" w:eastAsiaTheme="minorEastAsia"/>
          <w:bCs/>
          <w:sz w:val="24"/>
          <w:szCs w:val="24"/>
          <w:highlight w:val="none"/>
          <w:lang w:val="en-US" w:eastAsia="zh-CN"/>
        </w:rPr>
        <w:t xml:space="preserve">                                       </w:t>
      </w:r>
      <w:r>
        <w:rPr>
          <w:rFonts w:hint="eastAsia" w:cs="Times New Roman" w:asciiTheme="minorEastAsia" w:hAnsiTheme="minorEastAsia" w:eastAsiaTheme="minorEastAsia"/>
          <w:bCs/>
          <w:sz w:val="24"/>
          <w:szCs w:val="24"/>
          <w:highlight w:val="none"/>
        </w:rPr>
        <w:t>乙方账户信息</w:t>
      </w:r>
    </w:p>
    <w:p w14:paraId="6D7F7D11">
      <w:pPr>
        <w:widowControl/>
        <w:spacing w:line="560" w:lineRule="exact"/>
        <w:jc w:val="left"/>
        <w:rPr>
          <w:rFonts w:hint="eastAsia" w:cs="Times New Roman" w:asciiTheme="minorEastAsia" w:hAnsiTheme="minorEastAsia" w:eastAsiaTheme="minorEastAsia"/>
          <w:bCs/>
          <w:sz w:val="24"/>
          <w:szCs w:val="24"/>
          <w:highlight w:val="none"/>
          <w:u w:val="single"/>
        </w:rPr>
      </w:pPr>
      <w:r>
        <w:rPr>
          <w:rFonts w:hint="eastAsia" w:cs="Times New Roman" w:asciiTheme="minorEastAsia" w:hAnsiTheme="minorEastAsia" w:eastAsiaTheme="minorEastAsia"/>
          <w:bCs/>
          <w:sz w:val="24"/>
          <w:szCs w:val="24"/>
          <w:highlight w:val="none"/>
        </w:rPr>
        <w:t xml:space="preserve">                           </w:t>
      </w:r>
      <w:r>
        <w:rPr>
          <w:rFonts w:hint="eastAsia" w:cs="Times New Roman" w:asciiTheme="minorEastAsia" w:hAnsiTheme="minorEastAsia" w:eastAsiaTheme="minorEastAsia"/>
          <w:bCs/>
          <w:sz w:val="24"/>
          <w:szCs w:val="24"/>
          <w:highlight w:val="none"/>
          <w:lang w:val="en-US" w:eastAsia="zh-CN"/>
        </w:rPr>
        <w:t xml:space="preserve">             </w:t>
      </w:r>
      <w:r>
        <w:rPr>
          <w:rFonts w:hint="eastAsia" w:cs="Times New Roman" w:asciiTheme="minorEastAsia" w:hAnsiTheme="minorEastAsia" w:eastAsiaTheme="minorEastAsia"/>
          <w:bCs/>
          <w:sz w:val="24"/>
          <w:szCs w:val="24"/>
          <w:highlight w:val="none"/>
        </w:rPr>
        <w:t>户名：</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lang w:val="en-US" w:eastAsia="zh-CN"/>
        </w:rPr>
        <w:t xml:space="preserve">        </w:t>
      </w:r>
      <w:r>
        <w:rPr>
          <w:rFonts w:hint="eastAsia" w:cs="Times New Roman" w:asciiTheme="minorEastAsia" w:hAnsiTheme="minorEastAsia" w:eastAsiaTheme="minorEastAsia"/>
          <w:bCs/>
          <w:sz w:val="24"/>
          <w:szCs w:val="24"/>
          <w:highlight w:val="none"/>
          <w:u w:val="single"/>
        </w:rPr>
        <w:t xml:space="preserve">   </w:t>
      </w:r>
    </w:p>
    <w:p w14:paraId="0D6C75C3">
      <w:pPr>
        <w:widowControl/>
        <w:spacing w:line="560" w:lineRule="exact"/>
        <w:jc w:val="left"/>
        <w:rPr>
          <w:rFonts w:hint="eastAsia" w:cs="Times New Roman" w:asciiTheme="minorEastAsia" w:hAnsiTheme="minorEastAsia" w:eastAsiaTheme="minorEastAsia"/>
          <w:bCs/>
          <w:sz w:val="24"/>
          <w:szCs w:val="24"/>
          <w:highlight w:val="none"/>
          <w:u w:val="single"/>
        </w:rPr>
      </w:pPr>
      <w:r>
        <w:rPr>
          <w:rFonts w:hint="eastAsia" w:cs="Times New Roman" w:asciiTheme="minorEastAsia" w:hAnsiTheme="minorEastAsia" w:eastAsiaTheme="minorEastAsia"/>
          <w:bCs/>
          <w:sz w:val="24"/>
          <w:szCs w:val="24"/>
          <w:highlight w:val="none"/>
        </w:rPr>
        <w:t xml:space="preserve">                                        账号：</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lang w:val="en-US" w:eastAsia="zh-CN"/>
        </w:rPr>
        <w:t xml:space="preserve">        </w:t>
      </w:r>
      <w:r>
        <w:rPr>
          <w:rFonts w:hint="eastAsia" w:cs="Times New Roman" w:asciiTheme="minorEastAsia" w:hAnsiTheme="minorEastAsia" w:eastAsiaTheme="minorEastAsia"/>
          <w:bCs/>
          <w:sz w:val="24"/>
          <w:szCs w:val="24"/>
          <w:highlight w:val="none"/>
          <w:u w:val="single"/>
        </w:rPr>
        <w:t xml:space="preserve">   </w:t>
      </w:r>
    </w:p>
    <w:p w14:paraId="53DF2DB9">
      <w:pPr>
        <w:widowControl/>
        <w:spacing w:line="560" w:lineRule="exact"/>
        <w:jc w:val="left"/>
        <w:rPr>
          <w:rFonts w:hint="eastAsia" w:cs="Times New Roman" w:asciiTheme="minorEastAsia" w:hAnsiTheme="minorEastAsia" w:eastAsiaTheme="minorEastAsia"/>
          <w:bCs/>
          <w:sz w:val="24"/>
          <w:szCs w:val="24"/>
          <w:highlight w:val="none"/>
          <w:u w:val="single"/>
        </w:rPr>
      </w:pPr>
      <w:r>
        <w:rPr>
          <w:rFonts w:hint="eastAsia" w:cs="Times New Roman" w:asciiTheme="minorEastAsia" w:hAnsiTheme="minorEastAsia" w:eastAsiaTheme="minorEastAsia"/>
          <w:bCs/>
          <w:sz w:val="24"/>
          <w:szCs w:val="24"/>
          <w:highlight w:val="none"/>
        </w:rPr>
        <w:t xml:space="preserve">                          </w:t>
      </w:r>
      <w:r>
        <w:rPr>
          <w:rFonts w:hint="eastAsia" w:cs="Times New Roman" w:asciiTheme="minorEastAsia" w:hAnsiTheme="minorEastAsia" w:eastAsiaTheme="minorEastAsia"/>
          <w:bCs/>
          <w:sz w:val="24"/>
          <w:szCs w:val="24"/>
          <w:highlight w:val="none"/>
          <w:lang w:val="en-US" w:eastAsia="zh-CN"/>
        </w:rPr>
        <w:t xml:space="preserve">             </w:t>
      </w:r>
      <w:r>
        <w:rPr>
          <w:rFonts w:hint="eastAsia" w:cs="Times New Roman" w:asciiTheme="minorEastAsia" w:hAnsiTheme="minorEastAsia" w:eastAsiaTheme="minorEastAsia"/>
          <w:bCs/>
          <w:sz w:val="24"/>
          <w:szCs w:val="24"/>
          <w:highlight w:val="none"/>
        </w:rPr>
        <w:t xml:space="preserve"> 开户银行：</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lang w:val="en-US" w:eastAsia="zh-CN"/>
        </w:rPr>
        <w:t xml:space="preserve">        </w:t>
      </w:r>
      <w:r>
        <w:rPr>
          <w:rFonts w:hint="eastAsia" w:cs="Times New Roman" w:asciiTheme="minorEastAsia" w:hAnsiTheme="minorEastAsia" w:eastAsiaTheme="minorEastAsia"/>
          <w:bCs/>
          <w:sz w:val="24"/>
          <w:szCs w:val="24"/>
          <w:highlight w:val="none"/>
          <w:u w:val="single"/>
        </w:rPr>
        <w:t xml:space="preserve">     </w:t>
      </w:r>
    </w:p>
    <w:p w14:paraId="46D171F5">
      <w:pPr>
        <w:widowControl/>
        <w:jc w:val="left"/>
        <w:rPr>
          <w:rFonts w:ascii="宋体" w:hAnsi="宋体" w:eastAsia="宋体"/>
          <w:b/>
          <w:sz w:val="24"/>
          <w:highlight w:val="none"/>
        </w:rPr>
      </w:pPr>
      <w:r>
        <w:rPr>
          <w:rFonts w:ascii="宋体" w:hAnsi="宋体" w:eastAsia="宋体"/>
          <w:b/>
          <w:sz w:val="24"/>
          <w:highlight w:val="none"/>
        </w:rPr>
        <w:br w:type="page"/>
      </w:r>
    </w:p>
    <w:p w14:paraId="036E2A2D">
      <w:pPr>
        <w:spacing w:line="360" w:lineRule="auto"/>
        <w:jc w:val="center"/>
        <w:outlineLvl w:val="1"/>
        <w:rPr>
          <w:rFonts w:ascii="宋体" w:hAnsi="宋体" w:eastAsia="宋体"/>
          <w:b/>
          <w:sz w:val="24"/>
          <w:highlight w:val="none"/>
        </w:rPr>
      </w:pPr>
      <w:r>
        <w:rPr>
          <w:rFonts w:hint="eastAsia" w:ascii="宋体" w:hAnsi="宋体" w:eastAsia="宋体"/>
          <w:b/>
          <w:sz w:val="24"/>
          <w:highlight w:val="none"/>
        </w:rPr>
        <w:t>第二部分</w:t>
      </w:r>
      <w:r>
        <w:rPr>
          <w:rFonts w:ascii="宋体" w:hAnsi="宋体" w:eastAsia="宋体"/>
          <w:b/>
          <w:sz w:val="24"/>
          <w:highlight w:val="none"/>
        </w:rPr>
        <w:t xml:space="preserve"> </w:t>
      </w:r>
      <w:r>
        <w:rPr>
          <w:rFonts w:hint="eastAsia" w:ascii="宋体" w:hAnsi="宋体" w:eastAsia="宋体"/>
          <w:b/>
          <w:sz w:val="24"/>
          <w:highlight w:val="none"/>
        </w:rPr>
        <w:t>合同一般条款</w:t>
      </w:r>
      <w:bookmarkEnd w:id="99"/>
    </w:p>
    <w:p w14:paraId="5C397B7D">
      <w:pPr>
        <w:spacing w:line="360" w:lineRule="auto"/>
        <w:ind w:firstLine="437"/>
        <w:outlineLvl w:val="2"/>
        <w:rPr>
          <w:rFonts w:ascii="宋体" w:hAnsi="宋体" w:eastAsia="宋体"/>
          <w:b/>
          <w:bCs/>
          <w:sz w:val="24"/>
          <w:highlight w:val="none"/>
          <w:lang w:val="zh-CN"/>
        </w:rPr>
      </w:pPr>
      <w:bookmarkStart w:id="100" w:name="_Ref467378404"/>
      <w:bookmarkStart w:id="101" w:name="_Ref467379094"/>
      <w:bookmarkStart w:id="102" w:name="_Ref467379214"/>
      <w:bookmarkStart w:id="103" w:name="_Ref467378499"/>
      <w:bookmarkStart w:id="104" w:name="_Ref467379109"/>
      <w:bookmarkStart w:id="105" w:name="_Toc19614"/>
      <w:bookmarkStart w:id="106" w:name="_Ref467379101"/>
      <w:bookmarkStart w:id="107" w:name="_Toc259093669"/>
      <w:bookmarkStart w:id="108" w:name="_Ref467379225"/>
      <w:bookmarkStart w:id="109" w:name="_Toc16917"/>
      <w:bookmarkStart w:id="110" w:name="_Toc28763"/>
      <w:bookmarkStart w:id="111" w:name="_Ref467379205"/>
      <w:bookmarkStart w:id="112" w:name="_Ref467378463"/>
      <w:bookmarkStart w:id="113" w:name="_Ref467379195"/>
      <w:bookmarkStart w:id="114" w:name="_Toc279701240"/>
      <w:bookmarkStart w:id="115" w:name="_Toc487900349"/>
      <w:r>
        <w:rPr>
          <w:rFonts w:hint="eastAsia" w:ascii="宋体" w:hAnsi="宋体" w:eastAsia="宋体"/>
          <w:b/>
          <w:bCs/>
          <w:sz w:val="24"/>
          <w:highlight w:val="none"/>
          <w:lang w:val="zh-CN"/>
        </w:rPr>
        <w:t>2.1</w:t>
      </w:r>
      <w:r>
        <w:rPr>
          <w:rFonts w:ascii="宋体" w:hAnsi="宋体" w:eastAsia="宋体"/>
          <w:b/>
          <w:bCs/>
          <w:sz w:val="24"/>
          <w:highlight w:val="none"/>
          <w:lang w:val="zh-CN"/>
        </w:rPr>
        <w:t xml:space="preserve"> 定义</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74F840D">
      <w:pPr>
        <w:spacing w:line="360" w:lineRule="auto"/>
        <w:ind w:firstLine="435"/>
        <w:rPr>
          <w:rFonts w:ascii="宋体" w:hAnsi="宋体" w:eastAsia="宋体"/>
          <w:sz w:val="24"/>
          <w:highlight w:val="none"/>
        </w:rPr>
      </w:pPr>
      <w:r>
        <w:rPr>
          <w:rFonts w:ascii="宋体" w:hAnsi="宋体" w:eastAsia="宋体"/>
          <w:sz w:val="24"/>
          <w:highlight w:val="none"/>
        </w:rPr>
        <w:t>本合同中的下列</w:t>
      </w:r>
      <w:r>
        <w:rPr>
          <w:rFonts w:hint="eastAsia" w:ascii="宋体" w:hAnsi="宋体" w:eastAsia="宋体"/>
          <w:sz w:val="24"/>
          <w:highlight w:val="none"/>
        </w:rPr>
        <w:t>词</w:t>
      </w:r>
      <w:r>
        <w:rPr>
          <w:rFonts w:ascii="宋体" w:hAnsi="宋体" w:eastAsia="宋体"/>
          <w:sz w:val="24"/>
          <w:highlight w:val="none"/>
        </w:rPr>
        <w:t>语应</w:t>
      </w:r>
      <w:r>
        <w:rPr>
          <w:rFonts w:hint="eastAsia" w:ascii="宋体" w:hAnsi="宋体" w:eastAsia="宋体"/>
          <w:sz w:val="24"/>
          <w:highlight w:val="none"/>
        </w:rPr>
        <w:t>按以下内容进行</w:t>
      </w:r>
      <w:r>
        <w:rPr>
          <w:rFonts w:ascii="宋体" w:hAnsi="宋体" w:eastAsia="宋体"/>
          <w:sz w:val="24"/>
          <w:highlight w:val="none"/>
        </w:rPr>
        <w:t>解释：</w:t>
      </w:r>
    </w:p>
    <w:p w14:paraId="64CC4375">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.1</w:t>
      </w:r>
      <w:r>
        <w:rPr>
          <w:rFonts w:ascii="宋体" w:hAnsi="宋体" w:eastAsia="宋体"/>
          <w:sz w:val="24"/>
          <w:highlight w:val="none"/>
        </w:rPr>
        <w:t>“合同”系指采购人和成交供应商签订的载明双方当事人所达成的协议，并包括所有的附件、附录和构成合同的其他文件。</w:t>
      </w:r>
    </w:p>
    <w:p w14:paraId="77EC3EFA">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1.2“合同价”系指根据合同约定，成交供应商在完全履行合同义务后</w:t>
      </w:r>
      <w:r>
        <w:rPr>
          <w:rFonts w:hint="eastAsia" w:ascii="宋体" w:hAnsi="宋体" w:eastAsia="宋体"/>
          <w:sz w:val="24"/>
          <w:highlight w:val="none"/>
        </w:rPr>
        <w:t>，</w:t>
      </w:r>
      <w:r>
        <w:rPr>
          <w:rFonts w:ascii="宋体" w:hAnsi="宋体" w:eastAsia="宋体"/>
          <w:sz w:val="24"/>
          <w:highlight w:val="none"/>
        </w:rPr>
        <w:t>采购人应支付给成交供应商的价格。</w:t>
      </w:r>
    </w:p>
    <w:p w14:paraId="3046FE58">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1.3“</w:t>
      </w:r>
      <w:r>
        <w:rPr>
          <w:rFonts w:hint="eastAsia" w:ascii="宋体" w:hAnsi="宋体" w:eastAsia="宋体"/>
          <w:sz w:val="24"/>
          <w:highlight w:val="none"/>
        </w:rPr>
        <w:t>服务</w:t>
      </w:r>
      <w:r>
        <w:rPr>
          <w:rFonts w:ascii="宋体" w:hAnsi="宋体" w:eastAsia="宋体"/>
          <w:sz w:val="24"/>
          <w:highlight w:val="none"/>
        </w:rPr>
        <w:t>”系指</w:t>
      </w:r>
      <w:r>
        <w:rPr>
          <w:rFonts w:hint="eastAsia" w:ascii="宋体" w:hAnsi="宋体" w:eastAsia="宋体"/>
          <w:sz w:val="24"/>
          <w:highlight w:val="none"/>
        </w:rPr>
        <w:t>成交供应商</w:t>
      </w:r>
      <w:r>
        <w:rPr>
          <w:rFonts w:ascii="宋体" w:hAnsi="宋体" w:eastAsia="宋体"/>
          <w:sz w:val="24"/>
          <w:highlight w:val="none"/>
        </w:rPr>
        <w:t>根据合同约定应向采购人</w:t>
      </w:r>
      <w:r>
        <w:rPr>
          <w:rFonts w:hint="eastAsia" w:ascii="宋体" w:hAnsi="宋体" w:eastAsia="宋体"/>
          <w:sz w:val="24"/>
          <w:highlight w:val="none"/>
        </w:rPr>
        <w:t>履行</w:t>
      </w:r>
      <w:r>
        <w:rPr>
          <w:rFonts w:ascii="宋体" w:hAnsi="宋体" w:eastAsia="宋体"/>
          <w:sz w:val="24"/>
          <w:highlight w:val="none"/>
        </w:rPr>
        <w:t>的</w:t>
      </w:r>
      <w:r>
        <w:rPr>
          <w:rFonts w:hint="eastAsia" w:ascii="宋体" w:hAnsi="宋体" w:eastAsia="宋体"/>
          <w:sz w:val="24"/>
          <w:highlight w:val="none"/>
        </w:rPr>
        <w:t>除货物和工程以外的其他政府采购对象，包括采购人自身需要的服务和向社会公众提供的公共服务。</w:t>
      </w:r>
    </w:p>
    <w:p w14:paraId="74ADA628">
      <w:pPr>
        <w:spacing w:line="360" w:lineRule="auto"/>
        <w:ind w:firstLine="435"/>
        <w:rPr>
          <w:rFonts w:ascii="宋体" w:hAnsi="宋体" w:eastAsia="宋体"/>
          <w:sz w:val="24"/>
          <w:highlight w:val="none"/>
        </w:rPr>
      </w:pPr>
      <w:bookmarkStart w:id="116" w:name="_Ref467378840"/>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4</w:t>
      </w:r>
      <w:r>
        <w:rPr>
          <w:rFonts w:ascii="宋体" w:hAnsi="宋体" w:eastAsia="宋体"/>
          <w:sz w:val="24"/>
          <w:highlight w:val="none"/>
        </w:rPr>
        <w:t>“</w:t>
      </w:r>
      <w:r>
        <w:rPr>
          <w:rFonts w:hint="eastAsia" w:ascii="宋体" w:hAnsi="宋体" w:eastAsia="宋体"/>
          <w:sz w:val="24"/>
          <w:highlight w:val="none"/>
        </w:rPr>
        <w:t>甲方</w:t>
      </w:r>
      <w:r>
        <w:rPr>
          <w:rFonts w:ascii="宋体" w:hAnsi="宋体" w:eastAsia="宋体"/>
          <w:sz w:val="24"/>
          <w:highlight w:val="none"/>
        </w:rPr>
        <w:t>”系指与</w:t>
      </w:r>
      <w:r>
        <w:rPr>
          <w:rFonts w:hint="eastAsia" w:ascii="宋体" w:hAnsi="宋体" w:eastAsia="宋体"/>
          <w:sz w:val="24"/>
          <w:highlight w:val="none"/>
        </w:rPr>
        <w:t>成交供应商</w:t>
      </w:r>
      <w:r>
        <w:rPr>
          <w:rFonts w:ascii="宋体" w:hAnsi="宋体" w:eastAsia="宋体"/>
          <w:sz w:val="24"/>
          <w:highlight w:val="none"/>
        </w:rPr>
        <w:t>签署合同的采购人</w:t>
      </w:r>
      <w:bookmarkEnd w:id="116"/>
      <w:r>
        <w:rPr>
          <w:rFonts w:hint="eastAsia" w:ascii="宋体" w:hAnsi="宋体" w:eastAsia="宋体"/>
          <w:sz w:val="24"/>
          <w:highlight w:val="none"/>
        </w:rPr>
        <w:t>；采购人委托采购代理机构代表其与乙方签订合同的，采购人的授权委托书作为合同附件。</w:t>
      </w:r>
    </w:p>
    <w:p w14:paraId="1FD7268E">
      <w:pPr>
        <w:spacing w:line="360" w:lineRule="auto"/>
        <w:ind w:firstLine="435"/>
        <w:rPr>
          <w:rFonts w:ascii="宋体" w:hAnsi="宋体" w:eastAsia="宋体"/>
          <w:sz w:val="24"/>
          <w:highlight w:val="none"/>
        </w:rPr>
      </w:pPr>
      <w:bookmarkStart w:id="117" w:name="_Ref467379400"/>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5</w:t>
      </w:r>
      <w:r>
        <w:rPr>
          <w:rFonts w:ascii="宋体" w:hAnsi="宋体" w:eastAsia="宋体"/>
          <w:sz w:val="24"/>
          <w:highlight w:val="none"/>
        </w:rPr>
        <w:t>“乙方”系指根据合同约定</w:t>
      </w:r>
      <w:r>
        <w:rPr>
          <w:rFonts w:hint="eastAsia" w:ascii="宋体" w:hAnsi="宋体" w:eastAsia="宋体"/>
          <w:sz w:val="24"/>
          <w:highlight w:val="none"/>
        </w:rPr>
        <w:t>提供服务</w:t>
      </w:r>
      <w:r>
        <w:rPr>
          <w:rFonts w:ascii="宋体" w:hAnsi="宋体" w:eastAsia="宋体"/>
          <w:sz w:val="24"/>
          <w:highlight w:val="none"/>
        </w:rPr>
        <w:t>的成交供应商</w:t>
      </w:r>
      <w:bookmarkEnd w:id="117"/>
      <w:r>
        <w:rPr>
          <w:rFonts w:hint="eastAsia" w:ascii="宋体" w:hAnsi="宋体" w:eastAsia="宋体"/>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253967D5">
      <w:pPr>
        <w:spacing w:line="360" w:lineRule="auto"/>
        <w:ind w:firstLine="435"/>
        <w:rPr>
          <w:rFonts w:ascii="宋体" w:hAnsi="宋体" w:eastAsia="宋体"/>
          <w:sz w:val="24"/>
          <w:highlight w:val="none"/>
        </w:rPr>
      </w:pPr>
      <w:bookmarkStart w:id="118" w:name="_Ref467379436"/>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6</w:t>
      </w:r>
      <w:r>
        <w:rPr>
          <w:rFonts w:ascii="宋体" w:hAnsi="宋体" w:eastAsia="宋体"/>
          <w:sz w:val="24"/>
          <w:highlight w:val="none"/>
        </w:rPr>
        <w:t>“现场”系指合同约定</w:t>
      </w:r>
      <w:r>
        <w:rPr>
          <w:rFonts w:hint="eastAsia" w:ascii="宋体" w:hAnsi="宋体" w:eastAsia="宋体"/>
          <w:sz w:val="24"/>
          <w:highlight w:val="none"/>
        </w:rPr>
        <w:t>提供服务</w:t>
      </w:r>
      <w:r>
        <w:rPr>
          <w:rFonts w:ascii="宋体" w:hAnsi="宋体" w:eastAsia="宋体"/>
          <w:sz w:val="24"/>
          <w:highlight w:val="none"/>
        </w:rPr>
        <w:t>的地点。</w:t>
      </w:r>
      <w:bookmarkEnd w:id="118"/>
    </w:p>
    <w:p w14:paraId="52138D64">
      <w:pPr>
        <w:spacing w:line="360" w:lineRule="auto"/>
        <w:ind w:firstLine="437"/>
        <w:outlineLvl w:val="2"/>
        <w:rPr>
          <w:rFonts w:ascii="宋体" w:hAnsi="宋体" w:eastAsia="宋体"/>
          <w:b/>
          <w:bCs/>
          <w:sz w:val="24"/>
          <w:highlight w:val="none"/>
          <w:lang w:val="zh-CN"/>
        </w:rPr>
      </w:pPr>
      <w:bookmarkStart w:id="119" w:name="_Toc32504"/>
      <w:bookmarkStart w:id="120" w:name="_Toc279701241"/>
      <w:bookmarkStart w:id="121" w:name="_Toc13336"/>
      <w:bookmarkStart w:id="122" w:name="_Toc259093670"/>
      <w:bookmarkStart w:id="123" w:name="_Toc487900350"/>
      <w:bookmarkStart w:id="124" w:name="_Toc27635"/>
      <w:r>
        <w:rPr>
          <w:rFonts w:hint="eastAsia" w:ascii="宋体" w:hAnsi="宋体" w:eastAsia="宋体"/>
          <w:b/>
          <w:bCs/>
          <w:sz w:val="24"/>
          <w:highlight w:val="none"/>
          <w:lang w:val="zh-CN"/>
        </w:rPr>
        <w:t>2.</w:t>
      </w:r>
      <w:r>
        <w:rPr>
          <w:rFonts w:ascii="宋体" w:hAnsi="宋体" w:eastAsia="宋体"/>
          <w:b/>
          <w:bCs/>
          <w:sz w:val="24"/>
          <w:highlight w:val="none"/>
          <w:lang w:val="zh-CN"/>
        </w:rPr>
        <w:t>2 技术规范</w:t>
      </w:r>
      <w:bookmarkEnd w:id="119"/>
      <w:bookmarkEnd w:id="120"/>
      <w:bookmarkEnd w:id="121"/>
      <w:bookmarkEnd w:id="122"/>
      <w:bookmarkEnd w:id="123"/>
      <w:bookmarkEnd w:id="124"/>
    </w:p>
    <w:p w14:paraId="149FEFDB">
      <w:pPr>
        <w:spacing w:line="360" w:lineRule="auto"/>
        <w:ind w:firstLine="435"/>
        <w:rPr>
          <w:rFonts w:ascii="宋体" w:hAnsi="宋体" w:eastAsia="宋体"/>
          <w:sz w:val="24"/>
          <w:highlight w:val="none"/>
        </w:rPr>
      </w:pPr>
      <w:r>
        <w:rPr>
          <w:rFonts w:ascii="宋体" w:hAnsi="宋体" w:eastAsia="宋体"/>
          <w:sz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sz w:val="24"/>
          <w:highlight w:val="none"/>
        </w:rPr>
        <w:t>；</w:t>
      </w:r>
      <w:r>
        <w:rPr>
          <w:rFonts w:ascii="宋体" w:hAnsi="宋体" w:eastAsia="宋体"/>
          <w:sz w:val="24"/>
          <w:highlight w:val="none"/>
        </w:rPr>
        <w:t>如果采购文件中没有技术规范的相应说明，那么应以国家有关部门最新颁布的相应标准</w:t>
      </w:r>
      <w:r>
        <w:rPr>
          <w:rFonts w:hint="eastAsia" w:ascii="宋体" w:hAnsi="宋体" w:eastAsia="宋体"/>
          <w:sz w:val="24"/>
          <w:highlight w:val="none"/>
        </w:rPr>
        <w:t>和</w:t>
      </w:r>
      <w:r>
        <w:rPr>
          <w:rFonts w:ascii="宋体" w:hAnsi="宋体" w:eastAsia="宋体"/>
          <w:sz w:val="24"/>
          <w:highlight w:val="none"/>
        </w:rPr>
        <w:t>规范为准。</w:t>
      </w:r>
    </w:p>
    <w:p w14:paraId="339BF40E">
      <w:pPr>
        <w:spacing w:line="360" w:lineRule="auto"/>
        <w:ind w:firstLine="437"/>
        <w:outlineLvl w:val="2"/>
        <w:rPr>
          <w:rFonts w:ascii="宋体" w:hAnsi="宋体" w:eastAsia="宋体"/>
          <w:b/>
          <w:bCs/>
          <w:sz w:val="24"/>
          <w:highlight w:val="none"/>
          <w:lang w:val="zh-CN"/>
        </w:rPr>
      </w:pPr>
      <w:bookmarkStart w:id="125" w:name="_Toc27853"/>
      <w:bookmarkStart w:id="126" w:name="_Toc259093671"/>
      <w:bookmarkStart w:id="127" w:name="_Toc9829"/>
      <w:bookmarkStart w:id="128" w:name="_Toc487900351"/>
      <w:bookmarkStart w:id="129" w:name="_Toc31634"/>
      <w:bookmarkStart w:id="130" w:name="_Toc279701242"/>
      <w:r>
        <w:rPr>
          <w:rFonts w:hint="eastAsia" w:ascii="宋体" w:hAnsi="宋体" w:eastAsia="宋体"/>
          <w:b/>
          <w:bCs/>
          <w:sz w:val="24"/>
          <w:highlight w:val="none"/>
          <w:lang w:val="zh-CN"/>
        </w:rPr>
        <w:t>2.</w:t>
      </w:r>
      <w:r>
        <w:rPr>
          <w:rFonts w:ascii="宋体" w:hAnsi="宋体" w:eastAsia="宋体"/>
          <w:b/>
          <w:bCs/>
          <w:sz w:val="24"/>
          <w:highlight w:val="none"/>
          <w:lang w:val="zh-CN"/>
        </w:rPr>
        <w:t>3 知识产权</w:t>
      </w:r>
      <w:bookmarkEnd w:id="125"/>
      <w:bookmarkEnd w:id="126"/>
      <w:bookmarkEnd w:id="127"/>
      <w:bookmarkEnd w:id="128"/>
      <w:bookmarkEnd w:id="129"/>
      <w:bookmarkEnd w:id="130"/>
    </w:p>
    <w:p w14:paraId="5F1F8045">
      <w:pPr>
        <w:spacing w:line="360" w:lineRule="auto"/>
        <w:ind w:firstLine="435"/>
        <w:rPr>
          <w:rFonts w:ascii="宋体" w:hAnsi="宋体" w:eastAsia="宋体"/>
          <w:sz w:val="24"/>
          <w:highlight w:val="none"/>
        </w:rPr>
      </w:pPr>
      <w:r>
        <w:rPr>
          <w:rFonts w:hint="eastAsia" w:ascii="宋体" w:hAnsi="宋体" w:eastAsia="宋体"/>
          <w:sz w:val="24"/>
          <w:highlight w:val="none"/>
        </w:rPr>
        <w:t>2.3.1乙</w:t>
      </w:r>
      <w:r>
        <w:rPr>
          <w:rFonts w:ascii="宋体" w:hAnsi="宋体" w:eastAsia="宋体"/>
          <w:sz w:val="24"/>
          <w:highlight w:val="none"/>
        </w:rPr>
        <w:t>方应保证</w:t>
      </w:r>
      <w:r>
        <w:rPr>
          <w:rFonts w:hint="eastAsia" w:ascii="宋体" w:hAnsi="宋体" w:eastAsia="宋体"/>
          <w:sz w:val="24"/>
          <w:highlight w:val="none"/>
        </w:rPr>
        <w:t>其提供的服务</w:t>
      </w:r>
      <w:r>
        <w:rPr>
          <w:rFonts w:ascii="宋体" w:hAnsi="宋体" w:eastAsia="宋体"/>
          <w:sz w:val="24"/>
          <w:highlight w:val="none"/>
        </w:rPr>
        <w:t>不受任何第三方提出的侵犯其著作权、商标权、专利权等知识产权方面的起诉</w:t>
      </w:r>
      <w:r>
        <w:rPr>
          <w:rFonts w:hint="eastAsia" w:ascii="宋体" w:hAnsi="宋体" w:eastAsia="宋体"/>
          <w:sz w:val="24"/>
          <w:highlight w:val="none"/>
        </w:rPr>
        <w:t>；</w:t>
      </w:r>
      <w:r>
        <w:rPr>
          <w:rFonts w:ascii="宋体" w:hAnsi="宋体" w:eastAsia="宋体"/>
          <w:sz w:val="24"/>
          <w:highlight w:val="none"/>
        </w:rPr>
        <w:t>如果任何第三方提出侵权</w:t>
      </w:r>
      <w:r>
        <w:rPr>
          <w:rFonts w:hint="eastAsia" w:ascii="宋体" w:hAnsi="宋体" w:eastAsia="宋体"/>
          <w:sz w:val="24"/>
          <w:highlight w:val="none"/>
        </w:rPr>
        <w:t>指控</w:t>
      </w:r>
      <w:r>
        <w:rPr>
          <w:rFonts w:ascii="宋体" w:hAnsi="宋体" w:eastAsia="宋体"/>
          <w:sz w:val="24"/>
          <w:highlight w:val="none"/>
        </w:rPr>
        <w:t>，那么乙方须与该第三方交涉并承担由此发生的一切责任、费用和赔偿</w:t>
      </w:r>
      <w:r>
        <w:rPr>
          <w:rFonts w:hint="eastAsia" w:ascii="宋体" w:hAnsi="宋体" w:eastAsia="宋体"/>
          <w:sz w:val="24"/>
          <w:highlight w:val="none"/>
        </w:rPr>
        <w:t>；</w:t>
      </w:r>
    </w:p>
    <w:p w14:paraId="0857609F">
      <w:pPr>
        <w:spacing w:line="360" w:lineRule="auto"/>
        <w:ind w:firstLine="435"/>
        <w:rPr>
          <w:rFonts w:ascii="宋体" w:hAnsi="宋体" w:eastAsia="宋体"/>
          <w:sz w:val="24"/>
          <w:highlight w:val="none"/>
        </w:rPr>
      </w:pPr>
      <w:r>
        <w:rPr>
          <w:rFonts w:hint="eastAsia" w:ascii="宋体" w:hAnsi="宋体" w:eastAsia="宋体"/>
          <w:sz w:val="24"/>
          <w:highlight w:val="none"/>
        </w:rPr>
        <w:t>2.3.2具有知识产权的计算机软件等货物的知识产权归属，</w:t>
      </w:r>
      <w:r>
        <w:rPr>
          <w:rFonts w:ascii="宋体" w:hAnsi="宋体" w:eastAsia="宋体"/>
          <w:sz w:val="24"/>
          <w:highlight w:val="none"/>
        </w:rPr>
        <w:t>详见</w:t>
      </w:r>
      <w:r>
        <w:rPr>
          <w:rFonts w:ascii="宋体" w:hAnsi="宋体" w:eastAsia="宋体"/>
          <w:b/>
          <w:i/>
          <w:sz w:val="24"/>
          <w:highlight w:val="none"/>
          <w:u w:val="single"/>
        </w:rPr>
        <w:t>合同专用条款</w:t>
      </w:r>
      <w:r>
        <w:rPr>
          <w:rFonts w:ascii="宋体" w:hAnsi="宋体" w:eastAsia="宋体"/>
          <w:sz w:val="24"/>
          <w:highlight w:val="none"/>
        </w:rPr>
        <w:t>。</w:t>
      </w:r>
    </w:p>
    <w:p w14:paraId="797823E9">
      <w:pPr>
        <w:spacing w:line="360" w:lineRule="auto"/>
        <w:ind w:firstLine="437"/>
        <w:outlineLvl w:val="2"/>
        <w:rPr>
          <w:rFonts w:ascii="宋体" w:hAnsi="宋体" w:eastAsia="宋体"/>
          <w:b/>
          <w:bCs/>
          <w:sz w:val="24"/>
          <w:highlight w:val="none"/>
          <w:lang w:val="zh-CN"/>
        </w:rPr>
      </w:pPr>
      <w:bookmarkStart w:id="131" w:name="_Toc487900354"/>
      <w:bookmarkStart w:id="132" w:name="_Ref467379527"/>
      <w:bookmarkStart w:id="133" w:name="_Ref467378541"/>
      <w:bookmarkStart w:id="134" w:name="_Ref467378591"/>
      <w:bookmarkStart w:id="135" w:name="_Ref467379536"/>
      <w:bookmarkStart w:id="136" w:name="_Toc279701245"/>
      <w:bookmarkStart w:id="137" w:name="_Toc259093674"/>
      <w:bookmarkStart w:id="138" w:name="_Ref467379542"/>
      <w:bookmarkStart w:id="139" w:name="_Toc19074"/>
      <w:bookmarkStart w:id="140" w:name="_Toc26182"/>
      <w:bookmarkStart w:id="141" w:name="_Toc30272"/>
      <w:r>
        <w:rPr>
          <w:rFonts w:hint="eastAsia" w:ascii="宋体" w:hAnsi="宋体" w:eastAsia="宋体"/>
          <w:b/>
          <w:bCs/>
          <w:sz w:val="24"/>
          <w:highlight w:val="none"/>
          <w:lang w:val="zh-CN"/>
        </w:rPr>
        <w:t>2.</w:t>
      </w:r>
      <w:bookmarkEnd w:id="131"/>
      <w:bookmarkEnd w:id="132"/>
      <w:bookmarkEnd w:id="133"/>
      <w:bookmarkEnd w:id="134"/>
      <w:bookmarkEnd w:id="135"/>
      <w:bookmarkEnd w:id="136"/>
      <w:bookmarkEnd w:id="137"/>
      <w:bookmarkEnd w:id="138"/>
      <w:r>
        <w:rPr>
          <w:rFonts w:ascii="宋体" w:hAnsi="宋体" w:eastAsia="宋体"/>
          <w:b/>
          <w:bCs/>
          <w:sz w:val="24"/>
          <w:highlight w:val="none"/>
          <w:lang w:val="zh-CN"/>
        </w:rPr>
        <w:t xml:space="preserve">4 </w:t>
      </w:r>
      <w:r>
        <w:rPr>
          <w:rFonts w:hint="eastAsia" w:ascii="宋体" w:hAnsi="宋体" w:eastAsia="宋体"/>
          <w:b/>
          <w:bCs/>
          <w:sz w:val="24"/>
          <w:highlight w:val="none"/>
          <w:lang w:val="zh-CN"/>
        </w:rPr>
        <w:t>履约检查和问题反馈</w:t>
      </w:r>
      <w:bookmarkEnd w:id="139"/>
      <w:bookmarkEnd w:id="140"/>
      <w:bookmarkEnd w:id="141"/>
    </w:p>
    <w:p w14:paraId="4C2A88EB">
      <w:pPr>
        <w:spacing w:line="360" w:lineRule="auto"/>
        <w:ind w:firstLine="435"/>
        <w:rPr>
          <w:rFonts w:ascii="宋体" w:hAnsi="宋体" w:eastAsia="宋体"/>
          <w:sz w:val="24"/>
          <w:highlight w:val="none"/>
        </w:rPr>
      </w:pPr>
      <w:bookmarkStart w:id="142" w:name="_Toc186431854"/>
      <w:bookmarkStart w:id="143" w:name="_Ref467379793"/>
      <w:bookmarkStart w:id="144" w:name="_Toc487900357"/>
      <w:bookmarkStart w:id="145" w:name="_Toc259093676"/>
      <w:bookmarkStart w:id="146" w:name="_Ref467379807"/>
      <w:bookmarkStart w:id="147" w:name="_Toc279701247"/>
      <w:r>
        <w:rPr>
          <w:rFonts w:hint="eastAsia" w:ascii="宋体" w:hAnsi="宋体" w:eastAsia="宋体"/>
          <w:sz w:val="24"/>
          <w:highlight w:val="none"/>
        </w:rPr>
        <w:t>2.4</w:t>
      </w:r>
      <w:r>
        <w:rPr>
          <w:rFonts w:ascii="宋体" w:hAnsi="宋体" w:eastAsia="宋体"/>
          <w:sz w:val="24"/>
          <w:highlight w:val="none"/>
        </w:rPr>
        <w:t>.1甲方</w:t>
      </w:r>
      <w:r>
        <w:rPr>
          <w:rFonts w:hint="eastAsia" w:ascii="宋体" w:hAnsi="宋体" w:eastAsia="宋体"/>
          <w:sz w:val="24"/>
          <w:highlight w:val="none"/>
        </w:rPr>
        <w:t>有权</w:t>
      </w:r>
      <w:r>
        <w:rPr>
          <w:rFonts w:ascii="宋体" w:hAnsi="宋体" w:eastAsia="宋体"/>
          <w:sz w:val="24"/>
          <w:highlight w:val="none"/>
        </w:rPr>
        <w:t>在其认为必要时</w:t>
      </w:r>
      <w:r>
        <w:rPr>
          <w:rFonts w:hint="eastAsia" w:ascii="宋体" w:hAnsi="宋体" w:eastAsia="宋体"/>
          <w:sz w:val="24"/>
          <w:highlight w:val="none"/>
        </w:rPr>
        <w:t>，对乙方是否能够按照合同约定提供服务进行履约检查，以确保乙方所提供的服务能够依约满足甲方项目需求，但不得因履约检查妨碍乙方的正常工作，乙方应予积极配合；</w:t>
      </w:r>
    </w:p>
    <w:p w14:paraId="3E85AEC1">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4</w:t>
      </w:r>
      <w:r>
        <w:rPr>
          <w:rFonts w:hint="eastAsia" w:ascii="宋体" w:hAnsi="宋体" w:eastAsia="宋体"/>
          <w:sz w:val="24"/>
          <w:highlight w:val="none"/>
        </w:rPr>
        <w:t>.2合同履行期间，甲方有权将履行过程中出现的问题反馈给乙方，双方当事人应以书面形式约定需要完善和改进的内容</w:t>
      </w:r>
      <w:bookmarkEnd w:id="142"/>
      <w:bookmarkStart w:id="148" w:name="_Toc186431855"/>
      <w:r>
        <w:rPr>
          <w:rFonts w:hint="eastAsia" w:ascii="宋体" w:hAnsi="宋体" w:eastAsia="宋体"/>
          <w:sz w:val="24"/>
          <w:highlight w:val="none"/>
        </w:rPr>
        <w:t>。</w:t>
      </w:r>
    </w:p>
    <w:bookmarkEnd w:id="148"/>
    <w:p w14:paraId="2BF0261D">
      <w:pPr>
        <w:spacing w:line="360" w:lineRule="auto"/>
        <w:ind w:firstLine="437"/>
        <w:outlineLvl w:val="2"/>
        <w:rPr>
          <w:rFonts w:ascii="宋体" w:hAnsi="宋体" w:eastAsia="宋体"/>
          <w:b/>
          <w:bCs/>
          <w:sz w:val="24"/>
          <w:highlight w:val="none"/>
          <w:lang w:val="zh-CN"/>
        </w:rPr>
      </w:pPr>
      <w:bookmarkStart w:id="149" w:name="_Toc7836"/>
      <w:bookmarkStart w:id="150" w:name="_Toc28451"/>
      <w:bookmarkStart w:id="151" w:name="_Toc19219"/>
      <w:r>
        <w:rPr>
          <w:rFonts w:hint="eastAsia" w:ascii="宋体" w:hAnsi="宋体" w:eastAsia="宋体"/>
          <w:b/>
          <w:bCs/>
          <w:sz w:val="24"/>
          <w:highlight w:val="none"/>
          <w:lang w:val="zh-CN"/>
        </w:rPr>
        <w:t>2.</w:t>
      </w:r>
      <w:r>
        <w:rPr>
          <w:rFonts w:ascii="宋体" w:hAnsi="宋体" w:eastAsia="宋体"/>
          <w:b/>
          <w:bCs/>
          <w:sz w:val="24"/>
          <w:highlight w:val="none"/>
          <w:lang w:val="zh-CN"/>
        </w:rPr>
        <w:t>5</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结算方式和付款条件</w:t>
      </w:r>
      <w:bookmarkEnd w:id="143"/>
      <w:bookmarkEnd w:id="144"/>
      <w:bookmarkEnd w:id="145"/>
      <w:bookmarkEnd w:id="146"/>
      <w:bookmarkEnd w:id="147"/>
      <w:bookmarkEnd w:id="149"/>
      <w:bookmarkEnd w:id="150"/>
      <w:bookmarkEnd w:id="151"/>
    </w:p>
    <w:p w14:paraId="2749A369">
      <w:pPr>
        <w:spacing w:line="360" w:lineRule="auto"/>
        <w:ind w:firstLine="435"/>
        <w:rPr>
          <w:rFonts w:ascii="宋体" w:hAnsi="宋体" w:eastAsia="宋体"/>
          <w:sz w:val="24"/>
          <w:highlight w:val="none"/>
        </w:rPr>
      </w:pPr>
      <w:r>
        <w:rPr>
          <w:rFonts w:ascii="宋体" w:hAnsi="宋体" w:eastAsia="宋体"/>
          <w:sz w:val="24"/>
          <w:highlight w:val="none"/>
        </w:rPr>
        <w:t>详见</w:t>
      </w:r>
      <w:r>
        <w:rPr>
          <w:rFonts w:ascii="宋体" w:hAnsi="宋体" w:eastAsia="宋体"/>
          <w:b/>
          <w:i/>
          <w:sz w:val="24"/>
          <w:highlight w:val="none"/>
          <w:u w:val="single"/>
        </w:rPr>
        <w:t>合同专用条款</w:t>
      </w:r>
      <w:r>
        <w:rPr>
          <w:rFonts w:ascii="宋体" w:hAnsi="宋体" w:eastAsia="宋体"/>
          <w:sz w:val="24"/>
          <w:highlight w:val="none"/>
        </w:rPr>
        <w:t>。</w:t>
      </w:r>
    </w:p>
    <w:p w14:paraId="1CAEEE16">
      <w:pPr>
        <w:spacing w:line="360" w:lineRule="auto"/>
        <w:ind w:firstLine="437"/>
        <w:outlineLvl w:val="2"/>
        <w:rPr>
          <w:rFonts w:ascii="宋体" w:hAnsi="宋体" w:eastAsia="宋体"/>
          <w:b/>
          <w:bCs/>
          <w:sz w:val="24"/>
          <w:highlight w:val="none"/>
          <w:lang w:val="zh-CN"/>
        </w:rPr>
      </w:pPr>
      <w:bookmarkStart w:id="152" w:name="_Toc279701248"/>
      <w:bookmarkStart w:id="153" w:name="_Toc259093677"/>
      <w:bookmarkStart w:id="154" w:name="_Ref467379852"/>
      <w:bookmarkStart w:id="155" w:name="_Ref467379923"/>
      <w:bookmarkStart w:id="156" w:name="_Ref467379863"/>
      <w:bookmarkStart w:id="157" w:name="_Toc487900358"/>
      <w:bookmarkStart w:id="158" w:name="_Toc3225"/>
      <w:bookmarkStart w:id="159" w:name="_Toc774"/>
      <w:bookmarkStart w:id="160" w:name="_Toc16110"/>
      <w:r>
        <w:rPr>
          <w:rFonts w:hint="eastAsia" w:ascii="宋体" w:hAnsi="宋体" w:eastAsia="宋体"/>
          <w:b/>
          <w:bCs/>
          <w:sz w:val="24"/>
          <w:highlight w:val="none"/>
          <w:lang w:val="zh-CN"/>
        </w:rPr>
        <w:t>2.</w:t>
      </w:r>
      <w:r>
        <w:rPr>
          <w:rFonts w:ascii="宋体" w:hAnsi="宋体" w:eastAsia="宋体"/>
          <w:b/>
          <w:bCs/>
          <w:sz w:val="24"/>
          <w:highlight w:val="none"/>
          <w:lang w:val="zh-CN"/>
        </w:rPr>
        <w:t>6</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技术资料</w:t>
      </w:r>
      <w:bookmarkEnd w:id="152"/>
      <w:bookmarkEnd w:id="153"/>
      <w:bookmarkEnd w:id="154"/>
      <w:bookmarkEnd w:id="155"/>
      <w:bookmarkEnd w:id="156"/>
      <w:bookmarkEnd w:id="157"/>
      <w:r>
        <w:rPr>
          <w:rFonts w:ascii="宋体" w:hAnsi="宋体" w:eastAsia="宋体"/>
          <w:b/>
          <w:bCs/>
          <w:sz w:val="24"/>
          <w:highlight w:val="none"/>
          <w:lang w:val="zh-CN"/>
        </w:rPr>
        <w:t>和保密义务</w:t>
      </w:r>
      <w:bookmarkEnd w:id="158"/>
      <w:bookmarkEnd w:id="159"/>
      <w:bookmarkEnd w:id="160"/>
    </w:p>
    <w:p w14:paraId="3F340186">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6.1</w:t>
      </w:r>
      <w:r>
        <w:rPr>
          <w:rFonts w:hint="eastAsia" w:ascii="宋体" w:hAnsi="宋体" w:eastAsia="宋体"/>
          <w:sz w:val="24"/>
          <w:highlight w:val="none"/>
        </w:rPr>
        <w:t>乙方有权依据合同约定和项目需要，向甲方了解有关情况，调阅有关资料等，甲方应予积极配合；</w:t>
      </w:r>
    </w:p>
    <w:p w14:paraId="3BDDFE6D">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6</w:t>
      </w:r>
      <w:r>
        <w:rPr>
          <w:rFonts w:hint="eastAsia" w:ascii="宋体" w:hAnsi="宋体" w:eastAsia="宋体"/>
          <w:sz w:val="24"/>
          <w:highlight w:val="none"/>
        </w:rPr>
        <w:t>.2乙方有义务妥善保管和保护由甲方提供的前款信息和资料等；</w:t>
      </w:r>
    </w:p>
    <w:p w14:paraId="1AE9FEB3">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6.</w:t>
      </w:r>
      <w:r>
        <w:rPr>
          <w:rFonts w:hint="eastAsia" w:ascii="宋体" w:hAnsi="宋体" w:eastAsia="宋体"/>
          <w:sz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sz w:val="24"/>
          <w:highlight w:val="none"/>
        </w:rPr>
        <w:t>技术情报</w:t>
      </w:r>
      <w:r>
        <w:rPr>
          <w:rFonts w:hint="eastAsia" w:ascii="宋体" w:hAnsi="宋体" w:eastAsia="宋体"/>
          <w:sz w:val="24"/>
          <w:highlight w:val="none"/>
        </w:rPr>
        <w:t>、</w:t>
      </w:r>
      <w:r>
        <w:rPr>
          <w:rFonts w:ascii="宋体" w:hAnsi="宋体" w:eastAsia="宋体"/>
          <w:sz w:val="24"/>
          <w:highlight w:val="none"/>
        </w:rPr>
        <w:t>技术资料</w:t>
      </w:r>
      <w:r>
        <w:rPr>
          <w:rFonts w:hint="eastAsia" w:ascii="宋体" w:hAnsi="宋体" w:eastAsia="宋体"/>
          <w:sz w:val="24"/>
          <w:highlight w:val="none"/>
        </w:rPr>
        <w:t>、商业秘密和商业信息等，并采取一切合理和必要措施和方式防止任何第三方接触到对方当事人的上述保密信息和资料。</w:t>
      </w:r>
    </w:p>
    <w:p w14:paraId="2773DA57">
      <w:pPr>
        <w:spacing w:line="360" w:lineRule="auto"/>
        <w:ind w:firstLine="437"/>
        <w:outlineLvl w:val="2"/>
        <w:rPr>
          <w:rFonts w:ascii="宋体" w:hAnsi="宋体" w:eastAsia="宋体"/>
          <w:b/>
          <w:bCs/>
          <w:sz w:val="24"/>
          <w:highlight w:val="none"/>
          <w:lang w:val="zh-CN"/>
        </w:rPr>
      </w:pPr>
      <w:bookmarkStart w:id="161" w:name="_Toc7860"/>
      <w:r>
        <w:rPr>
          <w:rFonts w:ascii="宋体" w:hAnsi="宋体" w:eastAsia="宋体"/>
          <w:b/>
          <w:bCs/>
          <w:sz w:val="24"/>
          <w:highlight w:val="none"/>
          <w:lang w:val="zh-CN"/>
        </w:rPr>
        <w:t>2.7 质量保证</w:t>
      </w:r>
      <w:bookmarkEnd w:id="161"/>
    </w:p>
    <w:p w14:paraId="6537BF4F">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7</w:t>
      </w:r>
      <w:r>
        <w:rPr>
          <w:rFonts w:hint="eastAsia" w:ascii="宋体" w:hAnsi="宋体" w:eastAsia="宋体"/>
          <w:sz w:val="24"/>
          <w:highlight w:val="none"/>
        </w:rPr>
        <w:t>.1乙方应建立和完善履行合同的内部质量保证体系，并提供相关内部规章制度给甲方，以便甲方进行监督检查；</w:t>
      </w:r>
    </w:p>
    <w:p w14:paraId="56AF231A">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7</w:t>
      </w:r>
      <w:r>
        <w:rPr>
          <w:rFonts w:hint="eastAsia" w:ascii="宋体" w:hAnsi="宋体" w:eastAsia="宋体"/>
          <w:sz w:val="24"/>
          <w:highlight w:val="none"/>
        </w:rPr>
        <w:t>.2乙方应保证履行合同的人员数量和素质、软件和硬件设备的配置、场地、环境和设施等满足全面履行合同的要求，并应接受甲方的监督检查。</w:t>
      </w:r>
    </w:p>
    <w:p w14:paraId="03324FB6">
      <w:pPr>
        <w:spacing w:line="360" w:lineRule="auto"/>
        <w:ind w:firstLine="437"/>
        <w:outlineLvl w:val="2"/>
        <w:rPr>
          <w:rFonts w:ascii="宋体" w:hAnsi="宋体" w:eastAsia="宋体"/>
          <w:b/>
          <w:sz w:val="24"/>
          <w:highlight w:val="none"/>
        </w:rPr>
      </w:pPr>
      <w:bookmarkStart w:id="162" w:name="_Toc22267"/>
      <w:r>
        <w:rPr>
          <w:rFonts w:hint="eastAsia" w:ascii="宋体" w:hAnsi="宋体" w:eastAsia="宋体"/>
          <w:b/>
          <w:sz w:val="24"/>
          <w:highlight w:val="none"/>
        </w:rPr>
        <w:t>2.8 延迟履行</w:t>
      </w:r>
      <w:bookmarkEnd w:id="162"/>
    </w:p>
    <w:p w14:paraId="027B7129">
      <w:pPr>
        <w:spacing w:line="360" w:lineRule="auto"/>
        <w:ind w:firstLine="435"/>
        <w:rPr>
          <w:rFonts w:ascii="宋体" w:hAnsi="宋体" w:eastAsia="宋体"/>
          <w:sz w:val="24"/>
          <w:highlight w:val="none"/>
        </w:rPr>
      </w:pPr>
      <w:r>
        <w:rPr>
          <w:rFonts w:ascii="宋体" w:hAnsi="宋体" w:eastAsia="宋体"/>
          <w:sz w:val="24"/>
          <w:highlight w:val="none"/>
        </w:rPr>
        <w:t>在合同履行过程中，如果乙方遇到不能按时</w:t>
      </w:r>
      <w:r>
        <w:rPr>
          <w:rFonts w:hint="eastAsia" w:ascii="宋体" w:hAnsi="宋体" w:eastAsia="宋体"/>
          <w:sz w:val="24"/>
          <w:highlight w:val="none"/>
        </w:rPr>
        <w:t>提供服务</w:t>
      </w:r>
      <w:r>
        <w:rPr>
          <w:rFonts w:ascii="宋体" w:hAnsi="宋体" w:eastAsia="宋体"/>
          <w:sz w:val="24"/>
          <w:highlight w:val="none"/>
        </w:rPr>
        <w:t>的情况，应及时以书面形式将不能按时</w:t>
      </w:r>
      <w:r>
        <w:rPr>
          <w:rFonts w:hint="eastAsia" w:ascii="宋体" w:hAnsi="宋体" w:eastAsia="宋体"/>
          <w:sz w:val="24"/>
          <w:highlight w:val="none"/>
        </w:rPr>
        <w:t>提供服务</w:t>
      </w:r>
      <w:r>
        <w:rPr>
          <w:rFonts w:ascii="宋体" w:hAnsi="宋体" w:eastAsia="宋体"/>
          <w:sz w:val="24"/>
          <w:highlight w:val="none"/>
        </w:rPr>
        <w:t>的理由、预期延误时间通知甲方</w:t>
      </w:r>
      <w:r>
        <w:rPr>
          <w:rFonts w:hint="eastAsia" w:ascii="宋体" w:hAnsi="宋体" w:eastAsia="宋体"/>
          <w:sz w:val="24"/>
          <w:highlight w:val="none"/>
        </w:rPr>
        <w:t>；甲</w:t>
      </w:r>
      <w:r>
        <w:rPr>
          <w:rFonts w:ascii="宋体" w:hAnsi="宋体" w:eastAsia="宋体"/>
          <w:sz w:val="24"/>
          <w:highlight w:val="none"/>
        </w:rPr>
        <w:t>方收到乙方通知后，认为其理由正当的，可以书面形式酌情同意乙方可以延长</w:t>
      </w:r>
      <w:r>
        <w:rPr>
          <w:rFonts w:hint="eastAsia" w:ascii="宋体" w:hAnsi="宋体" w:eastAsia="宋体"/>
          <w:sz w:val="24"/>
          <w:highlight w:val="none"/>
        </w:rPr>
        <w:t>履行</w:t>
      </w:r>
      <w:r>
        <w:rPr>
          <w:rFonts w:ascii="宋体" w:hAnsi="宋体" w:eastAsia="宋体"/>
          <w:sz w:val="24"/>
          <w:highlight w:val="none"/>
        </w:rPr>
        <w:t>的具体时间。</w:t>
      </w:r>
    </w:p>
    <w:p w14:paraId="6207EB0A">
      <w:pPr>
        <w:spacing w:line="360" w:lineRule="auto"/>
        <w:ind w:firstLine="437"/>
        <w:outlineLvl w:val="2"/>
        <w:rPr>
          <w:rFonts w:ascii="宋体" w:hAnsi="宋体" w:eastAsia="宋体"/>
          <w:b/>
          <w:bCs/>
          <w:sz w:val="24"/>
          <w:highlight w:val="none"/>
          <w:lang w:val="zh-CN"/>
        </w:rPr>
      </w:pPr>
      <w:bookmarkStart w:id="163" w:name="_Toc7502"/>
      <w:bookmarkStart w:id="164" w:name="_Toc259093683"/>
      <w:bookmarkStart w:id="165" w:name="_Ref467378121"/>
      <w:bookmarkStart w:id="166" w:name="_Toc487900364"/>
      <w:bookmarkStart w:id="167" w:name="_Toc279701254"/>
      <w:r>
        <w:rPr>
          <w:rFonts w:ascii="宋体" w:hAnsi="宋体" w:eastAsia="宋体"/>
          <w:b/>
          <w:bCs/>
          <w:sz w:val="24"/>
          <w:highlight w:val="none"/>
          <w:lang w:val="zh-CN"/>
        </w:rPr>
        <w:t>2.9 合同变更</w:t>
      </w:r>
      <w:bookmarkEnd w:id="163"/>
    </w:p>
    <w:p w14:paraId="25D6898E">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9</w:t>
      </w:r>
      <w:r>
        <w:rPr>
          <w:rFonts w:hint="eastAsia" w:ascii="宋体" w:hAnsi="宋体" w:eastAsia="宋体"/>
          <w:sz w:val="24"/>
          <w:highlight w:val="none"/>
        </w:rPr>
        <w:t>.1双方当事人协商一致，可以签订书面补充合同的形式变更合同，但不得违背采购文件确定的事项；</w:t>
      </w:r>
    </w:p>
    <w:p w14:paraId="035F1917">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9</w:t>
      </w:r>
      <w:r>
        <w:rPr>
          <w:rFonts w:hint="eastAsia" w:ascii="宋体" w:hAnsi="宋体" w:eastAsia="宋体"/>
          <w:sz w:val="24"/>
          <w:highlight w:val="none"/>
        </w:rPr>
        <w:t>.2合同继续履行将损害国家利益和社会公共利益的，双方当事人应当以书面形式变更合同。有过错的一方应当承担赔偿责任，双方当事人都有过错的，各自承担相应的责任。</w:t>
      </w:r>
      <w:bookmarkStart w:id="168" w:name="_Toc259093688"/>
      <w:bookmarkStart w:id="169" w:name="_Toc279701259"/>
      <w:bookmarkStart w:id="170" w:name="_Toc487900369"/>
    </w:p>
    <w:p w14:paraId="1E73A301">
      <w:pPr>
        <w:spacing w:line="360" w:lineRule="auto"/>
        <w:ind w:firstLine="437"/>
        <w:outlineLvl w:val="2"/>
        <w:rPr>
          <w:rFonts w:ascii="宋体" w:hAnsi="宋体" w:eastAsia="宋体"/>
          <w:b/>
          <w:bCs/>
          <w:sz w:val="24"/>
          <w:highlight w:val="none"/>
          <w:lang w:val="zh-CN"/>
        </w:rPr>
      </w:pPr>
      <w:bookmarkStart w:id="171" w:name="_Toc10366"/>
      <w:bookmarkStart w:id="172" w:name="_Toc22955"/>
      <w:bookmarkStart w:id="173" w:name="_Toc15237"/>
      <w:r>
        <w:rPr>
          <w:rFonts w:hint="eastAsia" w:ascii="宋体" w:hAnsi="宋体" w:eastAsia="宋体"/>
          <w:b/>
          <w:bCs/>
          <w:sz w:val="24"/>
          <w:highlight w:val="none"/>
          <w:lang w:val="zh-CN"/>
        </w:rPr>
        <w:t>2.1</w:t>
      </w:r>
      <w:r>
        <w:rPr>
          <w:rFonts w:ascii="宋体" w:hAnsi="宋体" w:eastAsia="宋体"/>
          <w:b/>
          <w:bCs/>
          <w:sz w:val="24"/>
          <w:highlight w:val="none"/>
          <w:lang w:val="zh-CN"/>
        </w:rPr>
        <w:t>0</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合同转让</w:t>
      </w:r>
      <w:bookmarkEnd w:id="168"/>
      <w:bookmarkEnd w:id="169"/>
      <w:bookmarkEnd w:id="170"/>
      <w:r>
        <w:rPr>
          <w:rFonts w:ascii="宋体" w:hAnsi="宋体" w:eastAsia="宋体"/>
          <w:b/>
          <w:bCs/>
          <w:sz w:val="24"/>
          <w:highlight w:val="none"/>
          <w:lang w:val="zh-CN"/>
        </w:rPr>
        <w:t>和分包</w:t>
      </w:r>
      <w:bookmarkEnd w:id="171"/>
      <w:bookmarkEnd w:id="172"/>
      <w:bookmarkEnd w:id="173"/>
    </w:p>
    <w:p w14:paraId="34B32380">
      <w:pPr>
        <w:spacing w:line="360" w:lineRule="auto"/>
        <w:ind w:firstLine="435"/>
        <w:rPr>
          <w:rFonts w:ascii="宋体" w:hAnsi="宋体" w:eastAsia="宋体"/>
          <w:sz w:val="24"/>
          <w:highlight w:val="none"/>
        </w:rPr>
      </w:pPr>
      <w:r>
        <w:rPr>
          <w:rFonts w:ascii="宋体" w:hAnsi="宋体" w:eastAsia="宋体"/>
          <w:sz w:val="24"/>
          <w:highlight w:val="none"/>
        </w:rPr>
        <w:t>合同的权利义务依法不</w:t>
      </w:r>
      <w:r>
        <w:rPr>
          <w:rFonts w:hint="eastAsia" w:ascii="宋体" w:hAnsi="宋体" w:eastAsia="宋体"/>
          <w:sz w:val="24"/>
          <w:highlight w:val="none"/>
        </w:rPr>
        <w:t>得</w:t>
      </w:r>
      <w:r>
        <w:rPr>
          <w:rFonts w:ascii="宋体" w:hAnsi="宋体" w:eastAsia="宋体"/>
          <w:sz w:val="24"/>
          <w:highlight w:val="none"/>
        </w:rPr>
        <w:t>转让</w:t>
      </w:r>
      <w:r>
        <w:rPr>
          <w:rFonts w:hint="eastAsia" w:ascii="宋体" w:hAnsi="宋体" w:eastAsia="宋体"/>
          <w:sz w:val="24"/>
          <w:highlight w:val="none"/>
        </w:rPr>
        <w:t>，</w:t>
      </w:r>
      <w:r>
        <w:rPr>
          <w:rFonts w:ascii="宋体" w:hAnsi="宋体" w:eastAsia="宋体"/>
          <w:sz w:val="24"/>
          <w:highlight w:val="none"/>
        </w:rPr>
        <w:t>但经甲方</w:t>
      </w:r>
      <w:r>
        <w:rPr>
          <w:rFonts w:hint="eastAsia" w:ascii="宋体" w:hAnsi="宋体" w:eastAsia="宋体"/>
          <w:sz w:val="24"/>
          <w:highlight w:val="none"/>
        </w:rPr>
        <w:t>同意，乙方可以依法采取分包方式履行合同，即：依法可以</w:t>
      </w:r>
      <w:r>
        <w:rPr>
          <w:rFonts w:ascii="宋体" w:hAnsi="宋体" w:eastAsia="宋体"/>
          <w:sz w:val="24"/>
          <w:highlight w:val="none"/>
        </w:rPr>
        <w:t>将合同项下的部分非主体、非关键性工作分包给他人完成</w:t>
      </w:r>
      <w:r>
        <w:rPr>
          <w:rFonts w:hint="eastAsia" w:ascii="宋体" w:hAnsi="宋体" w:eastAsia="宋体"/>
          <w:sz w:val="24"/>
          <w:highlight w:val="none"/>
        </w:rPr>
        <w:t>，</w:t>
      </w:r>
      <w:r>
        <w:rPr>
          <w:rFonts w:ascii="宋体" w:hAnsi="宋体" w:eastAsia="宋体"/>
          <w:sz w:val="24"/>
          <w:highlight w:val="none"/>
        </w:rPr>
        <w:t>接受分包的人应当具备相应的资格条件，并不得再次分包</w:t>
      </w:r>
      <w:r>
        <w:rPr>
          <w:rFonts w:hint="eastAsia" w:ascii="宋体" w:hAnsi="宋体" w:eastAsia="宋体"/>
          <w:sz w:val="24"/>
          <w:highlight w:val="none"/>
        </w:rPr>
        <w:t>，</w:t>
      </w:r>
      <w:r>
        <w:rPr>
          <w:rFonts w:ascii="宋体" w:hAnsi="宋体" w:eastAsia="宋体"/>
          <w:sz w:val="24"/>
          <w:highlight w:val="none"/>
        </w:rPr>
        <w:t>且乙方应就分包项目向甲方负责</w:t>
      </w:r>
      <w:r>
        <w:rPr>
          <w:rFonts w:hint="eastAsia" w:ascii="宋体" w:hAnsi="宋体" w:eastAsia="宋体"/>
          <w:sz w:val="24"/>
          <w:highlight w:val="none"/>
        </w:rPr>
        <w:t>，</w:t>
      </w:r>
      <w:r>
        <w:rPr>
          <w:rFonts w:ascii="宋体" w:hAnsi="宋体" w:eastAsia="宋体"/>
          <w:sz w:val="24"/>
          <w:highlight w:val="none"/>
        </w:rPr>
        <w:t>并</w:t>
      </w:r>
      <w:r>
        <w:rPr>
          <w:rFonts w:hint="eastAsia" w:ascii="宋体" w:hAnsi="宋体" w:eastAsia="宋体"/>
          <w:sz w:val="24"/>
          <w:highlight w:val="none"/>
        </w:rPr>
        <w:t>与分包供应商就分包项目向甲方承担连带责任。</w:t>
      </w:r>
    </w:p>
    <w:p w14:paraId="0C78BAE8">
      <w:pPr>
        <w:spacing w:line="360" w:lineRule="auto"/>
        <w:ind w:firstLine="437"/>
        <w:outlineLvl w:val="2"/>
        <w:rPr>
          <w:rFonts w:ascii="宋体" w:hAnsi="宋体" w:eastAsia="宋体"/>
          <w:b/>
          <w:bCs/>
          <w:sz w:val="24"/>
          <w:highlight w:val="none"/>
          <w:lang w:val="zh-CN"/>
        </w:rPr>
      </w:pPr>
      <w:bookmarkStart w:id="174" w:name="_Toc16508"/>
      <w:bookmarkStart w:id="175" w:name="_Toc13566"/>
      <w:bookmarkStart w:id="176" w:name="_Toc14066"/>
      <w:r>
        <w:rPr>
          <w:rFonts w:hint="eastAsia" w:ascii="宋体" w:hAnsi="宋体" w:eastAsia="宋体"/>
          <w:b/>
          <w:bCs/>
          <w:sz w:val="24"/>
          <w:highlight w:val="none"/>
          <w:lang w:val="zh-CN"/>
        </w:rPr>
        <w:t>2.1</w:t>
      </w:r>
      <w:r>
        <w:rPr>
          <w:rFonts w:ascii="宋体" w:hAnsi="宋体" w:eastAsia="宋体"/>
          <w:b/>
          <w:bCs/>
          <w:sz w:val="24"/>
          <w:highlight w:val="none"/>
          <w:lang w:val="zh-CN"/>
        </w:rPr>
        <w:t>1 不可抗力</w:t>
      </w:r>
      <w:bookmarkEnd w:id="174"/>
      <w:bookmarkEnd w:id="175"/>
      <w:bookmarkEnd w:id="176"/>
    </w:p>
    <w:p w14:paraId="79D8556A">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sz w:val="24"/>
          <w:highlight w:val="none"/>
        </w:rPr>
        <w:t>；</w:t>
      </w:r>
    </w:p>
    <w:p w14:paraId="140FD3A6">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w:t>
      </w:r>
      <w:r>
        <w:rPr>
          <w:rFonts w:hint="eastAsia" w:ascii="宋体" w:hAnsi="宋体" w:eastAsia="宋体"/>
          <w:sz w:val="24"/>
          <w:highlight w:val="none"/>
        </w:rPr>
        <w:t>.2因不可抗力致使不能实现合同目的的，当事人可以解除合同；</w:t>
      </w:r>
    </w:p>
    <w:p w14:paraId="3322C490">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w:t>
      </w:r>
      <w:r>
        <w:rPr>
          <w:rFonts w:hint="eastAsia" w:ascii="宋体" w:hAnsi="宋体" w:eastAsia="宋体"/>
          <w:sz w:val="24"/>
          <w:highlight w:val="none"/>
        </w:rPr>
        <w:t>.3因</w:t>
      </w:r>
      <w:r>
        <w:rPr>
          <w:rFonts w:ascii="宋体" w:hAnsi="宋体" w:eastAsia="宋体"/>
          <w:sz w:val="24"/>
          <w:highlight w:val="none"/>
        </w:rPr>
        <w:t>不可抗力致使合同有变更必要的，双方当事人应在</w:t>
      </w:r>
      <w:r>
        <w:rPr>
          <w:rFonts w:ascii="宋体" w:hAnsi="宋体" w:eastAsia="宋体"/>
          <w:b/>
          <w:i/>
          <w:sz w:val="24"/>
          <w:highlight w:val="none"/>
          <w:u w:val="single"/>
        </w:rPr>
        <w:t>合同专用条款</w:t>
      </w:r>
      <w:r>
        <w:rPr>
          <w:rFonts w:ascii="宋体" w:hAnsi="宋体" w:eastAsia="宋体"/>
          <w:sz w:val="24"/>
          <w:highlight w:val="none"/>
        </w:rPr>
        <w:t>约定时间内以书面形式变更合同</w:t>
      </w:r>
      <w:r>
        <w:rPr>
          <w:rFonts w:hint="eastAsia" w:ascii="宋体" w:hAnsi="宋体" w:eastAsia="宋体"/>
          <w:sz w:val="24"/>
          <w:highlight w:val="none"/>
        </w:rPr>
        <w:t>；</w:t>
      </w:r>
    </w:p>
    <w:p w14:paraId="5F479253">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w:t>
      </w:r>
      <w:r>
        <w:rPr>
          <w:rFonts w:hint="eastAsia" w:ascii="宋体" w:hAnsi="宋体" w:eastAsia="宋体"/>
          <w:sz w:val="24"/>
          <w:highlight w:val="none"/>
        </w:rPr>
        <w:t>4</w:t>
      </w:r>
      <w:r>
        <w:rPr>
          <w:rFonts w:ascii="宋体" w:hAnsi="宋体" w:eastAsia="宋体"/>
          <w:sz w:val="24"/>
          <w:highlight w:val="none"/>
        </w:rPr>
        <w:t>受</w:t>
      </w:r>
      <w:r>
        <w:rPr>
          <w:rFonts w:hint="eastAsia" w:ascii="宋体" w:hAnsi="宋体" w:eastAsia="宋体"/>
          <w:sz w:val="24"/>
          <w:highlight w:val="none"/>
        </w:rPr>
        <w:t>不可抗力</w:t>
      </w:r>
      <w:r>
        <w:rPr>
          <w:rFonts w:ascii="宋体" w:hAnsi="宋体" w:eastAsia="宋体"/>
          <w:sz w:val="24"/>
          <w:highlight w:val="none"/>
        </w:rPr>
        <w:t>影响的一方在不可抗力发生后</w:t>
      </w:r>
      <w:r>
        <w:rPr>
          <w:rFonts w:hint="eastAsia" w:ascii="宋体" w:hAnsi="宋体" w:eastAsia="宋体"/>
          <w:sz w:val="24"/>
          <w:highlight w:val="none"/>
        </w:rPr>
        <w:t>，</w:t>
      </w:r>
      <w:r>
        <w:rPr>
          <w:rFonts w:ascii="宋体" w:hAnsi="宋体" w:eastAsia="宋体"/>
          <w:sz w:val="24"/>
          <w:highlight w:val="none"/>
        </w:rPr>
        <w:t>应在</w:t>
      </w:r>
      <w:r>
        <w:rPr>
          <w:rFonts w:ascii="宋体" w:hAnsi="宋体" w:eastAsia="宋体"/>
          <w:b/>
          <w:i/>
          <w:sz w:val="24"/>
          <w:highlight w:val="none"/>
          <w:u w:val="single"/>
        </w:rPr>
        <w:t>合同专用条款</w:t>
      </w:r>
      <w:r>
        <w:rPr>
          <w:rFonts w:ascii="宋体" w:hAnsi="宋体" w:eastAsia="宋体"/>
          <w:sz w:val="24"/>
          <w:highlight w:val="none"/>
        </w:rPr>
        <w:t>约定时间内以书面形式通知</w:t>
      </w:r>
      <w:r>
        <w:rPr>
          <w:rFonts w:hint="eastAsia" w:ascii="宋体" w:hAnsi="宋体" w:eastAsia="宋体"/>
          <w:sz w:val="24"/>
          <w:highlight w:val="none"/>
        </w:rPr>
        <w:t>对</w:t>
      </w:r>
      <w:r>
        <w:rPr>
          <w:rFonts w:ascii="宋体" w:hAnsi="宋体" w:eastAsia="宋体"/>
          <w:sz w:val="24"/>
          <w:highlight w:val="none"/>
        </w:rPr>
        <w:t>方当事人，并在</w:t>
      </w:r>
      <w:r>
        <w:rPr>
          <w:rFonts w:ascii="宋体" w:hAnsi="宋体" w:eastAsia="宋体"/>
          <w:b/>
          <w:i/>
          <w:sz w:val="24"/>
          <w:highlight w:val="none"/>
          <w:u w:val="single"/>
        </w:rPr>
        <w:t>合同专用条款</w:t>
      </w:r>
      <w:r>
        <w:rPr>
          <w:rFonts w:ascii="宋体" w:hAnsi="宋体" w:eastAsia="宋体"/>
          <w:sz w:val="24"/>
          <w:highlight w:val="none"/>
        </w:rPr>
        <w:t>约定时间内，将有关部门出具的证明文件送达</w:t>
      </w:r>
      <w:r>
        <w:rPr>
          <w:rFonts w:hint="eastAsia" w:ascii="宋体" w:hAnsi="宋体" w:eastAsia="宋体"/>
          <w:sz w:val="24"/>
          <w:highlight w:val="none"/>
        </w:rPr>
        <w:t>对方当事人</w:t>
      </w:r>
      <w:r>
        <w:rPr>
          <w:rFonts w:ascii="宋体" w:hAnsi="宋体" w:eastAsia="宋体"/>
          <w:sz w:val="24"/>
          <w:highlight w:val="none"/>
        </w:rPr>
        <w:t>。</w:t>
      </w:r>
    </w:p>
    <w:p w14:paraId="5F4AAFD8">
      <w:pPr>
        <w:spacing w:line="360" w:lineRule="auto"/>
        <w:ind w:firstLine="437"/>
        <w:outlineLvl w:val="2"/>
        <w:rPr>
          <w:rFonts w:ascii="宋体" w:hAnsi="宋体" w:eastAsia="宋体"/>
          <w:b/>
          <w:bCs/>
          <w:sz w:val="24"/>
          <w:highlight w:val="none"/>
          <w:lang w:val="zh-CN"/>
        </w:rPr>
      </w:pPr>
      <w:bookmarkStart w:id="177" w:name="_Toc689"/>
      <w:bookmarkStart w:id="178" w:name="_Toc487900365"/>
      <w:bookmarkStart w:id="179" w:name="_Toc279701255"/>
      <w:bookmarkStart w:id="180" w:name="_Toc259093684"/>
      <w:bookmarkStart w:id="181" w:name="_Toc30676"/>
      <w:bookmarkStart w:id="182" w:name="_Toc6969"/>
      <w:r>
        <w:rPr>
          <w:rFonts w:hint="eastAsia" w:ascii="宋体" w:hAnsi="宋体" w:eastAsia="宋体"/>
          <w:b/>
          <w:bCs/>
          <w:sz w:val="24"/>
          <w:highlight w:val="none"/>
          <w:lang w:val="zh-CN"/>
        </w:rPr>
        <w:t>2.</w:t>
      </w:r>
      <w:r>
        <w:rPr>
          <w:rFonts w:ascii="宋体" w:hAnsi="宋体" w:eastAsia="宋体"/>
          <w:b/>
          <w:bCs/>
          <w:sz w:val="24"/>
          <w:highlight w:val="none"/>
          <w:lang w:val="zh-CN"/>
        </w:rPr>
        <w:t>12</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税费</w:t>
      </w:r>
      <w:bookmarkEnd w:id="177"/>
      <w:bookmarkEnd w:id="178"/>
      <w:bookmarkEnd w:id="179"/>
      <w:bookmarkEnd w:id="180"/>
      <w:bookmarkEnd w:id="181"/>
      <w:bookmarkEnd w:id="182"/>
    </w:p>
    <w:p w14:paraId="609F6E26">
      <w:pPr>
        <w:spacing w:line="360" w:lineRule="auto"/>
        <w:ind w:firstLine="435"/>
        <w:rPr>
          <w:rFonts w:ascii="宋体" w:hAnsi="宋体" w:eastAsia="宋体"/>
          <w:sz w:val="24"/>
          <w:highlight w:val="none"/>
        </w:rPr>
      </w:pPr>
      <w:r>
        <w:rPr>
          <w:rFonts w:ascii="宋体" w:hAnsi="宋体" w:eastAsia="宋体"/>
          <w:sz w:val="24"/>
          <w:highlight w:val="none"/>
        </w:rPr>
        <w:t>与合同有关的一切税费</w:t>
      </w:r>
      <w:r>
        <w:rPr>
          <w:rFonts w:hint="eastAsia" w:ascii="宋体" w:hAnsi="宋体" w:eastAsia="宋体"/>
          <w:sz w:val="24"/>
          <w:highlight w:val="none"/>
        </w:rPr>
        <w:t>，</w:t>
      </w:r>
      <w:r>
        <w:rPr>
          <w:rFonts w:ascii="宋体" w:hAnsi="宋体" w:eastAsia="宋体"/>
          <w:sz w:val="24"/>
          <w:highlight w:val="none"/>
        </w:rPr>
        <w:t>均按照中华人民共和国法律的相关规定</w:t>
      </w:r>
      <w:r>
        <w:rPr>
          <w:rFonts w:hint="eastAsia" w:ascii="宋体" w:hAnsi="宋体" w:eastAsia="宋体"/>
          <w:sz w:val="24"/>
          <w:highlight w:val="none"/>
        </w:rPr>
        <w:t>缴纳</w:t>
      </w:r>
      <w:r>
        <w:rPr>
          <w:rFonts w:ascii="宋体" w:hAnsi="宋体" w:eastAsia="宋体"/>
          <w:sz w:val="24"/>
          <w:highlight w:val="none"/>
        </w:rPr>
        <w:t>。</w:t>
      </w:r>
    </w:p>
    <w:p w14:paraId="7249225E">
      <w:pPr>
        <w:spacing w:line="360" w:lineRule="auto"/>
        <w:ind w:firstLine="437"/>
        <w:outlineLvl w:val="2"/>
        <w:rPr>
          <w:rFonts w:ascii="宋体" w:hAnsi="宋体" w:eastAsia="宋体"/>
          <w:b/>
          <w:bCs/>
          <w:sz w:val="24"/>
          <w:highlight w:val="none"/>
          <w:lang w:val="zh-CN"/>
        </w:rPr>
      </w:pPr>
      <w:bookmarkStart w:id="183" w:name="_Toc279701258"/>
      <w:bookmarkStart w:id="184" w:name="_Toc7102"/>
      <w:bookmarkStart w:id="185" w:name="_Toc8298"/>
      <w:bookmarkStart w:id="186" w:name="_Toc487900368"/>
      <w:bookmarkStart w:id="187" w:name="_Toc16959"/>
      <w:bookmarkStart w:id="188" w:name="_Toc259093687"/>
      <w:r>
        <w:rPr>
          <w:rFonts w:hint="eastAsia" w:ascii="宋体" w:hAnsi="宋体" w:eastAsia="宋体"/>
          <w:b/>
          <w:bCs/>
          <w:sz w:val="24"/>
          <w:highlight w:val="none"/>
          <w:lang w:val="zh-CN"/>
        </w:rPr>
        <w:t>2.</w:t>
      </w:r>
      <w:r>
        <w:rPr>
          <w:rFonts w:ascii="宋体" w:hAnsi="宋体" w:eastAsia="宋体"/>
          <w:b/>
          <w:bCs/>
          <w:sz w:val="24"/>
          <w:highlight w:val="none"/>
          <w:lang w:val="zh-CN"/>
        </w:rPr>
        <w:t>13</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乙方破产</w:t>
      </w:r>
      <w:bookmarkEnd w:id="183"/>
      <w:bookmarkEnd w:id="184"/>
      <w:bookmarkEnd w:id="185"/>
      <w:bookmarkEnd w:id="186"/>
      <w:bookmarkEnd w:id="187"/>
      <w:bookmarkEnd w:id="188"/>
    </w:p>
    <w:p w14:paraId="47B04E8D">
      <w:pPr>
        <w:spacing w:line="360" w:lineRule="auto"/>
        <w:ind w:firstLine="435"/>
        <w:rPr>
          <w:rFonts w:ascii="宋体" w:hAnsi="宋体" w:eastAsia="宋体"/>
          <w:sz w:val="24"/>
          <w:highlight w:val="none"/>
        </w:rPr>
      </w:pPr>
      <w:r>
        <w:rPr>
          <w:rFonts w:ascii="宋体" w:hAnsi="宋体" w:eastAsia="宋体"/>
          <w:sz w:val="24"/>
          <w:highlight w:val="none"/>
        </w:rPr>
        <w:t>如果乙方破产导致合同无法履行时，甲方可以书面形式通知乙方终止合同且不给予乙方任何补偿和赔偿</w:t>
      </w:r>
      <w:r>
        <w:rPr>
          <w:rFonts w:hint="eastAsia" w:ascii="宋体" w:hAnsi="宋体" w:eastAsia="宋体"/>
          <w:sz w:val="24"/>
          <w:highlight w:val="none"/>
        </w:rPr>
        <w:t>，但合同的</w:t>
      </w:r>
      <w:r>
        <w:rPr>
          <w:rFonts w:ascii="宋体" w:hAnsi="宋体" w:eastAsia="宋体"/>
          <w:sz w:val="24"/>
          <w:highlight w:val="none"/>
        </w:rPr>
        <w:t>终止不损害或不影响甲方已经采取或将要采取的任何要求乙方支付违约金</w:t>
      </w:r>
      <w:r>
        <w:rPr>
          <w:rFonts w:hint="eastAsia" w:ascii="宋体" w:hAnsi="宋体" w:eastAsia="宋体"/>
          <w:sz w:val="24"/>
          <w:highlight w:val="none"/>
        </w:rPr>
        <w:t>、</w:t>
      </w:r>
      <w:r>
        <w:rPr>
          <w:rFonts w:ascii="宋体" w:hAnsi="宋体" w:eastAsia="宋体"/>
          <w:sz w:val="24"/>
          <w:highlight w:val="none"/>
        </w:rPr>
        <w:t>赔偿损失等的行动或补救措施的权利</w:t>
      </w:r>
      <w:r>
        <w:rPr>
          <w:rFonts w:hint="eastAsia" w:ascii="宋体" w:hAnsi="宋体" w:eastAsia="宋体"/>
          <w:sz w:val="24"/>
          <w:highlight w:val="none"/>
        </w:rPr>
        <w:t>。</w:t>
      </w:r>
    </w:p>
    <w:p w14:paraId="1F482F86">
      <w:pPr>
        <w:spacing w:line="360" w:lineRule="auto"/>
        <w:ind w:firstLine="437"/>
        <w:outlineLvl w:val="2"/>
        <w:rPr>
          <w:rFonts w:ascii="宋体" w:hAnsi="宋体" w:eastAsia="宋体"/>
          <w:b/>
          <w:sz w:val="24"/>
          <w:highlight w:val="none"/>
        </w:rPr>
      </w:pPr>
      <w:bookmarkStart w:id="189" w:name="_Toc6134"/>
      <w:bookmarkStart w:id="190" w:name="_Toc29333"/>
      <w:bookmarkStart w:id="191" w:name="_Toc15387"/>
      <w:r>
        <w:rPr>
          <w:rFonts w:hint="eastAsia" w:ascii="宋体" w:hAnsi="宋体" w:eastAsia="宋体"/>
          <w:b/>
          <w:bCs/>
          <w:sz w:val="24"/>
          <w:highlight w:val="none"/>
          <w:lang w:val="zh-CN"/>
        </w:rPr>
        <w:t>2.1</w:t>
      </w:r>
      <w:r>
        <w:rPr>
          <w:rFonts w:ascii="宋体" w:hAnsi="宋体" w:eastAsia="宋体"/>
          <w:b/>
          <w:bCs/>
          <w:sz w:val="24"/>
          <w:highlight w:val="none"/>
          <w:lang w:val="zh-CN"/>
        </w:rPr>
        <w:t>4</w:t>
      </w:r>
      <w:r>
        <w:rPr>
          <w:rFonts w:hint="eastAsia" w:ascii="宋体" w:hAnsi="宋体" w:eastAsia="宋体"/>
          <w:b/>
          <w:bCs/>
          <w:sz w:val="24"/>
          <w:highlight w:val="none"/>
          <w:lang w:val="zh-CN"/>
        </w:rPr>
        <w:t xml:space="preserve"> 合同中止、终止</w:t>
      </w:r>
      <w:bookmarkEnd w:id="189"/>
      <w:bookmarkEnd w:id="190"/>
      <w:bookmarkEnd w:id="191"/>
    </w:p>
    <w:p w14:paraId="1E449DAB">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4</w:t>
      </w:r>
      <w:r>
        <w:rPr>
          <w:rFonts w:hint="eastAsia" w:ascii="宋体" w:hAnsi="宋体" w:eastAsia="宋体"/>
          <w:sz w:val="24"/>
          <w:highlight w:val="none"/>
        </w:rPr>
        <w:t>.1双方当事人不得擅自中止或者终止合同；</w:t>
      </w:r>
    </w:p>
    <w:p w14:paraId="1561CC97">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4</w:t>
      </w:r>
      <w:r>
        <w:rPr>
          <w:rFonts w:hint="eastAsia" w:ascii="宋体" w:hAnsi="宋体" w:eastAsia="宋体"/>
          <w:sz w:val="24"/>
          <w:highlight w:val="none"/>
        </w:rPr>
        <w:t>.2合同继续履行将损害国家利益和社会公共利益的，双方当事人应当中止或者终止合同。有过错的一方应当承担赔偿责任，双方当事人都有过错的，各自承担相应的责任。</w:t>
      </w:r>
    </w:p>
    <w:p w14:paraId="715270E6">
      <w:pPr>
        <w:spacing w:line="360" w:lineRule="auto"/>
        <w:ind w:firstLine="437"/>
        <w:outlineLvl w:val="2"/>
        <w:rPr>
          <w:rFonts w:ascii="宋体" w:hAnsi="宋体" w:eastAsia="宋体"/>
          <w:b/>
          <w:bCs/>
          <w:sz w:val="24"/>
          <w:highlight w:val="none"/>
          <w:lang w:val="zh-CN"/>
        </w:rPr>
      </w:pPr>
      <w:bookmarkStart w:id="192" w:name="_Toc1125"/>
      <w:bookmarkStart w:id="193" w:name="_Toc14563"/>
      <w:bookmarkStart w:id="194" w:name="_Toc6596"/>
      <w:r>
        <w:rPr>
          <w:rFonts w:hint="eastAsia" w:ascii="宋体" w:hAnsi="宋体" w:eastAsia="宋体"/>
          <w:b/>
          <w:bCs/>
          <w:sz w:val="24"/>
          <w:highlight w:val="none"/>
          <w:lang w:val="zh-CN"/>
        </w:rPr>
        <w:t>2.1</w:t>
      </w:r>
      <w:r>
        <w:rPr>
          <w:rFonts w:ascii="宋体" w:hAnsi="宋体" w:eastAsia="宋体"/>
          <w:b/>
          <w:bCs/>
          <w:sz w:val="24"/>
          <w:highlight w:val="none"/>
          <w:lang w:val="zh-CN"/>
        </w:rPr>
        <w:t>5</w:t>
      </w:r>
      <w:r>
        <w:rPr>
          <w:rFonts w:hint="eastAsia" w:ascii="宋体" w:hAnsi="宋体" w:eastAsia="宋体"/>
          <w:b/>
          <w:bCs/>
          <w:sz w:val="24"/>
          <w:highlight w:val="none"/>
          <w:lang w:val="zh-CN"/>
        </w:rPr>
        <w:t xml:space="preserve"> 检验和验收</w:t>
      </w:r>
      <w:bookmarkEnd w:id="192"/>
      <w:bookmarkEnd w:id="193"/>
      <w:bookmarkEnd w:id="194"/>
    </w:p>
    <w:p w14:paraId="32BF249C">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5</w:t>
      </w:r>
      <w:r>
        <w:rPr>
          <w:rFonts w:ascii="宋体" w:hAnsi="宋体" w:eastAsia="宋体"/>
          <w:sz w:val="24"/>
          <w:highlight w:val="none"/>
        </w:rPr>
        <w:t>.</w:t>
      </w:r>
      <w:r>
        <w:rPr>
          <w:rFonts w:hint="eastAsia" w:ascii="宋体" w:hAnsi="宋体" w:eastAsia="宋体"/>
          <w:sz w:val="24"/>
          <w:highlight w:val="none"/>
        </w:rPr>
        <w:t>1乙方按照</w:t>
      </w:r>
      <w:r>
        <w:rPr>
          <w:rFonts w:ascii="宋体" w:hAnsi="宋体" w:eastAsia="宋体"/>
          <w:b/>
          <w:i/>
          <w:sz w:val="24"/>
          <w:highlight w:val="none"/>
          <w:u w:val="single"/>
        </w:rPr>
        <w:t>合同专用条款</w:t>
      </w:r>
      <w:r>
        <w:rPr>
          <w:rFonts w:ascii="宋体" w:hAnsi="宋体" w:eastAsia="宋体"/>
          <w:sz w:val="24"/>
          <w:highlight w:val="none"/>
        </w:rPr>
        <w:t>的约定</w:t>
      </w:r>
      <w:r>
        <w:rPr>
          <w:rFonts w:hint="eastAsia" w:ascii="宋体" w:hAnsi="宋体" w:eastAsia="宋体"/>
          <w:sz w:val="24"/>
          <w:highlight w:val="none"/>
        </w:rPr>
        <w:t>，</w:t>
      </w:r>
      <w:r>
        <w:rPr>
          <w:rFonts w:ascii="宋体" w:hAnsi="宋体" w:eastAsia="宋体"/>
          <w:sz w:val="24"/>
          <w:highlight w:val="none"/>
        </w:rPr>
        <w:t>定期提交服务报告</w:t>
      </w:r>
      <w:r>
        <w:rPr>
          <w:rFonts w:hint="eastAsia" w:ascii="宋体" w:hAnsi="宋体" w:eastAsia="宋体"/>
          <w:sz w:val="24"/>
          <w:highlight w:val="none"/>
        </w:rPr>
        <w:t>，甲方按照</w:t>
      </w:r>
      <w:r>
        <w:rPr>
          <w:rFonts w:ascii="宋体" w:hAnsi="宋体" w:eastAsia="宋体"/>
          <w:b/>
          <w:i/>
          <w:sz w:val="24"/>
          <w:highlight w:val="none"/>
          <w:u w:val="single"/>
        </w:rPr>
        <w:t>合同专用条款</w:t>
      </w:r>
      <w:r>
        <w:rPr>
          <w:rFonts w:ascii="宋体" w:hAnsi="宋体" w:eastAsia="宋体"/>
          <w:sz w:val="24"/>
          <w:highlight w:val="none"/>
        </w:rPr>
        <w:t>的约定进行定期验收</w:t>
      </w:r>
      <w:r>
        <w:rPr>
          <w:rFonts w:hint="eastAsia" w:ascii="宋体" w:hAnsi="宋体" w:eastAsia="宋体"/>
          <w:sz w:val="24"/>
          <w:highlight w:val="none"/>
        </w:rPr>
        <w:t>；</w:t>
      </w:r>
    </w:p>
    <w:p w14:paraId="5BCE0D41">
      <w:pPr>
        <w:spacing w:line="360" w:lineRule="auto"/>
        <w:ind w:firstLine="435"/>
        <w:rPr>
          <w:rFonts w:ascii="宋体" w:hAnsi="宋体" w:eastAsia="宋体"/>
          <w:sz w:val="24"/>
          <w:highlight w:val="none"/>
        </w:rPr>
      </w:pPr>
      <w:r>
        <w:rPr>
          <w:rFonts w:hint="eastAsia" w:ascii="宋体" w:hAnsi="宋体" w:eastAsia="宋体"/>
          <w:sz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525779A">
      <w:pPr>
        <w:spacing w:line="360" w:lineRule="auto"/>
        <w:ind w:firstLine="435"/>
        <w:rPr>
          <w:rFonts w:ascii="宋体" w:hAnsi="宋体" w:eastAsia="宋体"/>
          <w:sz w:val="24"/>
          <w:highlight w:val="none"/>
        </w:rPr>
      </w:pPr>
      <w:r>
        <w:rPr>
          <w:rFonts w:hint="eastAsia" w:ascii="宋体" w:hAnsi="宋体" w:eastAsia="宋体"/>
          <w:sz w:val="24"/>
          <w:highlight w:val="none"/>
        </w:rPr>
        <w:t>2.15.3检验和验收标准、程序等具体内容以及前述验收书的效力详见</w:t>
      </w:r>
      <w:r>
        <w:rPr>
          <w:rFonts w:ascii="宋体" w:hAnsi="宋体" w:eastAsia="宋体"/>
          <w:b/>
          <w:i/>
          <w:sz w:val="24"/>
          <w:highlight w:val="none"/>
          <w:u w:val="single"/>
        </w:rPr>
        <w:t>合同专用条款</w:t>
      </w:r>
      <w:r>
        <w:rPr>
          <w:rFonts w:hint="eastAsia" w:ascii="宋体" w:hAnsi="宋体" w:eastAsia="宋体"/>
          <w:i/>
          <w:sz w:val="24"/>
          <w:highlight w:val="none"/>
        </w:rPr>
        <w:t>。</w:t>
      </w:r>
    </w:p>
    <w:bookmarkEnd w:id="164"/>
    <w:bookmarkEnd w:id="165"/>
    <w:bookmarkEnd w:id="166"/>
    <w:bookmarkEnd w:id="167"/>
    <w:p w14:paraId="37BB26B5">
      <w:pPr>
        <w:spacing w:line="360" w:lineRule="auto"/>
        <w:ind w:firstLine="437"/>
        <w:outlineLvl w:val="2"/>
        <w:rPr>
          <w:rFonts w:ascii="宋体" w:hAnsi="宋体" w:eastAsia="宋体"/>
          <w:b/>
          <w:bCs/>
          <w:sz w:val="24"/>
          <w:highlight w:val="none"/>
        </w:rPr>
      </w:pPr>
      <w:bookmarkStart w:id="195" w:name="_Toc279701263"/>
      <w:bookmarkStart w:id="196" w:name="_Toc259093692"/>
      <w:bookmarkStart w:id="197" w:name="_Toc10330"/>
      <w:bookmarkStart w:id="198" w:name="_Toc18567"/>
      <w:bookmarkStart w:id="199" w:name="_Toc487900373"/>
      <w:bookmarkStart w:id="200" w:name="_Toc12773"/>
      <w:r>
        <w:rPr>
          <w:rFonts w:hint="eastAsia" w:ascii="宋体" w:hAnsi="宋体" w:eastAsia="宋体"/>
          <w:b/>
          <w:bCs/>
          <w:sz w:val="24"/>
          <w:highlight w:val="none"/>
        </w:rPr>
        <w:t>2.</w:t>
      </w:r>
      <w:r>
        <w:rPr>
          <w:rFonts w:ascii="宋体" w:hAnsi="宋体" w:eastAsia="宋体"/>
          <w:b/>
          <w:bCs/>
          <w:sz w:val="24"/>
          <w:highlight w:val="none"/>
        </w:rPr>
        <w:t>16</w:t>
      </w:r>
      <w:r>
        <w:rPr>
          <w:rFonts w:hint="eastAsia" w:ascii="宋体" w:hAnsi="宋体" w:eastAsia="宋体"/>
          <w:b/>
          <w:bCs/>
          <w:sz w:val="24"/>
          <w:highlight w:val="none"/>
        </w:rPr>
        <w:t xml:space="preserve"> </w:t>
      </w:r>
      <w:r>
        <w:rPr>
          <w:rFonts w:hint="eastAsia" w:ascii="宋体" w:hAnsi="宋体" w:eastAsia="宋体"/>
          <w:b/>
          <w:bCs/>
          <w:sz w:val="24"/>
          <w:highlight w:val="none"/>
          <w:lang w:val="zh-CN"/>
        </w:rPr>
        <w:t>合同使用的文字和</w:t>
      </w:r>
      <w:r>
        <w:rPr>
          <w:rFonts w:ascii="宋体" w:hAnsi="宋体" w:eastAsia="宋体"/>
          <w:b/>
          <w:bCs/>
          <w:sz w:val="24"/>
          <w:highlight w:val="none"/>
          <w:lang w:val="zh-CN"/>
        </w:rPr>
        <w:t>适用的法律</w:t>
      </w:r>
      <w:bookmarkEnd w:id="195"/>
      <w:bookmarkEnd w:id="196"/>
      <w:bookmarkEnd w:id="197"/>
      <w:bookmarkEnd w:id="198"/>
      <w:bookmarkEnd w:id="199"/>
      <w:bookmarkEnd w:id="200"/>
    </w:p>
    <w:p w14:paraId="1189C0CF">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16.1合同使用汉语书就</w:t>
      </w:r>
      <w:r>
        <w:rPr>
          <w:rFonts w:hint="eastAsia" w:ascii="宋体" w:hAnsi="宋体" w:eastAsia="宋体"/>
          <w:sz w:val="24"/>
          <w:highlight w:val="none"/>
        </w:rPr>
        <w:t>、</w:t>
      </w:r>
      <w:r>
        <w:rPr>
          <w:rFonts w:ascii="宋体" w:hAnsi="宋体" w:eastAsia="宋体"/>
          <w:sz w:val="24"/>
          <w:highlight w:val="none"/>
        </w:rPr>
        <w:t>变更和解释</w:t>
      </w:r>
      <w:r>
        <w:rPr>
          <w:rFonts w:hint="eastAsia" w:ascii="宋体" w:hAnsi="宋体" w:eastAsia="宋体"/>
          <w:sz w:val="24"/>
          <w:highlight w:val="none"/>
        </w:rPr>
        <w:t>；</w:t>
      </w:r>
    </w:p>
    <w:p w14:paraId="4CA65331">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16</w:t>
      </w:r>
      <w:r>
        <w:rPr>
          <w:rFonts w:hint="eastAsia" w:ascii="宋体" w:hAnsi="宋体" w:eastAsia="宋体"/>
          <w:sz w:val="24"/>
          <w:highlight w:val="none"/>
        </w:rPr>
        <w:t>.2合同适用</w:t>
      </w:r>
      <w:r>
        <w:rPr>
          <w:rFonts w:ascii="宋体" w:hAnsi="宋体" w:eastAsia="宋体"/>
          <w:sz w:val="24"/>
          <w:highlight w:val="none"/>
        </w:rPr>
        <w:t>中华人民共和国法律。</w:t>
      </w:r>
    </w:p>
    <w:p w14:paraId="0F595E4B">
      <w:pPr>
        <w:spacing w:line="360" w:lineRule="auto"/>
        <w:ind w:firstLine="437"/>
        <w:outlineLvl w:val="2"/>
        <w:rPr>
          <w:rFonts w:ascii="宋体" w:hAnsi="宋体" w:eastAsia="宋体"/>
          <w:b/>
          <w:sz w:val="24"/>
          <w:highlight w:val="none"/>
        </w:rPr>
      </w:pPr>
      <w:bookmarkStart w:id="201" w:name="_Toc259093693"/>
      <w:bookmarkStart w:id="202" w:name="_Toc12004"/>
      <w:bookmarkStart w:id="203" w:name="_Toc16673"/>
      <w:bookmarkStart w:id="204" w:name="_Toc279701264"/>
      <w:bookmarkStart w:id="205" w:name="_Toc3148"/>
      <w:bookmarkStart w:id="206" w:name="_Toc487900374"/>
      <w:r>
        <w:rPr>
          <w:rFonts w:hint="eastAsia" w:ascii="宋体" w:hAnsi="宋体" w:eastAsia="宋体"/>
          <w:b/>
          <w:bCs/>
          <w:sz w:val="24"/>
          <w:highlight w:val="none"/>
          <w:lang w:val="zh-CN"/>
        </w:rPr>
        <w:t>2.</w:t>
      </w:r>
      <w:r>
        <w:rPr>
          <w:rFonts w:ascii="宋体" w:hAnsi="宋体" w:eastAsia="宋体"/>
          <w:b/>
          <w:bCs/>
          <w:sz w:val="24"/>
          <w:highlight w:val="none"/>
          <w:lang w:val="zh-CN"/>
        </w:rPr>
        <w:t>17</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履约保证金</w:t>
      </w:r>
      <w:bookmarkEnd w:id="201"/>
      <w:bookmarkEnd w:id="202"/>
      <w:bookmarkEnd w:id="203"/>
      <w:bookmarkEnd w:id="204"/>
      <w:bookmarkEnd w:id="205"/>
    </w:p>
    <w:p w14:paraId="42883DB8">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17</w:t>
      </w:r>
      <w:r>
        <w:rPr>
          <w:rFonts w:hint="eastAsia" w:ascii="宋体" w:hAnsi="宋体" w:eastAsia="宋体"/>
          <w:sz w:val="24"/>
          <w:highlight w:val="none"/>
        </w:rPr>
        <w:t>.1采购文件要求乙方提交履约保证金的，乙方</w:t>
      </w:r>
      <w:r>
        <w:rPr>
          <w:rFonts w:ascii="宋体" w:hAnsi="宋体" w:eastAsia="宋体"/>
          <w:sz w:val="24"/>
          <w:highlight w:val="none"/>
        </w:rPr>
        <w:t>应按</w:t>
      </w:r>
      <w:r>
        <w:rPr>
          <w:rFonts w:ascii="宋体" w:hAnsi="宋体" w:eastAsia="宋体"/>
          <w:b/>
          <w:i/>
          <w:sz w:val="24"/>
          <w:highlight w:val="none"/>
          <w:u w:val="single"/>
        </w:rPr>
        <w:t>合同专用条款</w:t>
      </w:r>
      <w:r>
        <w:rPr>
          <w:rFonts w:ascii="宋体" w:hAnsi="宋体" w:eastAsia="宋体"/>
          <w:sz w:val="24"/>
          <w:highlight w:val="none"/>
        </w:rPr>
        <w:t>约定的方式</w:t>
      </w:r>
      <w:r>
        <w:rPr>
          <w:rFonts w:hint="eastAsia" w:ascii="宋体" w:hAnsi="宋体" w:eastAsia="宋体"/>
          <w:sz w:val="24"/>
          <w:highlight w:val="none"/>
        </w:rPr>
        <w:t>，以支票、汇票、本票或者金融机构、担保机构出具的保函等非现金形式提交；</w:t>
      </w:r>
    </w:p>
    <w:p w14:paraId="4231D940">
      <w:pPr>
        <w:spacing w:line="360" w:lineRule="auto"/>
        <w:ind w:firstLine="435"/>
        <w:rPr>
          <w:rFonts w:hint="eastAsia" w:ascii="宋体" w:hAnsi="宋体" w:eastAsia="宋体"/>
          <w:sz w:val="24"/>
          <w:highlight w:val="none"/>
          <w:lang w:eastAsia="zh-CN"/>
        </w:rPr>
      </w:pPr>
      <w:r>
        <w:rPr>
          <w:rFonts w:hint="eastAsia" w:ascii="宋体" w:hAnsi="宋体" w:eastAsia="宋体"/>
          <w:sz w:val="24"/>
          <w:highlight w:val="none"/>
        </w:rPr>
        <w:t>2.</w:t>
      </w:r>
      <w:r>
        <w:rPr>
          <w:rFonts w:ascii="宋体" w:hAnsi="宋体" w:eastAsia="宋体"/>
          <w:sz w:val="24"/>
          <w:highlight w:val="none"/>
        </w:rPr>
        <w:t>17.2履约保证金在</w:t>
      </w:r>
      <w:r>
        <w:rPr>
          <w:rFonts w:ascii="宋体" w:hAnsi="宋体" w:eastAsia="宋体"/>
          <w:b/>
          <w:i/>
          <w:sz w:val="24"/>
          <w:highlight w:val="none"/>
          <w:u w:val="single"/>
        </w:rPr>
        <w:t>合同专用条款</w:t>
      </w:r>
      <w:r>
        <w:rPr>
          <w:rFonts w:ascii="宋体" w:hAnsi="宋体" w:eastAsia="宋体"/>
          <w:sz w:val="24"/>
          <w:highlight w:val="none"/>
        </w:rPr>
        <w:t>约定期间内不予退还或者应完全有效</w:t>
      </w:r>
      <w:r>
        <w:rPr>
          <w:rFonts w:hint="eastAsia" w:ascii="宋体" w:hAnsi="宋体" w:eastAsia="宋体"/>
          <w:sz w:val="24"/>
          <w:highlight w:val="none"/>
        </w:rPr>
        <w:t>，前述约定期间届满</w:t>
      </w:r>
      <w:r>
        <w:rPr>
          <w:rFonts w:ascii="宋体" w:hAnsi="宋体" w:eastAsia="宋体"/>
          <w:sz w:val="24"/>
          <w:highlight w:val="none"/>
        </w:rPr>
        <w:t>之日起</w:t>
      </w:r>
      <w:r>
        <w:rPr>
          <w:rFonts w:hint="eastAsia" w:ascii="宋体" w:hAnsi="宋体" w:eastAsia="宋体"/>
          <w:sz w:val="24"/>
          <w:highlight w:val="none"/>
          <w:u w:val="single"/>
        </w:rPr>
        <w:t xml:space="preserve"> </w:t>
      </w:r>
      <w:r>
        <w:rPr>
          <w:rFonts w:ascii="宋体" w:hAnsi="宋体" w:eastAsia="宋体"/>
          <w:sz w:val="24"/>
          <w:highlight w:val="none"/>
          <w:u w:val="single"/>
        </w:rPr>
        <w:t xml:space="preserve"> </w:t>
      </w:r>
      <w:r>
        <w:rPr>
          <w:rFonts w:hint="eastAsia" w:ascii="宋体" w:hAnsi="宋体" w:eastAsia="宋体"/>
          <w:sz w:val="24"/>
          <w:highlight w:val="none"/>
          <w:u w:val="single"/>
        </w:rPr>
        <w:t xml:space="preserve"> </w:t>
      </w:r>
      <w:r>
        <w:rPr>
          <w:rFonts w:hint="eastAsia" w:ascii="宋体" w:hAnsi="宋体" w:eastAsia="宋体"/>
          <w:sz w:val="24"/>
          <w:highlight w:val="none"/>
        </w:rPr>
        <w:t>个</w:t>
      </w:r>
      <w:r>
        <w:rPr>
          <w:rFonts w:ascii="宋体" w:hAnsi="宋体" w:eastAsia="宋体"/>
          <w:sz w:val="24"/>
          <w:highlight w:val="none"/>
        </w:rPr>
        <w:t>工作日内，甲方应将履约保证金退还乙方</w:t>
      </w:r>
      <w:r>
        <w:rPr>
          <w:rFonts w:hint="eastAsia" w:ascii="宋体" w:hAnsi="宋体" w:eastAsia="宋体"/>
          <w:sz w:val="24"/>
          <w:highlight w:val="none"/>
          <w:lang w:eastAsia="zh-CN"/>
        </w:rPr>
        <w:t>，</w:t>
      </w:r>
      <w:r>
        <w:rPr>
          <w:rFonts w:hint="eastAsia" w:cs="Times New Roman" w:asciiTheme="minorEastAsia" w:hAnsiTheme="minorEastAsia" w:eastAsiaTheme="minorEastAsia"/>
          <w:color w:val="000000" w:themeColor="text1"/>
          <w:sz w:val="24"/>
          <w:szCs w:val="24"/>
          <w:highlight w:val="none"/>
          <w:lang w:val="en-US" w:eastAsia="zh-CN"/>
          <w14:textFill>
            <w14:solidFill>
              <w14:schemeClr w14:val="tx1"/>
            </w14:solidFill>
          </w14:textFill>
        </w:rPr>
        <w:t>甲方</w:t>
      </w: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逾期退还履约保证金</w:t>
      </w:r>
      <w:r>
        <w:rPr>
          <w:rFonts w:hint="eastAsia" w:cs="Times New Roman" w:asciiTheme="minorEastAsia" w:hAnsiTheme="minorEastAsia" w:eastAsiaTheme="minorEastAsia"/>
          <w:color w:val="000000" w:themeColor="text1"/>
          <w:sz w:val="24"/>
          <w:szCs w:val="24"/>
          <w:highlight w:val="none"/>
          <w:lang w:val="en-US" w:eastAsia="zh-CN"/>
          <w14:textFill>
            <w14:solidFill>
              <w14:schemeClr w14:val="tx1"/>
            </w14:solidFill>
          </w14:textFill>
        </w:rPr>
        <w:t>应承担违约责任。</w:t>
      </w:r>
    </w:p>
    <w:p w14:paraId="7F3F93E5">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17</w:t>
      </w:r>
      <w:r>
        <w:rPr>
          <w:rFonts w:hint="eastAsia" w:ascii="宋体" w:hAnsi="宋体" w:eastAsia="宋体"/>
          <w:sz w:val="24"/>
          <w:highlight w:val="none"/>
        </w:rPr>
        <w:t>.3</w:t>
      </w:r>
      <w:r>
        <w:rPr>
          <w:rFonts w:ascii="宋体" w:hAnsi="宋体" w:eastAsia="宋体"/>
          <w:sz w:val="24"/>
          <w:highlight w:val="none"/>
        </w:rPr>
        <w:t>如果乙方不履行合同</w:t>
      </w:r>
      <w:r>
        <w:rPr>
          <w:rFonts w:hint="eastAsia" w:ascii="宋体" w:hAnsi="宋体" w:eastAsia="宋体"/>
          <w:sz w:val="24"/>
          <w:highlight w:val="none"/>
        </w:rPr>
        <w:t>，履约保证金不予退还；如果乙方</w:t>
      </w:r>
      <w:r>
        <w:rPr>
          <w:rFonts w:ascii="宋体" w:hAnsi="宋体" w:eastAsia="宋体"/>
          <w:sz w:val="24"/>
          <w:highlight w:val="none"/>
        </w:rPr>
        <w:t>未能按合同</w:t>
      </w:r>
      <w:r>
        <w:rPr>
          <w:rFonts w:hint="eastAsia" w:ascii="宋体" w:hAnsi="宋体" w:eastAsia="宋体"/>
          <w:sz w:val="24"/>
          <w:highlight w:val="none"/>
        </w:rPr>
        <w:t>约</w:t>
      </w:r>
      <w:r>
        <w:rPr>
          <w:rFonts w:ascii="宋体" w:hAnsi="宋体" w:eastAsia="宋体"/>
          <w:sz w:val="24"/>
          <w:highlight w:val="none"/>
        </w:rPr>
        <w:t>定全面履行义务，那么甲方有权从履约保证金中取得补偿或赔偿</w:t>
      </w:r>
      <w:r>
        <w:rPr>
          <w:rFonts w:hint="eastAsia" w:ascii="宋体" w:hAnsi="宋体" w:eastAsia="宋体"/>
          <w:sz w:val="24"/>
          <w:highlight w:val="none"/>
        </w:rPr>
        <w:t>，同时不影响甲方要求乙方承担合同约定的超过履约保证金的违约责任的权利。</w:t>
      </w:r>
    </w:p>
    <w:bookmarkEnd w:id="206"/>
    <w:p w14:paraId="5CB33DBE">
      <w:pPr>
        <w:spacing w:line="360" w:lineRule="auto"/>
        <w:ind w:firstLine="437"/>
        <w:outlineLvl w:val="2"/>
        <w:rPr>
          <w:rFonts w:ascii="宋体" w:hAnsi="宋体" w:eastAsia="宋体"/>
          <w:b/>
          <w:sz w:val="24"/>
          <w:highlight w:val="none"/>
        </w:rPr>
      </w:pPr>
      <w:bookmarkStart w:id="207" w:name="_Toc19890"/>
      <w:bookmarkStart w:id="208" w:name="_Toc14001"/>
      <w:bookmarkStart w:id="209" w:name="_Toc6885"/>
      <w:r>
        <w:rPr>
          <w:rFonts w:hint="eastAsia" w:ascii="宋体" w:hAnsi="宋体" w:eastAsia="宋体"/>
          <w:b/>
          <w:bCs/>
          <w:sz w:val="24"/>
          <w:highlight w:val="none"/>
          <w:lang w:val="zh-CN"/>
        </w:rPr>
        <w:t>2.</w:t>
      </w:r>
      <w:r>
        <w:rPr>
          <w:rFonts w:ascii="宋体" w:hAnsi="宋体" w:eastAsia="宋体"/>
          <w:b/>
          <w:bCs/>
          <w:sz w:val="24"/>
          <w:highlight w:val="none"/>
          <w:lang w:val="zh-CN"/>
        </w:rPr>
        <w:t>18</w:t>
      </w:r>
      <w:r>
        <w:rPr>
          <w:rFonts w:hint="eastAsia" w:ascii="宋体" w:hAnsi="宋体" w:eastAsia="宋体"/>
          <w:b/>
          <w:bCs/>
          <w:sz w:val="24"/>
          <w:highlight w:val="none"/>
          <w:lang w:val="zh-CN"/>
        </w:rPr>
        <w:t xml:space="preserve"> 合同份数</w:t>
      </w:r>
      <w:bookmarkEnd w:id="207"/>
      <w:bookmarkEnd w:id="208"/>
      <w:bookmarkEnd w:id="209"/>
    </w:p>
    <w:p w14:paraId="588AEA31">
      <w:pPr>
        <w:spacing w:line="360" w:lineRule="auto"/>
        <w:ind w:firstLine="435"/>
        <w:rPr>
          <w:rFonts w:ascii="宋体" w:hAnsi="宋体" w:eastAsia="宋体"/>
          <w:sz w:val="24"/>
          <w:highlight w:val="none"/>
        </w:rPr>
      </w:pPr>
      <w:r>
        <w:rPr>
          <w:rFonts w:ascii="宋体" w:hAnsi="宋体" w:eastAsia="宋体"/>
          <w:sz w:val="24"/>
          <w:highlight w:val="none"/>
        </w:rPr>
        <w:t>合同份数按</w:t>
      </w:r>
      <w:r>
        <w:rPr>
          <w:rFonts w:ascii="宋体" w:hAnsi="宋体" w:eastAsia="宋体"/>
          <w:b/>
          <w:i/>
          <w:sz w:val="24"/>
          <w:highlight w:val="none"/>
          <w:u w:val="single"/>
        </w:rPr>
        <w:t>合同专用条款</w:t>
      </w:r>
      <w:r>
        <w:rPr>
          <w:rFonts w:ascii="宋体" w:hAnsi="宋体" w:eastAsia="宋体"/>
          <w:sz w:val="24"/>
          <w:highlight w:val="none"/>
        </w:rPr>
        <w:t>规定</w:t>
      </w:r>
      <w:r>
        <w:rPr>
          <w:rFonts w:hint="eastAsia" w:ascii="宋体" w:hAnsi="宋体" w:eastAsia="宋体"/>
          <w:sz w:val="24"/>
          <w:highlight w:val="none"/>
        </w:rPr>
        <w:t>，</w:t>
      </w:r>
      <w:r>
        <w:rPr>
          <w:rFonts w:ascii="宋体" w:hAnsi="宋体" w:eastAsia="宋体"/>
          <w:sz w:val="24"/>
          <w:highlight w:val="none"/>
        </w:rPr>
        <w:t>每份均具有同等法律效力</w:t>
      </w:r>
      <w:r>
        <w:rPr>
          <w:rFonts w:hint="eastAsia" w:ascii="宋体" w:hAnsi="宋体" w:eastAsia="宋体"/>
          <w:sz w:val="24"/>
          <w:highlight w:val="none"/>
        </w:rPr>
        <w:t>。</w:t>
      </w:r>
    </w:p>
    <w:p w14:paraId="25CBC3B3">
      <w:pPr>
        <w:spacing w:line="360" w:lineRule="auto"/>
        <w:jc w:val="center"/>
        <w:outlineLvl w:val="1"/>
        <w:rPr>
          <w:rFonts w:ascii="宋体" w:hAnsi="宋体" w:eastAsia="宋体"/>
          <w:b/>
          <w:sz w:val="24"/>
          <w:highlight w:val="none"/>
        </w:rPr>
      </w:pPr>
      <w:r>
        <w:rPr>
          <w:rFonts w:ascii="宋体" w:hAnsi="宋体" w:eastAsia="宋体"/>
          <w:sz w:val="24"/>
          <w:highlight w:val="none"/>
        </w:rPr>
        <w:br w:type="page"/>
      </w:r>
      <w:bookmarkStart w:id="210" w:name="_Toc331685784"/>
      <w:r>
        <w:rPr>
          <w:rFonts w:hint="eastAsia" w:ascii="宋体" w:hAnsi="宋体" w:eastAsia="宋体"/>
          <w:b/>
          <w:sz w:val="24"/>
          <w:highlight w:val="none"/>
        </w:rPr>
        <w:t>第三部分</w:t>
      </w:r>
      <w:r>
        <w:rPr>
          <w:rFonts w:ascii="宋体" w:hAnsi="宋体" w:eastAsia="宋体"/>
          <w:b/>
          <w:sz w:val="24"/>
          <w:highlight w:val="none"/>
        </w:rPr>
        <w:t xml:space="preserve"> </w:t>
      </w:r>
      <w:r>
        <w:rPr>
          <w:rFonts w:hint="eastAsia" w:ascii="宋体" w:hAnsi="宋体" w:eastAsia="宋体"/>
          <w:b/>
          <w:sz w:val="24"/>
          <w:highlight w:val="none"/>
        </w:rPr>
        <w:t>合同专用条款</w:t>
      </w:r>
      <w:bookmarkEnd w:id="210"/>
    </w:p>
    <w:p w14:paraId="681DD672">
      <w:pPr>
        <w:spacing w:line="360" w:lineRule="auto"/>
        <w:ind w:firstLine="435"/>
        <w:rPr>
          <w:rFonts w:ascii="宋体" w:hAnsi="宋体" w:eastAsia="宋体"/>
          <w:sz w:val="24"/>
          <w:highlight w:val="none"/>
        </w:rPr>
      </w:pPr>
      <w:r>
        <w:rPr>
          <w:rFonts w:hint="eastAsia" w:ascii="宋体" w:hAnsi="宋体" w:eastAsia="宋体"/>
          <w:sz w:val="24"/>
          <w:highlight w:val="none"/>
        </w:rPr>
        <w:t>本部分</w:t>
      </w:r>
      <w:r>
        <w:rPr>
          <w:rFonts w:ascii="宋体" w:hAnsi="宋体" w:eastAsia="宋体"/>
          <w:sz w:val="24"/>
          <w:highlight w:val="none"/>
        </w:rPr>
        <w:t>是对</w:t>
      </w:r>
      <w:r>
        <w:rPr>
          <w:rFonts w:hint="eastAsia" w:ascii="宋体" w:hAnsi="宋体" w:eastAsia="宋体"/>
          <w:sz w:val="24"/>
          <w:highlight w:val="none"/>
        </w:rPr>
        <w:t>前两</w:t>
      </w:r>
      <w:r>
        <w:rPr>
          <w:rFonts w:ascii="宋体" w:hAnsi="宋体" w:eastAsia="宋体"/>
          <w:sz w:val="24"/>
          <w:highlight w:val="none"/>
        </w:rPr>
        <w:t>部分的补充和修改</w:t>
      </w:r>
      <w:r>
        <w:rPr>
          <w:rFonts w:hint="eastAsia" w:ascii="宋体" w:hAnsi="宋体" w:eastAsia="宋体"/>
          <w:sz w:val="24"/>
          <w:highlight w:val="none"/>
        </w:rPr>
        <w:t>，</w:t>
      </w:r>
      <w:r>
        <w:rPr>
          <w:rFonts w:ascii="宋体" w:hAnsi="宋体" w:eastAsia="宋体"/>
          <w:sz w:val="24"/>
          <w:highlight w:val="none"/>
        </w:rPr>
        <w:t>如果</w:t>
      </w:r>
      <w:r>
        <w:rPr>
          <w:rFonts w:hint="eastAsia" w:ascii="宋体" w:hAnsi="宋体" w:eastAsia="宋体"/>
          <w:sz w:val="24"/>
          <w:highlight w:val="none"/>
        </w:rPr>
        <w:t>前两</w:t>
      </w:r>
      <w:r>
        <w:rPr>
          <w:rFonts w:ascii="宋体" w:hAnsi="宋体" w:eastAsia="宋体"/>
          <w:sz w:val="24"/>
          <w:highlight w:val="none"/>
        </w:rPr>
        <w:t>部分和本部分的约定不一致</w:t>
      </w:r>
      <w:r>
        <w:rPr>
          <w:rFonts w:hint="eastAsia" w:ascii="宋体" w:hAnsi="宋体" w:eastAsia="宋体"/>
          <w:sz w:val="24"/>
          <w:highlight w:val="none"/>
        </w:rPr>
        <w:t>，</w:t>
      </w:r>
      <w:r>
        <w:rPr>
          <w:rFonts w:ascii="宋体" w:hAnsi="宋体" w:eastAsia="宋体"/>
          <w:sz w:val="24"/>
          <w:highlight w:val="none"/>
        </w:rPr>
        <w:t>应以本部分的约定为准</w:t>
      </w:r>
      <w:r>
        <w:rPr>
          <w:rFonts w:hint="eastAsia" w:ascii="宋体" w:hAnsi="宋体" w:eastAsia="宋体"/>
          <w:sz w:val="24"/>
          <w:highlight w:val="none"/>
        </w:rPr>
        <w:t>。</w:t>
      </w:r>
      <w:r>
        <w:rPr>
          <w:rFonts w:ascii="宋体" w:hAnsi="宋体" w:eastAsia="宋体"/>
          <w:sz w:val="24"/>
          <w:highlight w:val="none"/>
        </w:rPr>
        <w:t>本部分的条款号应与</w:t>
      </w:r>
      <w:r>
        <w:rPr>
          <w:rFonts w:hint="eastAsia" w:ascii="宋体" w:hAnsi="宋体" w:eastAsia="宋体"/>
          <w:sz w:val="24"/>
          <w:highlight w:val="none"/>
        </w:rPr>
        <w:t>前两部分</w:t>
      </w:r>
      <w:r>
        <w:rPr>
          <w:rFonts w:ascii="宋体" w:hAnsi="宋体" w:eastAsia="宋体"/>
          <w:sz w:val="24"/>
          <w:highlight w:val="none"/>
        </w:rPr>
        <w:t>的条款号保持对应</w:t>
      </w:r>
      <w:r>
        <w:rPr>
          <w:rFonts w:hint="eastAsia" w:ascii="宋体" w:hAnsi="宋体" w:eastAsia="宋体"/>
          <w:sz w:val="24"/>
          <w:highlight w:val="none"/>
        </w:rPr>
        <w:t>；与前两部分</w:t>
      </w:r>
      <w:r>
        <w:rPr>
          <w:rFonts w:ascii="宋体" w:hAnsi="宋体" w:eastAsia="宋体"/>
          <w:sz w:val="24"/>
          <w:highlight w:val="none"/>
        </w:rPr>
        <w:t>无对应关系的内容可另行编制条款号</w:t>
      </w:r>
      <w:r>
        <w:rPr>
          <w:rFonts w:hint="eastAsia" w:ascii="宋体" w:hAnsi="宋体" w:eastAsia="宋体"/>
          <w:sz w:val="24"/>
          <w:highlight w:val="none"/>
        </w:rPr>
        <w:t>。</w:t>
      </w:r>
    </w:p>
    <w:tbl>
      <w:tblPr>
        <w:tblStyle w:val="2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94"/>
        <w:gridCol w:w="7568"/>
      </w:tblGrid>
      <w:tr w14:paraId="4BEE6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60B3E8E9">
            <w:pPr>
              <w:jc w:val="center"/>
              <w:rPr>
                <w:rFonts w:ascii="宋体" w:hAnsi="宋体" w:eastAsia="宋体"/>
                <w:b/>
                <w:sz w:val="24"/>
                <w:highlight w:val="none"/>
              </w:rPr>
            </w:pPr>
            <w:r>
              <w:rPr>
                <w:rFonts w:ascii="宋体" w:hAnsi="宋体" w:eastAsia="宋体"/>
                <w:b/>
                <w:sz w:val="24"/>
                <w:highlight w:val="none"/>
              </w:rPr>
              <w:t>条款号</w:t>
            </w:r>
          </w:p>
        </w:tc>
        <w:tc>
          <w:tcPr>
            <w:tcW w:w="4524" w:type="pct"/>
            <w:vAlign w:val="center"/>
          </w:tcPr>
          <w:p w14:paraId="68518FC8">
            <w:pPr>
              <w:jc w:val="center"/>
              <w:rPr>
                <w:rFonts w:ascii="宋体" w:hAnsi="宋体" w:eastAsia="宋体"/>
                <w:b/>
                <w:sz w:val="24"/>
                <w:highlight w:val="none"/>
              </w:rPr>
            </w:pPr>
            <w:r>
              <w:rPr>
                <w:rFonts w:ascii="宋体" w:hAnsi="宋体" w:eastAsia="宋体"/>
                <w:b/>
                <w:sz w:val="24"/>
                <w:highlight w:val="none"/>
              </w:rPr>
              <w:t>约定内容</w:t>
            </w:r>
          </w:p>
        </w:tc>
      </w:tr>
      <w:tr w14:paraId="0CF244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3F163A92">
            <w:pPr>
              <w:jc w:val="center"/>
              <w:rPr>
                <w:rFonts w:hint="eastAsia" w:eastAsia="@仿宋_GB2312"/>
                <w:lang w:val="en-US" w:eastAsia="zh-CN"/>
              </w:rPr>
            </w:pPr>
            <w:r>
              <w:rPr>
                <w:rFonts w:hint="eastAsia"/>
                <w:lang w:val="en-US" w:eastAsia="zh-CN"/>
              </w:rPr>
              <w:t>1</w:t>
            </w:r>
          </w:p>
        </w:tc>
        <w:tc>
          <w:tcPr>
            <w:tcW w:w="4524" w:type="pct"/>
            <w:vAlign w:val="center"/>
          </w:tcPr>
          <w:p w14:paraId="786F4F40">
            <w:pPr>
              <w:jc w:val="left"/>
              <w:rPr>
                <w:rFonts w:hint="eastAsia" w:ascii="宋体" w:hAnsi="宋体" w:eastAsia="宋体" w:cs="宋体"/>
                <w:color w:val="auto"/>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szCs w:val="18"/>
                <w:highlight w:val="none"/>
                <w:u w:val="single"/>
              </w:rPr>
              <w:t xml:space="preserve"> </w:t>
            </w:r>
            <w:r>
              <w:rPr>
                <w:rFonts w:hint="eastAsia" w:ascii="宋体" w:hAnsi="宋体" w:eastAsia="宋体" w:cs="宋体"/>
                <w:color w:val="auto"/>
                <w:sz w:val="24"/>
                <w:szCs w:val="18"/>
                <w:highlight w:val="none"/>
                <w:u w:val="single"/>
                <w:lang w:val="en-US" w:eastAsia="zh-CN"/>
              </w:rPr>
              <w:t>自合同生效之日起满1年</w:t>
            </w:r>
            <w:r>
              <w:rPr>
                <w:rFonts w:hint="eastAsia" w:ascii="宋体" w:hAnsi="宋体" w:eastAsia="宋体" w:cs="宋体"/>
                <w:color w:val="auto"/>
                <w:sz w:val="24"/>
                <w:szCs w:val="18"/>
                <w:highlight w:val="none"/>
                <w:u w:val="single"/>
              </w:rPr>
              <w:t xml:space="preserve"> </w:t>
            </w:r>
          </w:p>
        </w:tc>
      </w:tr>
      <w:tr w14:paraId="73640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4FD3D7F0">
            <w:pPr>
              <w:jc w:val="center"/>
              <w:rPr>
                <w:rFonts w:hint="eastAsia" w:eastAsia="@仿宋_GB2312"/>
                <w:lang w:val="en-US" w:eastAsia="zh-CN"/>
              </w:rPr>
            </w:pPr>
            <w:r>
              <w:rPr>
                <w:rFonts w:hint="eastAsia"/>
                <w:lang w:val="en-US" w:eastAsia="zh-CN"/>
              </w:rPr>
              <w:t>2</w:t>
            </w:r>
          </w:p>
        </w:tc>
        <w:tc>
          <w:tcPr>
            <w:tcW w:w="4524" w:type="pct"/>
            <w:vAlign w:val="center"/>
          </w:tcPr>
          <w:p w14:paraId="7BF48B34">
            <w:pPr>
              <w:jc w:val="left"/>
              <w:rPr>
                <w:rFonts w:hint="eastAsia" w:ascii="宋体" w:hAnsi="宋体" w:eastAsia="宋体" w:cs="宋体"/>
                <w:color w:val="auto"/>
              </w:rPr>
            </w:pPr>
            <w:r>
              <w:rPr>
                <w:rFonts w:hint="eastAsia" w:ascii="宋体" w:hAnsi="宋体" w:eastAsia="宋体" w:cs="宋体"/>
                <w:color w:val="auto"/>
                <w:sz w:val="24"/>
                <w:highlight w:val="none"/>
              </w:rPr>
              <w:t>付款方式：</w:t>
            </w:r>
            <w:r>
              <w:rPr>
                <w:rFonts w:hint="eastAsia" w:ascii="宋体" w:hAnsi="宋体" w:eastAsia="宋体" w:cs="宋体"/>
                <w:color w:val="auto"/>
                <w:sz w:val="24"/>
                <w:highlight w:val="none"/>
                <w:u w:val="single"/>
              </w:rPr>
              <w:t xml:space="preserve"> </w:t>
            </w:r>
            <w:r>
              <w:rPr>
                <w:rFonts w:hint="eastAsia" w:ascii="宋体" w:hAnsi="宋体" w:eastAsia="宋体" w:cs="宋体"/>
                <w:b w:val="0"/>
                <w:color w:val="auto"/>
                <w:sz w:val="24"/>
                <w:highlight w:val="none"/>
                <w:u w:val="single"/>
              </w:rPr>
              <w:t>按季度付款，每季度</w:t>
            </w:r>
            <w:r>
              <w:rPr>
                <w:rFonts w:hint="eastAsia" w:ascii="宋体" w:hAnsi="宋体" w:eastAsia="宋体" w:cs="宋体"/>
                <w:b w:val="0"/>
                <w:color w:val="auto"/>
                <w:sz w:val="24"/>
                <w:highlight w:val="none"/>
                <w:u w:val="single"/>
                <w:lang w:val="en-US" w:eastAsia="zh-CN"/>
              </w:rPr>
              <w:t>结束</w:t>
            </w:r>
            <w:r>
              <w:rPr>
                <w:rFonts w:hint="eastAsia" w:ascii="宋体" w:hAnsi="宋体" w:eastAsia="宋体" w:cs="宋体"/>
                <w:b w:val="0"/>
                <w:color w:val="auto"/>
                <w:sz w:val="24"/>
                <w:highlight w:val="none"/>
                <w:u w:val="single"/>
              </w:rPr>
              <w:t>完成电梯维保工作后支付</w:t>
            </w:r>
            <w:r>
              <w:rPr>
                <w:rFonts w:hint="eastAsia" w:ascii="宋体" w:hAnsi="宋体" w:eastAsia="宋体" w:cs="宋体"/>
                <w:b w:val="0"/>
                <w:color w:val="auto"/>
                <w:sz w:val="24"/>
                <w:highlight w:val="none"/>
                <w:u w:val="single"/>
                <w:lang w:val="en-US" w:eastAsia="zh-CN"/>
              </w:rPr>
              <w:t>实际使用电梯的维保费用</w:t>
            </w:r>
            <w:r>
              <w:rPr>
                <w:rFonts w:hint="eastAsia" w:ascii="宋体" w:hAnsi="宋体" w:eastAsia="宋体" w:cs="宋体"/>
                <w:color w:val="auto"/>
                <w:sz w:val="24"/>
                <w:highlight w:val="none"/>
                <w:u w:val="single"/>
              </w:rPr>
              <w:t xml:space="preserve"> </w:t>
            </w:r>
          </w:p>
        </w:tc>
      </w:tr>
      <w:tr w14:paraId="53752D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024" w:hRule="atLeast"/>
          <w:jc w:val="center"/>
        </w:trPr>
        <w:tc>
          <w:tcPr>
            <w:tcW w:w="475" w:type="pct"/>
            <w:tcBorders>
              <w:left w:val="single" w:color="auto" w:sz="4" w:space="0"/>
            </w:tcBorders>
            <w:vAlign w:val="center"/>
          </w:tcPr>
          <w:p w14:paraId="4F8CDBD1">
            <w:pPr>
              <w:jc w:val="center"/>
              <w:rPr>
                <w:rFonts w:hint="eastAsia" w:eastAsia="@仿宋_GB2312"/>
                <w:lang w:val="en-US" w:eastAsia="zh-CN"/>
              </w:rPr>
            </w:pPr>
            <w:r>
              <w:rPr>
                <w:rFonts w:hint="eastAsia"/>
                <w:lang w:val="en-US" w:eastAsia="zh-CN"/>
              </w:rPr>
              <w:t>3</w:t>
            </w:r>
          </w:p>
        </w:tc>
        <w:tc>
          <w:tcPr>
            <w:tcW w:w="4524" w:type="pct"/>
            <w:vAlign w:val="center"/>
          </w:tcPr>
          <w:p w14:paraId="3DFDC5F0">
            <w:pPr>
              <w:jc w:val="left"/>
              <w:rPr>
                <w:rFonts w:hint="eastAsia" w:ascii="宋体" w:hAnsi="宋体" w:eastAsia="宋体" w:cs="宋体"/>
                <w:color w:val="auto"/>
              </w:rPr>
            </w:pPr>
            <w:r>
              <w:rPr>
                <w:rFonts w:hint="eastAsia" w:ascii="宋体" w:hAnsi="宋体" w:eastAsia="宋体" w:cs="宋体"/>
                <w:color w:val="auto"/>
                <w:sz w:val="24"/>
                <w:highlight w:val="none"/>
              </w:rPr>
              <w:t>服务内容：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szCs w:val="18"/>
                <w:highlight w:val="none"/>
                <w:u w:val="single"/>
              </w:rPr>
              <w:t>为保证电梯安全运行，按特种设备管理要求需专业维保公司进行定期保养维护。电梯总台数为</w:t>
            </w:r>
            <w:r>
              <w:rPr>
                <w:rFonts w:hint="eastAsia" w:ascii="宋体" w:hAnsi="宋体" w:eastAsia="宋体" w:cs="宋体"/>
                <w:color w:val="auto"/>
                <w:sz w:val="24"/>
                <w:szCs w:val="18"/>
                <w:highlight w:val="none"/>
                <w:u w:val="single"/>
                <w:lang w:val="en-US" w:eastAsia="zh-CN"/>
              </w:rPr>
              <w:t>22</w:t>
            </w:r>
            <w:r>
              <w:rPr>
                <w:rFonts w:hint="eastAsia" w:ascii="宋体" w:hAnsi="宋体" w:eastAsia="宋体" w:cs="宋体"/>
                <w:color w:val="auto"/>
                <w:sz w:val="24"/>
                <w:szCs w:val="18"/>
                <w:highlight w:val="none"/>
                <w:u w:val="single"/>
              </w:rPr>
              <w:t>台</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lang w:val="en-US" w:eastAsia="zh-CN"/>
              </w:rPr>
              <w:t>其中6台扶梯</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szCs w:val="18"/>
                <w:highlight w:val="none"/>
                <w:u w:val="single"/>
              </w:rPr>
              <w:t>。招标采购内容为电梯维护保养（全包方式），提供维保所需工具和劳务，免费更换或维修损坏的电梯零部件</w:t>
            </w:r>
            <w:r>
              <w:rPr>
                <w:rFonts w:hint="eastAsia" w:ascii="宋体" w:hAnsi="宋体" w:eastAsia="宋体" w:cs="宋体"/>
                <w:color w:val="auto"/>
                <w:sz w:val="24"/>
                <w:szCs w:val="18"/>
                <w:highlight w:val="none"/>
                <w:u w:val="single"/>
                <w:lang w:eastAsia="zh-CN"/>
              </w:rPr>
              <w:t>（不包含主机、曳引机、门机系统）</w:t>
            </w:r>
            <w:r>
              <w:rPr>
                <w:rFonts w:hint="eastAsia" w:ascii="宋体" w:hAnsi="宋体" w:eastAsia="宋体" w:cs="宋体"/>
                <w:color w:val="auto"/>
                <w:sz w:val="24"/>
                <w:szCs w:val="18"/>
                <w:highlight w:val="none"/>
                <w:u w:val="single"/>
              </w:rPr>
              <w:t>，并包含电梯年度检验检测申报等工作</w:t>
            </w:r>
            <w:r>
              <w:rPr>
                <w:rFonts w:hint="eastAsia" w:ascii="宋体" w:hAnsi="宋体" w:eastAsia="宋体" w:cs="宋体"/>
                <w:color w:val="auto"/>
                <w:sz w:val="24"/>
                <w:szCs w:val="18"/>
                <w:highlight w:val="none"/>
                <w:u w:val="single"/>
                <w:lang w:eastAsia="zh-CN"/>
              </w:rPr>
              <w:t>。</w:t>
            </w:r>
            <w:r>
              <w:rPr>
                <w:rFonts w:hint="eastAsia" w:ascii="宋体" w:hAnsi="宋体" w:eastAsia="宋体" w:cs="宋体"/>
                <w:color w:val="auto"/>
                <w:sz w:val="24"/>
                <w:highlight w:val="none"/>
                <w:u w:val="single"/>
              </w:rPr>
              <w:t xml:space="preserve"> </w:t>
            </w:r>
          </w:p>
        </w:tc>
      </w:tr>
      <w:tr w14:paraId="2D6801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46069ECB">
            <w:pPr>
              <w:jc w:val="center"/>
              <w:rPr>
                <w:rFonts w:hint="eastAsia" w:eastAsia="@仿宋_GB2312"/>
                <w:lang w:val="en-US" w:eastAsia="zh-CN"/>
              </w:rPr>
            </w:pPr>
            <w:r>
              <w:rPr>
                <w:rFonts w:hint="eastAsia"/>
                <w:lang w:val="en-US" w:eastAsia="zh-CN"/>
              </w:rPr>
              <w:t>4</w:t>
            </w:r>
          </w:p>
        </w:tc>
        <w:tc>
          <w:tcPr>
            <w:tcW w:w="4524" w:type="pct"/>
            <w:vAlign w:val="center"/>
          </w:tcPr>
          <w:p w14:paraId="707C5543">
            <w:pPr>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附：中标通知书、分项报价表</w:t>
            </w:r>
          </w:p>
        </w:tc>
      </w:tr>
      <w:tr w14:paraId="70A744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1DC480E8">
            <w:pPr>
              <w:jc w:val="center"/>
              <w:rPr>
                <w:rFonts w:hint="eastAsia" w:eastAsia="@仿宋_GB2312"/>
                <w:lang w:val="en-US" w:eastAsia="zh-CN"/>
              </w:rPr>
            </w:pPr>
          </w:p>
        </w:tc>
        <w:tc>
          <w:tcPr>
            <w:tcW w:w="4524" w:type="pct"/>
            <w:vAlign w:val="center"/>
          </w:tcPr>
          <w:p w14:paraId="13B8D0AD">
            <w:pPr>
              <w:jc w:val="left"/>
              <w:rPr>
                <w:rFonts w:hint="eastAsia" w:ascii="宋体" w:hAnsi="宋体" w:eastAsia="宋体" w:cs="宋体"/>
                <w:color w:val="auto"/>
              </w:rPr>
            </w:pPr>
          </w:p>
        </w:tc>
      </w:tr>
      <w:tr w14:paraId="5E08F4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524CF4D5">
            <w:pPr>
              <w:jc w:val="center"/>
            </w:pPr>
          </w:p>
        </w:tc>
        <w:tc>
          <w:tcPr>
            <w:tcW w:w="4524" w:type="pct"/>
            <w:vAlign w:val="center"/>
          </w:tcPr>
          <w:p w14:paraId="1D5ADD0D">
            <w:pPr>
              <w:jc w:val="left"/>
            </w:pPr>
          </w:p>
        </w:tc>
      </w:tr>
      <w:tr w14:paraId="6B33B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6E7BA04A">
            <w:pPr>
              <w:jc w:val="center"/>
            </w:pPr>
          </w:p>
        </w:tc>
        <w:tc>
          <w:tcPr>
            <w:tcW w:w="4524" w:type="pct"/>
            <w:vAlign w:val="center"/>
          </w:tcPr>
          <w:p w14:paraId="1CA7CAA1">
            <w:pPr>
              <w:jc w:val="left"/>
            </w:pPr>
          </w:p>
        </w:tc>
      </w:tr>
      <w:tr w14:paraId="3CF4CB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56588155">
            <w:pPr>
              <w:jc w:val="center"/>
            </w:pPr>
          </w:p>
        </w:tc>
        <w:tc>
          <w:tcPr>
            <w:tcW w:w="4524" w:type="pct"/>
            <w:vAlign w:val="center"/>
          </w:tcPr>
          <w:p w14:paraId="312E34FC">
            <w:pPr>
              <w:jc w:val="left"/>
            </w:pPr>
          </w:p>
        </w:tc>
      </w:tr>
      <w:tr w14:paraId="25F89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02723414">
            <w:pPr>
              <w:jc w:val="center"/>
            </w:pPr>
          </w:p>
        </w:tc>
        <w:tc>
          <w:tcPr>
            <w:tcW w:w="4524" w:type="pct"/>
            <w:vAlign w:val="center"/>
          </w:tcPr>
          <w:p w14:paraId="643889F2">
            <w:pPr>
              <w:jc w:val="left"/>
            </w:pPr>
          </w:p>
        </w:tc>
      </w:tr>
      <w:tr w14:paraId="4BF4D8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41" w:hRule="atLeast"/>
          <w:jc w:val="center"/>
        </w:trPr>
        <w:tc>
          <w:tcPr>
            <w:tcW w:w="475" w:type="pct"/>
            <w:tcBorders>
              <w:left w:val="single" w:color="auto" w:sz="4" w:space="0"/>
            </w:tcBorders>
            <w:vAlign w:val="center"/>
          </w:tcPr>
          <w:p w14:paraId="10F7C3C9">
            <w:pPr>
              <w:jc w:val="center"/>
            </w:pPr>
          </w:p>
        </w:tc>
        <w:tc>
          <w:tcPr>
            <w:tcW w:w="4524" w:type="pct"/>
            <w:vAlign w:val="center"/>
          </w:tcPr>
          <w:p w14:paraId="364D61FE">
            <w:pPr>
              <w:jc w:val="center"/>
            </w:pPr>
          </w:p>
        </w:tc>
      </w:tr>
    </w:tbl>
    <w:p w14:paraId="023DACA5">
      <w:pPr>
        <w:spacing w:line="360" w:lineRule="auto"/>
        <w:rPr>
          <w:rFonts w:asciiTheme="minorEastAsia" w:hAnsiTheme="minorEastAsia" w:eastAsiaTheme="minorEastAsia" w:cstheme="minorEastAsia"/>
          <w:color w:val="auto"/>
          <w:sz w:val="28"/>
          <w:szCs w:val="27"/>
          <w:highlight w:val="none"/>
        </w:rPr>
      </w:pPr>
      <w:r>
        <w:rPr>
          <w:rFonts w:hint="eastAsia" w:asciiTheme="minorEastAsia" w:hAnsiTheme="minorEastAsia" w:eastAsiaTheme="minorEastAsia" w:cstheme="minorEastAsia"/>
          <w:color w:val="auto"/>
          <w:sz w:val="28"/>
          <w:szCs w:val="27"/>
          <w:highlight w:val="none"/>
        </w:rPr>
        <w:br w:type="page"/>
      </w:r>
    </w:p>
    <w:p w14:paraId="7F52B5F6">
      <w:pPr>
        <w:spacing w:line="360" w:lineRule="auto"/>
        <w:jc w:val="center"/>
        <w:outlineLvl w:val="0"/>
        <w:rPr>
          <w:rFonts w:hint="eastAsia" w:asciiTheme="minorEastAsia" w:hAnsiTheme="minorEastAsia" w:eastAsiaTheme="minorEastAsia"/>
          <w:b/>
          <w:color w:val="auto"/>
          <w:sz w:val="28"/>
          <w:highlight w:val="none"/>
        </w:rPr>
      </w:pPr>
      <w:bookmarkStart w:id="211" w:name="_Toc25148"/>
      <w:bookmarkStart w:id="212" w:name="_Toc2430"/>
    </w:p>
    <w:p w14:paraId="67C6D185">
      <w:pPr>
        <w:spacing w:line="360" w:lineRule="auto"/>
        <w:jc w:val="center"/>
        <w:outlineLvl w:val="0"/>
        <w:rPr>
          <w:rFonts w:asciiTheme="minorEastAsia" w:hAnsiTheme="minorEastAsia" w:eastAsiaTheme="minorEastAsia"/>
          <w:b/>
          <w:color w:val="auto"/>
          <w:sz w:val="36"/>
          <w:szCs w:val="22"/>
          <w:highlight w:val="none"/>
        </w:rPr>
      </w:pPr>
      <w:r>
        <w:rPr>
          <w:rFonts w:hint="eastAsia" w:asciiTheme="minorEastAsia" w:hAnsiTheme="minorEastAsia" w:eastAsiaTheme="minorEastAsia"/>
          <w:b/>
          <w:color w:val="auto"/>
          <w:sz w:val="36"/>
          <w:szCs w:val="22"/>
          <w:highlight w:val="none"/>
        </w:rPr>
        <w:t>第六章  响应文件格式</w:t>
      </w:r>
      <w:bookmarkEnd w:id="211"/>
      <w:bookmarkEnd w:id="212"/>
    </w:p>
    <w:p w14:paraId="46054081">
      <w:pPr>
        <w:spacing w:line="900" w:lineRule="exact"/>
        <w:jc w:val="center"/>
        <w:rPr>
          <w:rFonts w:asciiTheme="minorEastAsia" w:hAnsiTheme="minorEastAsia" w:eastAsiaTheme="minorEastAsia"/>
          <w:b/>
          <w:color w:val="auto"/>
          <w:sz w:val="72"/>
          <w:highlight w:val="none"/>
        </w:rPr>
      </w:pPr>
    </w:p>
    <w:p w14:paraId="6F573118">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2D0955E4">
      <w:pPr>
        <w:spacing w:line="900" w:lineRule="exact"/>
        <w:jc w:val="center"/>
        <w:rPr>
          <w:rFonts w:asciiTheme="minorEastAsia" w:hAnsiTheme="minorEastAsia" w:eastAsiaTheme="minorEastAsia"/>
          <w:b/>
          <w:color w:val="auto"/>
          <w:sz w:val="72"/>
          <w:highlight w:val="none"/>
        </w:rPr>
      </w:pPr>
    </w:p>
    <w:p w14:paraId="6B63719C">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26E17C5F">
      <w:pPr>
        <w:spacing w:line="900" w:lineRule="exact"/>
        <w:jc w:val="center"/>
        <w:rPr>
          <w:rFonts w:asciiTheme="minorEastAsia" w:hAnsiTheme="minorEastAsia" w:eastAsiaTheme="minorEastAsia"/>
          <w:b/>
          <w:color w:val="auto"/>
          <w:sz w:val="72"/>
          <w:highlight w:val="none"/>
        </w:rPr>
      </w:pPr>
    </w:p>
    <w:p w14:paraId="43912E08">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4CA20475">
      <w:pPr>
        <w:spacing w:line="900" w:lineRule="exact"/>
        <w:jc w:val="center"/>
        <w:rPr>
          <w:rFonts w:asciiTheme="minorEastAsia" w:hAnsiTheme="minorEastAsia" w:eastAsiaTheme="minorEastAsia"/>
          <w:b/>
          <w:color w:val="auto"/>
          <w:sz w:val="72"/>
          <w:highlight w:val="none"/>
        </w:rPr>
      </w:pPr>
    </w:p>
    <w:p w14:paraId="6268AEA5">
      <w:pPr>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4E44304B">
      <w:pPr>
        <w:spacing w:after="156" w:afterLines="50"/>
        <w:jc w:val="center"/>
        <w:rPr>
          <w:rFonts w:asciiTheme="minorEastAsia" w:hAnsiTheme="minorEastAsia" w:eastAsiaTheme="minorEastAsia"/>
          <w:b/>
          <w:color w:val="auto"/>
          <w:sz w:val="72"/>
          <w:highlight w:val="none"/>
        </w:rPr>
      </w:pPr>
    </w:p>
    <w:p w14:paraId="487640EE">
      <w:pPr>
        <w:spacing w:after="156" w:afterLines="50" w:line="500" w:lineRule="exact"/>
        <w:jc w:val="both"/>
        <w:rPr>
          <w:rFonts w:asciiTheme="minorEastAsia" w:hAnsiTheme="minorEastAsia" w:eastAsiaTheme="minorEastAsia"/>
          <w:b/>
          <w:color w:val="auto"/>
          <w:sz w:val="72"/>
          <w:highlight w:val="none"/>
        </w:rPr>
      </w:pPr>
    </w:p>
    <w:p w14:paraId="087BB38F">
      <w:pPr>
        <w:spacing w:after="156" w:afterLines="50" w:line="500" w:lineRule="exact"/>
        <w:jc w:val="center"/>
        <w:rPr>
          <w:rFonts w:asciiTheme="minorEastAsia" w:hAnsiTheme="minorEastAsia" w:eastAsiaTheme="minorEastAsia"/>
          <w:b/>
          <w:color w:val="auto"/>
          <w:sz w:val="28"/>
          <w:szCs w:val="28"/>
          <w:highlight w:val="none"/>
        </w:rPr>
      </w:pPr>
    </w:p>
    <w:p w14:paraId="72A1B507">
      <w:pPr>
        <w:tabs>
          <w:tab w:val="left" w:pos="2410"/>
        </w:tabs>
        <w:autoSpaceDE w:val="0"/>
        <w:autoSpaceDN w:val="0"/>
        <w:adjustRightInd w:val="0"/>
        <w:snapToGrid w:val="0"/>
        <w:spacing w:line="360" w:lineRule="auto"/>
        <w:ind w:firstLine="643" w:firstLineChars="2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51AC5DAF">
      <w:pPr>
        <w:tabs>
          <w:tab w:val="left" w:pos="2410"/>
        </w:tabs>
        <w:autoSpaceDE w:val="0"/>
        <w:autoSpaceDN w:val="0"/>
        <w:adjustRightInd w:val="0"/>
        <w:snapToGrid w:val="0"/>
        <w:spacing w:line="360" w:lineRule="auto"/>
        <w:ind w:firstLine="643" w:firstLineChars="2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26DE4C45">
      <w:pPr>
        <w:tabs>
          <w:tab w:val="left" w:pos="2410"/>
        </w:tabs>
        <w:autoSpaceDE w:val="0"/>
        <w:autoSpaceDN w:val="0"/>
        <w:adjustRightInd w:val="0"/>
        <w:snapToGrid w:val="0"/>
        <w:spacing w:line="360" w:lineRule="auto"/>
        <w:ind w:firstLine="643" w:firstLineChars="2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25F78089">
      <w:pPr>
        <w:spacing w:after="156" w:afterLines="50" w:line="500" w:lineRule="exact"/>
        <w:jc w:val="center"/>
        <w:outlineLvl w:val="9"/>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213" w:name="_Toc8037"/>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rPr>
        <w:t>日</w:t>
      </w:r>
      <w:bookmarkEnd w:id="213"/>
    </w:p>
    <w:p w14:paraId="7C95D6B0">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265090EB">
      <w:pPr>
        <w:numPr>
          <w:ilvl w:val="0"/>
          <w:numId w:val="0"/>
        </w:numPr>
        <w:spacing w:line="360" w:lineRule="auto"/>
        <w:jc w:val="center"/>
        <w:outlineLvl w:val="1"/>
        <w:rPr>
          <w:rFonts w:hint="eastAsia" w:asciiTheme="minorEastAsia" w:hAnsiTheme="minorEastAsia" w:eastAsiaTheme="minorEastAsia"/>
          <w:b/>
          <w:color w:val="auto"/>
          <w:sz w:val="32"/>
          <w:szCs w:val="22"/>
          <w:highlight w:val="none"/>
          <w:lang w:val="en-US" w:eastAsia="zh-CN"/>
        </w:rPr>
      </w:pPr>
      <w:bookmarkStart w:id="214" w:name="_Toc461056631"/>
      <w:bookmarkStart w:id="215" w:name="_Toc461053086"/>
      <w:bookmarkStart w:id="216" w:name="_Toc26791"/>
      <w:bookmarkStart w:id="217" w:name="_Toc520983587"/>
      <w:bookmarkStart w:id="218" w:name="_Toc5881"/>
    </w:p>
    <w:p w14:paraId="451F052C">
      <w:pPr>
        <w:numPr>
          <w:ilvl w:val="0"/>
          <w:numId w:val="0"/>
        </w:numPr>
        <w:spacing w:line="360" w:lineRule="auto"/>
        <w:jc w:val="both"/>
        <w:outlineLvl w:val="1"/>
        <w:rPr>
          <w:rFonts w:hint="eastAsia" w:asciiTheme="minorEastAsia" w:hAnsiTheme="minorEastAsia" w:eastAsiaTheme="minorEastAsia"/>
          <w:b/>
          <w:color w:val="auto"/>
          <w:sz w:val="32"/>
          <w:szCs w:val="22"/>
          <w:highlight w:val="none"/>
          <w:lang w:val="en-US" w:eastAsia="zh-CN"/>
        </w:rPr>
      </w:pPr>
    </w:p>
    <w:p w14:paraId="12D95E1C">
      <w:pPr>
        <w:numPr>
          <w:ilvl w:val="0"/>
          <w:numId w:val="1"/>
        </w:numPr>
        <w:spacing w:line="360" w:lineRule="auto"/>
        <w:jc w:val="both"/>
        <w:outlineLvl w:val="1"/>
        <w:rPr>
          <w:rFonts w:hint="eastAsia" w:asciiTheme="minorEastAsia" w:hAnsiTheme="minorEastAsia" w:eastAsiaTheme="minorEastAsia"/>
          <w:b/>
          <w:color w:val="auto"/>
          <w:sz w:val="28"/>
          <w:szCs w:val="21"/>
          <w:highlight w:val="none"/>
          <w:lang w:val="en-US" w:eastAsia="zh-CN"/>
        </w:rPr>
      </w:pPr>
      <w:r>
        <w:rPr>
          <w:rFonts w:hint="eastAsia" w:asciiTheme="minorEastAsia" w:hAnsiTheme="minorEastAsia" w:eastAsiaTheme="minorEastAsia"/>
          <w:b/>
          <w:color w:val="auto"/>
          <w:sz w:val="28"/>
          <w:szCs w:val="21"/>
          <w:highlight w:val="none"/>
          <w:lang w:val="en-US" w:eastAsia="zh-CN"/>
        </w:rPr>
        <w:t>营业执照等证明文件</w:t>
      </w:r>
    </w:p>
    <w:p w14:paraId="4B317D64">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3AB690CD">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00281686">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161E7E09">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4393D1D2">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43436929">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7808F94E">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2F350081">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4C20DE41">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252F1B21">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649FC0DB">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3DEDAB75">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30240CAD">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3429306D">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488A4B27">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4225C3F6">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5E9FF7B0">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02C8D506">
      <w:pPr>
        <w:numPr>
          <w:ilvl w:val="0"/>
          <w:numId w:val="0"/>
        </w:numPr>
        <w:spacing w:line="360" w:lineRule="auto"/>
        <w:jc w:val="both"/>
        <w:outlineLvl w:val="1"/>
        <w:rPr>
          <w:rFonts w:hint="default" w:asciiTheme="minorEastAsia" w:hAnsiTheme="minorEastAsia" w:eastAsiaTheme="minorEastAsia"/>
          <w:b/>
          <w:color w:val="auto"/>
          <w:sz w:val="32"/>
          <w:szCs w:val="22"/>
          <w:highlight w:val="none"/>
          <w:lang w:val="en-US" w:eastAsia="zh-CN"/>
        </w:rPr>
      </w:pPr>
    </w:p>
    <w:p w14:paraId="542C8BC3">
      <w:pPr>
        <w:numPr>
          <w:ilvl w:val="0"/>
          <w:numId w:val="0"/>
        </w:numPr>
        <w:spacing w:line="360" w:lineRule="auto"/>
        <w:jc w:val="both"/>
        <w:outlineLvl w:val="1"/>
        <w:rPr>
          <w:rFonts w:hint="eastAsia" w:asciiTheme="minorEastAsia" w:hAnsiTheme="minorEastAsia" w:eastAsiaTheme="minorEastAsia"/>
          <w:b/>
          <w:color w:val="auto"/>
          <w:sz w:val="28"/>
          <w:szCs w:val="21"/>
          <w:highlight w:val="none"/>
          <w:lang w:val="en-US" w:eastAsia="zh-CN"/>
        </w:rPr>
      </w:pPr>
    </w:p>
    <w:p w14:paraId="7D60CD9B">
      <w:pPr>
        <w:pStyle w:val="2"/>
        <w:rPr>
          <w:rFonts w:hint="eastAsia"/>
          <w:lang w:val="en-US" w:eastAsia="zh-CN"/>
        </w:rPr>
      </w:pPr>
    </w:p>
    <w:p w14:paraId="0B3CDA46">
      <w:pPr>
        <w:numPr>
          <w:ilvl w:val="0"/>
          <w:numId w:val="0"/>
        </w:numPr>
        <w:spacing w:line="360" w:lineRule="auto"/>
        <w:jc w:val="center"/>
        <w:outlineLvl w:val="1"/>
        <w:rPr>
          <w:rFonts w:hint="default" w:asciiTheme="minorEastAsia" w:hAnsiTheme="minorEastAsia" w:eastAsiaTheme="minorEastAsia"/>
          <w:b/>
          <w:color w:val="auto"/>
          <w:sz w:val="28"/>
          <w:szCs w:val="21"/>
          <w:highlight w:val="none"/>
          <w:lang w:val="en-US" w:eastAsia="zh-CN"/>
        </w:rPr>
      </w:pPr>
      <w:r>
        <w:rPr>
          <w:rFonts w:hint="eastAsia" w:asciiTheme="minorEastAsia" w:hAnsiTheme="minorEastAsia" w:eastAsiaTheme="minorEastAsia"/>
          <w:b/>
          <w:color w:val="auto"/>
          <w:sz w:val="28"/>
          <w:szCs w:val="21"/>
          <w:highlight w:val="none"/>
          <w:lang w:val="en-US" w:eastAsia="zh-CN"/>
        </w:rPr>
        <w:t>2、供应商资格声明书</w:t>
      </w:r>
    </w:p>
    <w:p w14:paraId="17B6692B">
      <w:pPr>
        <w:pStyle w:val="13"/>
        <w:spacing w:line="360" w:lineRule="auto"/>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none"/>
          <w:lang w:val="en-US" w:eastAsia="zh-CN"/>
        </w:rPr>
        <w:t>采购人</w:t>
      </w:r>
    </w:p>
    <w:p w14:paraId="61A4A20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在参与本次项目磋商中，我单位承诺：</w:t>
      </w:r>
    </w:p>
    <w:p w14:paraId="53BE1F5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7EDF02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539DD59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1BCDDC2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F0E84F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（五）我单位不存在为采购项目提供整体设计、规范编制或者项目管理、监理、检测等服务后，再参加该采购项目的其他采购活动的情形（单一来源采购项目除外）；</w:t>
      </w:r>
    </w:p>
    <w:p w14:paraId="532FC8C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（六）与我单位存在单位负责人为同一人或者存在直接控股、管理关系的其他法人单位信息如下（如有，不论其是否参加同一合同项下的政府采购活动均须填写）：</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4191"/>
        <w:gridCol w:w="2510"/>
      </w:tblGrid>
      <w:tr w14:paraId="463A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34" w:type="dxa"/>
          </w:tcPr>
          <w:p w14:paraId="714AB39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4501" w:type="dxa"/>
          </w:tcPr>
          <w:p w14:paraId="2FE5B945">
            <w:pPr>
              <w:pStyle w:val="8"/>
              <w:jc w:val="center"/>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2681" w:type="dxa"/>
          </w:tcPr>
          <w:p w14:paraId="32D41023">
            <w:pPr>
              <w:pStyle w:val="8"/>
              <w:jc w:val="center"/>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14:paraId="35771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4" w:type="dxa"/>
          </w:tcPr>
          <w:p w14:paraId="083ADE1A">
            <w:pPr>
              <w:pStyle w:val="8"/>
              <w:jc w:val="center"/>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4501" w:type="dxa"/>
          </w:tcPr>
          <w:p w14:paraId="3F4C5AAF">
            <w:pPr>
              <w:pStyle w:val="8"/>
              <w:jc w:val="center"/>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681" w:type="dxa"/>
          </w:tcPr>
          <w:p w14:paraId="27CCBAE2">
            <w:pPr>
              <w:pStyle w:val="8"/>
              <w:jc w:val="center"/>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14:paraId="3918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4" w:type="dxa"/>
          </w:tcPr>
          <w:p w14:paraId="496B4CBA">
            <w:pPr>
              <w:pStyle w:val="8"/>
              <w:jc w:val="center"/>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4501" w:type="dxa"/>
          </w:tcPr>
          <w:p w14:paraId="4A3EE91A">
            <w:pPr>
              <w:pStyle w:val="8"/>
              <w:jc w:val="center"/>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681" w:type="dxa"/>
          </w:tcPr>
          <w:p w14:paraId="244F6186">
            <w:pPr>
              <w:pStyle w:val="8"/>
              <w:jc w:val="center"/>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14:paraId="1BA5F5B1">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7A57EA68">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4FA6A4F9">
      <w:pPr>
        <w:tabs>
          <w:tab w:val="left" w:pos="630"/>
        </w:tabs>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5BAA70E5">
      <w:pPr>
        <w:spacing w:line="360" w:lineRule="auto"/>
        <w:jc w:val="center"/>
        <w:outlineLvl w:val="1"/>
        <w:rPr>
          <w:rFonts w:hint="eastAsia" w:asciiTheme="minorEastAsia" w:hAnsiTheme="minorEastAsia" w:eastAsiaTheme="minorEastAsia"/>
          <w:b/>
          <w:color w:val="auto"/>
          <w:sz w:val="24"/>
          <w:highlight w:val="none"/>
        </w:rPr>
      </w:pPr>
    </w:p>
    <w:p w14:paraId="66DCE6C2">
      <w:pPr>
        <w:spacing w:line="360" w:lineRule="auto"/>
        <w:jc w:val="center"/>
        <w:outlineLvl w:val="1"/>
        <w:rPr>
          <w:rFonts w:hint="eastAsia" w:asciiTheme="minorEastAsia" w:hAnsiTheme="minorEastAsia" w:eastAsiaTheme="minorEastAsia"/>
          <w:b/>
          <w:color w:val="auto"/>
          <w:sz w:val="24"/>
          <w:highlight w:val="none"/>
        </w:rPr>
      </w:pPr>
    </w:p>
    <w:p w14:paraId="02696347">
      <w:pPr>
        <w:spacing w:line="360" w:lineRule="auto"/>
        <w:jc w:val="center"/>
        <w:outlineLvl w:val="1"/>
        <w:rPr>
          <w:rFonts w:hint="eastAsia" w:asciiTheme="minorEastAsia" w:hAnsiTheme="minorEastAsia" w:eastAsiaTheme="minorEastAsia"/>
          <w:b/>
          <w:color w:val="auto"/>
          <w:sz w:val="24"/>
          <w:highlight w:val="none"/>
        </w:rPr>
      </w:pPr>
    </w:p>
    <w:p w14:paraId="515902F6">
      <w:pPr>
        <w:spacing w:line="360" w:lineRule="auto"/>
        <w:jc w:val="center"/>
        <w:outlineLvl w:val="1"/>
        <w:rPr>
          <w:rFonts w:hint="eastAsia" w:asciiTheme="minorEastAsia" w:hAnsiTheme="minorEastAsia" w:eastAsiaTheme="minorEastAsia"/>
          <w:b/>
          <w:color w:val="auto"/>
          <w:sz w:val="24"/>
          <w:highlight w:val="none"/>
        </w:rPr>
      </w:pPr>
    </w:p>
    <w:p w14:paraId="5C9DF00E">
      <w:pPr>
        <w:spacing w:line="360" w:lineRule="auto"/>
        <w:jc w:val="center"/>
        <w:outlineLvl w:val="1"/>
        <w:rPr>
          <w:rFonts w:hint="eastAsia" w:asciiTheme="minorEastAsia" w:hAnsiTheme="minorEastAsia" w:eastAsiaTheme="minorEastAsia"/>
          <w:b/>
          <w:color w:val="auto"/>
          <w:sz w:val="24"/>
          <w:highlight w:val="none"/>
        </w:rPr>
      </w:pPr>
    </w:p>
    <w:p w14:paraId="16011466">
      <w:pPr>
        <w:spacing w:line="360" w:lineRule="auto"/>
        <w:jc w:val="center"/>
        <w:outlineLvl w:val="1"/>
        <w:rPr>
          <w:rFonts w:hint="eastAsia" w:asciiTheme="minorEastAsia" w:hAnsiTheme="minorEastAsia" w:eastAsiaTheme="minorEastAsia"/>
          <w:b/>
          <w:color w:val="auto"/>
          <w:sz w:val="24"/>
          <w:highlight w:val="none"/>
        </w:rPr>
      </w:pPr>
    </w:p>
    <w:p w14:paraId="6259C041">
      <w:pPr>
        <w:spacing w:line="360" w:lineRule="auto"/>
        <w:jc w:val="center"/>
        <w:outlineLvl w:val="1"/>
        <w:rPr>
          <w:rFonts w:hint="eastAsia" w:asciiTheme="minorEastAsia" w:hAnsiTheme="minorEastAsia" w:eastAsiaTheme="minorEastAsia"/>
          <w:b/>
          <w:color w:val="auto"/>
          <w:sz w:val="24"/>
          <w:highlight w:val="none"/>
        </w:rPr>
      </w:pPr>
    </w:p>
    <w:p w14:paraId="74799E69">
      <w:pPr>
        <w:spacing w:line="360" w:lineRule="auto"/>
        <w:jc w:val="both"/>
        <w:outlineLvl w:val="1"/>
        <w:rPr>
          <w:rFonts w:hint="eastAsia" w:asciiTheme="minorEastAsia" w:hAnsiTheme="minorEastAsia" w:eastAsiaTheme="minorEastAsia"/>
          <w:b/>
          <w:color w:val="auto"/>
          <w:sz w:val="24"/>
          <w:highlight w:val="none"/>
        </w:rPr>
      </w:pPr>
    </w:p>
    <w:p w14:paraId="5F5BD2D6">
      <w:pPr>
        <w:spacing w:line="360" w:lineRule="auto"/>
        <w:jc w:val="center"/>
        <w:outlineLvl w:val="1"/>
        <w:rPr>
          <w:rFonts w:hint="eastAsia" w:asciiTheme="minorEastAsia" w:hAnsiTheme="minorEastAsia" w:eastAsiaTheme="minorEastAsia"/>
          <w:b/>
          <w:color w:val="auto"/>
          <w:sz w:val="24"/>
          <w:highlight w:val="none"/>
        </w:rPr>
      </w:pPr>
    </w:p>
    <w:p w14:paraId="3FF4C3C9">
      <w:pPr>
        <w:spacing w:line="360" w:lineRule="auto"/>
        <w:jc w:val="both"/>
        <w:outlineLvl w:val="1"/>
        <w:rPr>
          <w:rFonts w:hint="eastAsia" w:asciiTheme="minorEastAsia" w:hAnsiTheme="minorEastAsia" w:eastAsiaTheme="minorEastAsia"/>
          <w:b/>
          <w:color w:val="auto"/>
          <w:sz w:val="24"/>
          <w:highlight w:val="none"/>
        </w:rPr>
      </w:pPr>
    </w:p>
    <w:p w14:paraId="3CCEB577">
      <w:pPr>
        <w:numPr>
          <w:ilvl w:val="0"/>
          <w:numId w:val="0"/>
        </w:numPr>
        <w:spacing w:line="360" w:lineRule="auto"/>
        <w:jc w:val="center"/>
        <w:outlineLvl w:val="1"/>
        <w:rPr>
          <w:rFonts w:hint="eastAsia" w:asciiTheme="minorEastAsia" w:hAnsiTheme="minorEastAsia" w:eastAsiaTheme="minorEastAsia"/>
          <w:b/>
          <w:color w:val="auto"/>
          <w:sz w:val="28"/>
          <w:szCs w:val="21"/>
          <w:highlight w:val="none"/>
          <w:lang w:val="en-US" w:eastAsia="zh-CN"/>
        </w:rPr>
      </w:pPr>
      <w:r>
        <w:rPr>
          <w:rFonts w:hint="eastAsia" w:asciiTheme="minorEastAsia" w:hAnsiTheme="minorEastAsia" w:eastAsiaTheme="minorEastAsia"/>
          <w:b/>
          <w:color w:val="auto"/>
          <w:sz w:val="28"/>
          <w:szCs w:val="21"/>
          <w:highlight w:val="none"/>
          <w:lang w:val="en-US" w:eastAsia="zh-CN"/>
        </w:rPr>
        <w:t>3、本项目的特定资格要求</w:t>
      </w:r>
    </w:p>
    <w:p w14:paraId="1667BE51">
      <w:pPr>
        <w:spacing w:line="360" w:lineRule="auto"/>
        <w:jc w:val="both"/>
        <w:outlineLvl w:val="1"/>
        <w:rPr>
          <w:rFonts w:hint="eastAsia" w:asciiTheme="minorEastAsia" w:hAnsiTheme="minorEastAsia" w:eastAsiaTheme="minorEastAsia"/>
          <w:b/>
          <w:color w:val="auto"/>
          <w:sz w:val="24"/>
          <w:highlight w:val="none"/>
        </w:rPr>
      </w:pPr>
    </w:p>
    <w:p w14:paraId="78AD43EF">
      <w:pPr>
        <w:spacing w:line="360" w:lineRule="auto"/>
        <w:jc w:val="center"/>
        <w:outlineLvl w:val="1"/>
        <w:rPr>
          <w:rFonts w:hint="eastAsia" w:asciiTheme="minorEastAsia" w:hAnsiTheme="minorEastAsia" w:eastAsiaTheme="minorEastAsia"/>
          <w:b/>
          <w:color w:val="auto"/>
          <w:sz w:val="24"/>
          <w:highlight w:val="none"/>
        </w:rPr>
      </w:pPr>
    </w:p>
    <w:p w14:paraId="11A8F9E8">
      <w:pPr>
        <w:spacing w:line="360" w:lineRule="auto"/>
        <w:jc w:val="center"/>
        <w:outlineLvl w:val="1"/>
        <w:rPr>
          <w:rFonts w:hint="eastAsia" w:asciiTheme="minorEastAsia" w:hAnsiTheme="minorEastAsia" w:eastAsiaTheme="minorEastAsia"/>
          <w:b/>
          <w:color w:val="auto"/>
          <w:sz w:val="24"/>
          <w:highlight w:val="none"/>
        </w:rPr>
      </w:pPr>
    </w:p>
    <w:p w14:paraId="093C398F">
      <w:pPr>
        <w:spacing w:line="360" w:lineRule="auto"/>
        <w:jc w:val="center"/>
        <w:outlineLvl w:val="1"/>
        <w:rPr>
          <w:rFonts w:hint="eastAsia" w:asciiTheme="minorEastAsia" w:hAnsiTheme="minorEastAsia" w:eastAsiaTheme="minorEastAsia"/>
          <w:b/>
          <w:color w:val="auto"/>
          <w:sz w:val="24"/>
          <w:highlight w:val="none"/>
        </w:rPr>
      </w:pPr>
    </w:p>
    <w:p w14:paraId="4B0A25AF">
      <w:pPr>
        <w:spacing w:line="360" w:lineRule="auto"/>
        <w:jc w:val="center"/>
        <w:outlineLvl w:val="1"/>
        <w:rPr>
          <w:rFonts w:hint="eastAsia" w:asciiTheme="minorEastAsia" w:hAnsiTheme="minorEastAsia" w:eastAsiaTheme="minorEastAsia"/>
          <w:b/>
          <w:color w:val="auto"/>
          <w:sz w:val="24"/>
          <w:highlight w:val="none"/>
        </w:rPr>
      </w:pPr>
    </w:p>
    <w:p w14:paraId="4E499796">
      <w:pPr>
        <w:spacing w:line="360" w:lineRule="auto"/>
        <w:jc w:val="center"/>
        <w:outlineLvl w:val="1"/>
        <w:rPr>
          <w:rFonts w:hint="eastAsia" w:asciiTheme="minorEastAsia" w:hAnsiTheme="minorEastAsia" w:eastAsiaTheme="minorEastAsia"/>
          <w:b/>
          <w:color w:val="auto"/>
          <w:sz w:val="24"/>
          <w:highlight w:val="none"/>
        </w:rPr>
      </w:pPr>
    </w:p>
    <w:p w14:paraId="05FEFE66">
      <w:pPr>
        <w:spacing w:line="360" w:lineRule="auto"/>
        <w:jc w:val="center"/>
        <w:outlineLvl w:val="1"/>
        <w:rPr>
          <w:rFonts w:hint="eastAsia" w:asciiTheme="minorEastAsia" w:hAnsiTheme="minorEastAsia" w:eastAsiaTheme="minorEastAsia"/>
          <w:b/>
          <w:color w:val="auto"/>
          <w:sz w:val="24"/>
          <w:highlight w:val="none"/>
        </w:rPr>
      </w:pPr>
    </w:p>
    <w:p w14:paraId="56CD1900">
      <w:pPr>
        <w:spacing w:line="360" w:lineRule="auto"/>
        <w:jc w:val="center"/>
        <w:outlineLvl w:val="1"/>
        <w:rPr>
          <w:rFonts w:hint="eastAsia" w:asciiTheme="minorEastAsia" w:hAnsiTheme="minorEastAsia" w:eastAsiaTheme="minorEastAsia"/>
          <w:b/>
          <w:color w:val="auto"/>
          <w:sz w:val="24"/>
          <w:highlight w:val="none"/>
        </w:rPr>
      </w:pPr>
    </w:p>
    <w:p w14:paraId="5E789D5B">
      <w:pPr>
        <w:spacing w:line="360" w:lineRule="auto"/>
        <w:jc w:val="center"/>
        <w:outlineLvl w:val="1"/>
        <w:rPr>
          <w:rFonts w:hint="eastAsia" w:asciiTheme="minorEastAsia" w:hAnsiTheme="minorEastAsia" w:eastAsiaTheme="minorEastAsia"/>
          <w:b/>
          <w:color w:val="auto"/>
          <w:sz w:val="24"/>
          <w:highlight w:val="none"/>
        </w:rPr>
      </w:pPr>
    </w:p>
    <w:p w14:paraId="53DEF765">
      <w:pPr>
        <w:spacing w:line="360" w:lineRule="auto"/>
        <w:jc w:val="center"/>
        <w:outlineLvl w:val="1"/>
        <w:rPr>
          <w:rFonts w:hint="eastAsia" w:asciiTheme="minorEastAsia" w:hAnsiTheme="minorEastAsia" w:eastAsiaTheme="minorEastAsia"/>
          <w:b/>
          <w:color w:val="auto"/>
          <w:sz w:val="24"/>
          <w:highlight w:val="none"/>
        </w:rPr>
      </w:pPr>
    </w:p>
    <w:p w14:paraId="203FBA6A">
      <w:pPr>
        <w:spacing w:line="360" w:lineRule="auto"/>
        <w:jc w:val="center"/>
        <w:outlineLvl w:val="1"/>
        <w:rPr>
          <w:rFonts w:hint="eastAsia" w:asciiTheme="minorEastAsia" w:hAnsiTheme="minorEastAsia" w:eastAsiaTheme="minorEastAsia"/>
          <w:b/>
          <w:color w:val="auto"/>
          <w:sz w:val="24"/>
          <w:highlight w:val="none"/>
        </w:rPr>
      </w:pPr>
    </w:p>
    <w:p w14:paraId="1DC46D75">
      <w:pPr>
        <w:spacing w:line="360" w:lineRule="auto"/>
        <w:jc w:val="center"/>
        <w:outlineLvl w:val="1"/>
        <w:rPr>
          <w:rFonts w:hint="eastAsia" w:asciiTheme="minorEastAsia" w:hAnsiTheme="minorEastAsia" w:eastAsiaTheme="minorEastAsia"/>
          <w:b/>
          <w:color w:val="auto"/>
          <w:sz w:val="24"/>
          <w:highlight w:val="none"/>
        </w:rPr>
      </w:pPr>
    </w:p>
    <w:p w14:paraId="60959B2E">
      <w:pPr>
        <w:spacing w:line="360" w:lineRule="auto"/>
        <w:jc w:val="center"/>
        <w:outlineLvl w:val="1"/>
        <w:rPr>
          <w:rFonts w:hint="eastAsia" w:asciiTheme="minorEastAsia" w:hAnsiTheme="minorEastAsia" w:eastAsiaTheme="minorEastAsia"/>
          <w:b/>
          <w:color w:val="auto"/>
          <w:sz w:val="24"/>
          <w:highlight w:val="none"/>
        </w:rPr>
      </w:pPr>
    </w:p>
    <w:p w14:paraId="72093FB5">
      <w:pPr>
        <w:spacing w:line="360" w:lineRule="auto"/>
        <w:jc w:val="center"/>
        <w:outlineLvl w:val="1"/>
        <w:rPr>
          <w:rFonts w:hint="eastAsia" w:asciiTheme="minorEastAsia" w:hAnsiTheme="minorEastAsia" w:eastAsiaTheme="minorEastAsia"/>
          <w:b/>
          <w:color w:val="auto"/>
          <w:sz w:val="24"/>
          <w:highlight w:val="none"/>
        </w:rPr>
      </w:pPr>
    </w:p>
    <w:p w14:paraId="64DBF474">
      <w:pPr>
        <w:spacing w:line="360" w:lineRule="auto"/>
        <w:jc w:val="center"/>
        <w:outlineLvl w:val="1"/>
        <w:rPr>
          <w:rFonts w:hint="eastAsia" w:asciiTheme="minorEastAsia" w:hAnsiTheme="minorEastAsia" w:eastAsiaTheme="minorEastAsia"/>
          <w:b/>
          <w:color w:val="auto"/>
          <w:sz w:val="24"/>
          <w:highlight w:val="none"/>
        </w:rPr>
      </w:pPr>
    </w:p>
    <w:p w14:paraId="0556F806">
      <w:pPr>
        <w:spacing w:line="360" w:lineRule="auto"/>
        <w:jc w:val="center"/>
        <w:outlineLvl w:val="1"/>
        <w:rPr>
          <w:rFonts w:hint="eastAsia" w:asciiTheme="minorEastAsia" w:hAnsiTheme="minorEastAsia" w:eastAsiaTheme="minorEastAsia"/>
          <w:b/>
          <w:color w:val="auto"/>
          <w:sz w:val="24"/>
          <w:highlight w:val="none"/>
        </w:rPr>
      </w:pPr>
    </w:p>
    <w:p w14:paraId="4BAE77F7">
      <w:pPr>
        <w:spacing w:line="360" w:lineRule="auto"/>
        <w:jc w:val="center"/>
        <w:outlineLvl w:val="1"/>
        <w:rPr>
          <w:rFonts w:hint="eastAsia" w:asciiTheme="minorEastAsia" w:hAnsiTheme="minorEastAsia" w:eastAsiaTheme="minorEastAsia"/>
          <w:b/>
          <w:color w:val="auto"/>
          <w:sz w:val="24"/>
          <w:highlight w:val="none"/>
        </w:rPr>
      </w:pPr>
    </w:p>
    <w:p w14:paraId="1EF4CA9D">
      <w:pPr>
        <w:spacing w:line="360" w:lineRule="auto"/>
        <w:jc w:val="center"/>
        <w:outlineLvl w:val="1"/>
        <w:rPr>
          <w:rFonts w:hint="eastAsia" w:asciiTheme="minorEastAsia" w:hAnsiTheme="minorEastAsia" w:eastAsiaTheme="minorEastAsia"/>
          <w:b/>
          <w:color w:val="auto"/>
          <w:sz w:val="24"/>
          <w:highlight w:val="none"/>
        </w:rPr>
      </w:pPr>
    </w:p>
    <w:p w14:paraId="4FD1E2B7">
      <w:pPr>
        <w:spacing w:line="360" w:lineRule="auto"/>
        <w:jc w:val="center"/>
        <w:outlineLvl w:val="1"/>
        <w:rPr>
          <w:rFonts w:hint="eastAsia" w:asciiTheme="minorEastAsia" w:hAnsiTheme="minorEastAsia" w:eastAsiaTheme="minorEastAsia"/>
          <w:b/>
          <w:color w:val="auto"/>
          <w:sz w:val="24"/>
          <w:highlight w:val="none"/>
        </w:rPr>
      </w:pPr>
    </w:p>
    <w:p w14:paraId="1F5A8FCF">
      <w:pPr>
        <w:spacing w:line="360" w:lineRule="auto"/>
        <w:jc w:val="center"/>
        <w:outlineLvl w:val="1"/>
        <w:rPr>
          <w:rFonts w:hint="eastAsia" w:asciiTheme="minorEastAsia" w:hAnsiTheme="minorEastAsia" w:eastAsiaTheme="minorEastAsia"/>
          <w:b/>
          <w:color w:val="auto"/>
          <w:sz w:val="24"/>
          <w:highlight w:val="none"/>
        </w:rPr>
      </w:pPr>
    </w:p>
    <w:p w14:paraId="023AD267">
      <w:pPr>
        <w:spacing w:line="360" w:lineRule="auto"/>
        <w:jc w:val="center"/>
        <w:outlineLvl w:val="1"/>
        <w:rPr>
          <w:rFonts w:hint="eastAsia" w:asciiTheme="minorEastAsia" w:hAnsiTheme="minorEastAsia" w:eastAsiaTheme="minorEastAsia"/>
          <w:b/>
          <w:color w:val="auto"/>
          <w:sz w:val="24"/>
          <w:highlight w:val="none"/>
        </w:rPr>
      </w:pPr>
    </w:p>
    <w:p w14:paraId="29A7B286">
      <w:pPr>
        <w:spacing w:line="360" w:lineRule="auto"/>
        <w:jc w:val="center"/>
        <w:outlineLvl w:val="1"/>
        <w:rPr>
          <w:rFonts w:hint="eastAsia" w:asciiTheme="minorEastAsia" w:hAnsiTheme="minorEastAsia" w:eastAsiaTheme="minorEastAsia"/>
          <w:b/>
          <w:color w:val="auto"/>
          <w:sz w:val="24"/>
          <w:highlight w:val="none"/>
        </w:rPr>
      </w:pPr>
    </w:p>
    <w:p w14:paraId="37DBAF0B">
      <w:pPr>
        <w:spacing w:line="360" w:lineRule="auto"/>
        <w:jc w:val="center"/>
        <w:outlineLvl w:val="1"/>
        <w:rPr>
          <w:rFonts w:hint="eastAsia" w:asciiTheme="minorEastAsia" w:hAnsiTheme="minorEastAsia" w:eastAsiaTheme="minorEastAsia"/>
          <w:b/>
          <w:color w:val="auto"/>
          <w:sz w:val="24"/>
          <w:highlight w:val="none"/>
        </w:rPr>
      </w:pPr>
    </w:p>
    <w:p w14:paraId="41A2C545">
      <w:pPr>
        <w:spacing w:line="360" w:lineRule="auto"/>
        <w:jc w:val="both"/>
        <w:outlineLvl w:val="1"/>
        <w:rPr>
          <w:rFonts w:hint="eastAsia" w:asciiTheme="minorEastAsia" w:hAnsiTheme="minorEastAsia" w:eastAsiaTheme="minorEastAsia"/>
          <w:b/>
          <w:color w:val="auto"/>
          <w:sz w:val="24"/>
          <w:highlight w:val="none"/>
        </w:rPr>
      </w:pPr>
    </w:p>
    <w:p w14:paraId="18E93F49">
      <w:pPr>
        <w:spacing w:line="360" w:lineRule="auto"/>
        <w:jc w:val="center"/>
        <w:outlineLvl w:val="1"/>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4、磋商响应函</w:t>
      </w:r>
    </w:p>
    <w:p w14:paraId="304D3047">
      <w:pPr>
        <w:spacing w:line="360" w:lineRule="auto"/>
        <w:jc w:val="center"/>
        <w:outlineLvl w:val="1"/>
        <w:rPr>
          <w:rFonts w:hint="eastAsia" w:asciiTheme="minorEastAsia" w:hAnsiTheme="minorEastAsia" w:eastAsiaTheme="minorEastAsia"/>
          <w:b/>
          <w:color w:val="auto"/>
          <w:sz w:val="24"/>
          <w:highlight w:val="none"/>
        </w:rPr>
      </w:pPr>
    </w:p>
    <w:p w14:paraId="7AB47F89">
      <w:pPr>
        <w:pStyle w:val="13"/>
        <w:spacing w:line="360" w:lineRule="auto"/>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lang w:val="en-US" w:eastAsia="zh-CN"/>
        </w:rPr>
        <w:t>采购人</w:t>
      </w:r>
    </w:p>
    <w:p w14:paraId="1E9D9E4E">
      <w:pPr>
        <w:spacing w:line="360" w:lineRule="auto"/>
        <w:ind w:firstLine="480" w:firstLineChars="200"/>
        <w:rPr>
          <w:rFonts w:ascii="宋体" w:hAnsi="宋体" w:eastAsia="宋体"/>
          <w:dstrike/>
          <w:color w:val="auto"/>
          <w:sz w:val="24"/>
          <w:highlight w:val="none"/>
        </w:rPr>
      </w:pPr>
      <w:r>
        <w:rPr>
          <w:rFonts w:hint="eastAsia" w:ascii="宋体" w:hAnsi="宋体" w:eastAsia="宋体"/>
          <w:color w:val="auto"/>
          <w:sz w:val="24"/>
          <w:highlight w:val="none"/>
        </w:rPr>
        <w:t>根据贵方的</w:t>
      </w:r>
      <w:bookmarkStart w:id="219" w:name="_Hlk44287543"/>
      <w:r>
        <w:rPr>
          <w:rFonts w:hint="eastAsia" w:ascii="宋体" w:hAnsi="宋体" w:eastAsia="宋体"/>
          <w:color w:val="auto"/>
          <w:sz w:val="24"/>
          <w:highlight w:val="none"/>
        </w:rPr>
        <w:t>竞争性磋商公告和磋商邀请</w:t>
      </w:r>
      <w:bookmarkEnd w:id="219"/>
      <w:r>
        <w:rPr>
          <w:rFonts w:hint="eastAsia" w:ascii="宋体" w:hAnsi="宋体" w:eastAsia="宋体"/>
          <w:color w:val="auto"/>
          <w:sz w:val="24"/>
          <w:highlight w:val="none"/>
        </w:rPr>
        <w:t>，我方兹宣布同意如下：</w:t>
      </w:r>
    </w:p>
    <w:p w14:paraId="0409377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w:t>
      </w:r>
      <w:r>
        <w:rPr>
          <w:rFonts w:hint="eastAsia" w:asciiTheme="minorEastAsia" w:hAnsiTheme="minorEastAsia" w:eastAsiaTheme="minorEastAsia"/>
          <w:color w:val="auto"/>
          <w:sz w:val="24"/>
          <w:highlight w:val="none"/>
        </w:rPr>
        <w:t>.</w:t>
      </w:r>
      <w:r>
        <w:rPr>
          <w:rFonts w:hint="eastAsia" w:ascii="宋体" w:hAnsi="宋体" w:eastAsia="宋体" w:cs="宋体"/>
          <w:color w:val="auto"/>
          <w:sz w:val="24"/>
          <w:szCs w:val="24"/>
          <w:highlight w:val="none"/>
        </w:rPr>
        <w:t>我方根据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文件的规定，严格履行合同的责任和义务,并保证于买方要求的日期内完成，并通过买方验收。</w:t>
      </w:r>
    </w:p>
    <w:p w14:paraId="63265D3A">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.我方已详细审核全部</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文件，包括</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附件及更正公告</w:t>
      </w:r>
      <w:r>
        <w:rPr>
          <w:rFonts w:hint="eastAsia" w:asciiTheme="minorEastAsia" w:hAnsiTheme="minorEastAsia" w:eastAsiaTheme="minorEastAsia"/>
          <w:color w:val="auto"/>
          <w:sz w:val="24"/>
          <w:highlight w:val="none"/>
        </w:rPr>
        <w:t>（如有）</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我方正式认可并遵守本次</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文件，并对</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文件各项条款、规定及要求均无异议。</w:t>
      </w:r>
    </w:p>
    <w:p w14:paraId="3C573E9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.我方同意从</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文件规定的</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日期起遵循本</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文件，并在</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文件规定的</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有效期之前均具有约束力。</w:t>
      </w:r>
    </w:p>
    <w:p w14:paraId="0F0B65A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.我方声明</w:t>
      </w:r>
      <w:r>
        <w:rPr>
          <w:rFonts w:hint="eastAsia" w:asciiTheme="minorEastAsia" w:hAnsiTheme="minorEastAsia" w:eastAsiaTheme="minorEastAsia"/>
          <w:color w:val="auto"/>
          <w:sz w:val="24"/>
          <w:highlight w:val="none"/>
          <w:lang w:val="en-US" w:eastAsia="zh-CN"/>
        </w:rPr>
        <w:t>响应</w:t>
      </w:r>
      <w:r>
        <w:rPr>
          <w:rFonts w:hint="eastAsia" w:asciiTheme="minorEastAsia" w:hAnsiTheme="minorEastAsia" w:eastAsiaTheme="minorEastAsia"/>
          <w:color w:val="auto"/>
          <w:sz w:val="24"/>
          <w:highlight w:val="none"/>
        </w:rPr>
        <w:t>文件所提供的一切资料均真实无误、及时、有效，企业运营正常。由于我方提供资料不实而造成的责任和后果由我方承担。我方同意按照贵方提出的要求，提供与</w:t>
      </w:r>
      <w:r>
        <w:rPr>
          <w:rFonts w:hint="eastAsia" w:asciiTheme="minorEastAsia" w:hAnsiTheme="minorEastAsia" w:eastAsiaTheme="minorEastAsia"/>
          <w:color w:val="auto"/>
          <w:sz w:val="24"/>
          <w:highlight w:val="none"/>
          <w:lang w:val="en-US" w:eastAsia="zh-CN"/>
        </w:rPr>
        <w:t>磋商</w:t>
      </w:r>
      <w:r>
        <w:rPr>
          <w:rFonts w:hint="eastAsia" w:asciiTheme="minorEastAsia" w:hAnsiTheme="minorEastAsia" w:eastAsiaTheme="minorEastAsia"/>
          <w:color w:val="auto"/>
          <w:sz w:val="24"/>
          <w:highlight w:val="none"/>
        </w:rPr>
        <w:t>有关的任何证据、数据或资料。</w:t>
      </w:r>
    </w:p>
    <w:p w14:paraId="4ECB2862">
      <w:pPr>
        <w:spacing w:line="360" w:lineRule="auto"/>
        <w:ind w:firstLine="480" w:firstLineChars="200"/>
        <w:rPr>
          <w:rFonts w:ascii="宋体" w:hAnsi="宋体" w:eastAsia="宋体"/>
          <w:color w:val="auto"/>
          <w:sz w:val="24"/>
          <w:highlight w:val="none"/>
        </w:rPr>
      </w:pPr>
    </w:p>
    <w:p w14:paraId="552154AC">
      <w:pPr>
        <w:spacing w:line="360" w:lineRule="auto"/>
        <w:ind w:firstLine="4800" w:firstLineChars="2000"/>
        <w:rPr>
          <w:rFonts w:ascii="宋体" w:hAnsi="宋体" w:eastAsia="宋体"/>
          <w:color w:val="auto"/>
          <w:sz w:val="24"/>
          <w:highlight w:val="none"/>
        </w:rPr>
      </w:pPr>
      <w:r>
        <w:rPr>
          <w:rFonts w:hint="eastAsia" w:ascii="宋体" w:hAnsi="宋体" w:eastAsia="宋体"/>
          <w:color w:val="auto"/>
          <w:sz w:val="24"/>
          <w:highlight w:val="none"/>
        </w:rPr>
        <w:t>供应商签章：</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u w:val="single"/>
        </w:rPr>
        <w:t xml:space="preserve">    </w:t>
      </w:r>
    </w:p>
    <w:p w14:paraId="7B5AB4F5">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p>
    <w:p w14:paraId="5AC0F929">
      <w:pPr>
        <w:widowControl/>
        <w:jc w:val="left"/>
        <w:rPr>
          <w:rFonts w:ascii="宋体" w:hAnsi="宋体" w:eastAsia="宋体"/>
          <w:color w:val="auto"/>
          <w:sz w:val="24"/>
          <w:highlight w:val="none"/>
        </w:rPr>
      </w:pPr>
      <w:r>
        <w:rPr>
          <w:rFonts w:ascii="宋体" w:hAnsi="宋体" w:eastAsia="宋体"/>
          <w:color w:val="auto"/>
          <w:sz w:val="24"/>
          <w:highlight w:val="none"/>
        </w:rPr>
        <w:br w:type="page"/>
      </w:r>
    </w:p>
    <w:p w14:paraId="2F6E172E">
      <w:pPr>
        <w:spacing w:line="360" w:lineRule="auto"/>
        <w:jc w:val="both"/>
        <w:outlineLvl w:val="1"/>
        <w:rPr>
          <w:rFonts w:hint="eastAsia" w:asciiTheme="minorEastAsia" w:hAnsiTheme="minorEastAsia" w:eastAsiaTheme="minorEastAsia"/>
          <w:b/>
          <w:color w:val="auto"/>
          <w:sz w:val="24"/>
          <w:highlight w:val="none"/>
        </w:rPr>
      </w:pPr>
    </w:p>
    <w:p w14:paraId="1D2C9617">
      <w:pPr>
        <w:spacing w:line="360" w:lineRule="auto"/>
        <w:jc w:val="center"/>
        <w:outlineLvl w:val="1"/>
        <w:rPr>
          <w:rFonts w:hint="eastAsia"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5、授权书</w:t>
      </w:r>
    </w:p>
    <w:p w14:paraId="100216B9">
      <w:pPr>
        <w:spacing w:line="360" w:lineRule="auto"/>
        <w:jc w:val="both"/>
        <w:rPr>
          <w:rFonts w:asciiTheme="minorEastAsia" w:hAnsiTheme="minorEastAsia" w:eastAsiaTheme="minorEastAsia"/>
          <w:b/>
          <w:color w:val="auto"/>
          <w:sz w:val="24"/>
          <w:highlight w:val="none"/>
        </w:rPr>
      </w:pPr>
    </w:p>
    <w:p w14:paraId="2F5A6099">
      <w:pPr>
        <w:pStyle w:val="12"/>
        <w:snapToGrid w:val="0"/>
        <w:spacing w:line="60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u w:val="single"/>
          <w:lang w:val="en-US" w:eastAsia="zh-CN"/>
        </w:rPr>
        <w:t xml:space="preserve">  </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磋商过程的一切事宜，包括但不限于：提交响应文件、参与磋商、签约等。供应商授权代表在采购活动过程中所签署的一切文件和处理与之有关的一切事务，本公司均予以认可并对此承担责任。供应商授权代表无转委托权。特此授权。</w:t>
      </w:r>
    </w:p>
    <w:p w14:paraId="3F761BB3">
      <w:pPr>
        <w:pStyle w:val="12"/>
        <w:snapToGrid w:val="0"/>
        <w:spacing w:line="60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14:paraId="1889D150">
      <w:pPr>
        <w:pStyle w:val="12"/>
        <w:snapToGrid w:val="0"/>
        <w:spacing w:line="60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身份证明扫描件：</w:t>
      </w:r>
    </w:p>
    <w:p w14:paraId="05578E7E">
      <w:pPr>
        <w:pStyle w:val="12"/>
        <w:snapToGrid w:val="0"/>
        <w:spacing w:line="360" w:lineRule="auto"/>
        <w:ind w:firstLine="480" w:firstLineChars="200"/>
        <w:jc w:val="left"/>
        <w:rPr>
          <w:rFonts w:hAnsi="宋体" w:eastAsia="宋体"/>
          <w:color w:val="auto"/>
          <w:sz w:val="24"/>
          <w:highlight w:val="none"/>
        </w:rPr>
      </w:pPr>
    </w:p>
    <w:p w14:paraId="4E27E411">
      <w:pPr>
        <w:pStyle w:val="12"/>
        <w:snapToGrid w:val="0"/>
        <w:spacing w:line="360" w:lineRule="auto"/>
        <w:jc w:val="left"/>
        <w:rPr>
          <w:rFonts w:hAnsi="宋体" w:eastAsia="宋体"/>
          <w:color w:val="auto"/>
          <w:sz w:val="24"/>
          <w:highlight w:val="none"/>
        </w:rPr>
      </w:pPr>
    </w:p>
    <w:p w14:paraId="36AF391C">
      <w:pPr>
        <w:pStyle w:val="12"/>
        <w:snapToGrid w:val="0"/>
        <w:spacing w:line="360" w:lineRule="auto"/>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48B0ACCA">
      <w:pPr>
        <w:pStyle w:val="12"/>
        <w:snapToGrid w:val="0"/>
        <w:spacing w:line="360" w:lineRule="auto"/>
        <w:ind w:firstLine="480" w:firstLineChars="200"/>
        <w:jc w:val="left"/>
        <w:rPr>
          <w:rFonts w:hAnsi="宋体" w:eastAsia="宋体"/>
          <w:color w:val="auto"/>
          <w:sz w:val="24"/>
          <w:szCs w:val="28"/>
          <w:highlight w:val="none"/>
        </w:rPr>
      </w:pPr>
    </w:p>
    <w:p w14:paraId="28039893">
      <w:pPr>
        <w:spacing w:line="360" w:lineRule="auto"/>
        <w:ind w:firstLine="360" w:firstLineChars="150"/>
        <w:rPr>
          <w:rFonts w:ascii="宋体" w:hAnsi="宋体" w:eastAsia="宋体"/>
          <w:color w:val="auto"/>
          <w:sz w:val="24"/>
          <w:szCs w:val="28"/>
          <w:highlight w:val="none"/>
        </w:rPr>
      </w:pPr>
      <w:r>
        <w:rPr>
          <w:rFonts w:hint="eastAsia" w:ascii="宋体" w:hAnsi="宋体" w:eastAsia="宋体"/>
          <w:color w:val="auto"/>
          <w:sz w:val="24"/>
          <w:szCs w:val="28"/>
          <w:highlight w:val="none"/>
        </w:rPr>
        <w:t>特此声明。</w:t>
      </w:r>
    </w:p>
    <w:p w14:paraId="69D98ABD">
      <w:pPr>
        <w:spacing w:line="360" w:lineRule="auto"/>
        <w:rPr>
          <w:rFonts w:ascii="宋体" w:hAnsi="宋体" w:eastAsia="宋体"/>
          <w:color w:val="auto"/>
          <w:sz w:val="24"/>
          <w:szCs w:val="28"/>
          <w:highlight w:val="none"/>
        </w:rPr>
      </w:pPr>
    </w:p>
    <w:p w14:paraId="3ADFF6E3">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lang w:val="en-US" w:eastAsia="zh-CN"/>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163C6AC1">
      <w:pPr>
        <w:tabs>
          <w:tab w:val="left" w:pos="630"/>
        </w:tabs>
        <w:spacing w:line="360" w:lineRule="auto"/>
        <w:ind w:firstLine="4800" w:firstLineChars="2000"/>
        <w:rPr>
          <w:rFonts w:ascii="宋体" w:hAnsi="宋体" w:eastAsia="宋体"/>
          <w:color w:val="auto"/>
          <w:sz w:val="24"/>
          <w:szCs w:val="28"/>
          <w:highlight w:val="non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2F7A8260">
      <w:pPr>
        <w:spacing w:line="360" w:lineRule="auto"/>
        <w:rPr>
          <w:rFonts w:ascii="宋体" w:hAnsi="宋体" w:eastAsia="宋体"/>
          <w:color w:val="auto"/>
          <w:sz w:val="24"/>
          <w:szCs w:val="28"/>
          <w:highlight w:val="none"/>
        </w:rPr>
      </w:pPr>
    </w:p>
    <w:p w14:paraId="6CB047A7">
      <w:pPr>
        <w:spacing w:line="360" w:lineRule="auto"/>
        <w:rPr>
          <w:rFonts w:ascii="宋体" w:hAnsi="宋体" w:eastAsia="宋体"/>
          <w:color w:val="auto"/>
          <w:sz w:val="24"/>
          <w:szCs w:val="28"/>
          <w:highlight w:val="none"/>
        </w:rPr>
      </w:pPr>
    </w:p>
    <w:p w14:paraId="747F7989">
      <w:pPr>
        <w:pStyle w:val="12"/>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08E10D79">
      <w:pPr>
        <w:pStyle w:val="12"/>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1.本项目只允许有唯一的供应商授权代表，提供身份证明扫描件；</w:t>
      </w:r>
    </w:p>
    <w:p w14:paraId="19C01DC3">
      <w:pPr>
        <w:spacing w:line="360" w:lineRule="auto"/>
        <w:jc w:val="left"/>
        <w:rPr>
          <w:rFonts w:ascii="宋体" w:hAnsi="宋体" w:eastAsia="宋体"/>
          <w:color w:val="auto"/>
          <w:sz w:val="24"/>
          <w:highlight w:val="none"/>
        </w:rPr>
      </w:pPr>
      <w:r>
        <w:rPr>
          <w:rFonts w:hint="eastAsia" w:ascii="宋体" w:hAnsi="宋体" w:eastAsia="宋体"/>
          <w:color w:val="auto"/>
          <w:sz w:val="24"/>
          <w:highlight w:val="none"/>
        </w:rPr>
        <w:t>2.法定代表人参加磋商的无需提供授权书，仅提供身份证明扫描件。</w:t>
      </w:r>
    </w:p>
    <w:p w14:paraId="3A333E0E">
      <w:pPr>
        <w:spacing w:line="360" w:lineRule="auto"/>
        <w:jc w:val="center"/>
        <w:outlineLvl w:val="1"/>
        <w:rPr>
          <w:rFonts w:hint="eastAsia" w:asciiTheme="minorEastAsia" w:hAnsiTheme="minorEastAsia" w:eastAsiaTheme="minorEastAsia"/>
          <w:b/>
          <w:color w:val="auto"/>
          <w:sz w:val="24"/>
          <w:highlight w:val="none"/>
        </w:rPr>
      </w:pPr>
    </w:p>
    <w:p w14:paraId="7A76DB3A">
      <w:pPr>
        <w:spacing w:line="360" w:lineRule="auto"/>
        <w:jc w:val="center"/>
        <w:outlineLvl w:val="1"/>
        <w:rPr>
          <w:rFonts w:hint="eastAsia" w:asciiTheme="minorEastAsia" w:hAnsiTheme="minorEastAsia" w:eastAsiaTheme="minorEastAsia"/>
          <w:b/>
          <w:color w:val="auto"/>
          <w:sz w:val="24"/>
          <w:highlight w:val="none"/>
        </w:rPr>
      </w:pPr>
    </w:p>
    <w:p w14:paraId="3DFF2631">
      <w:pPr>
        <w:spacing w:line="360" w:lineRule="auto"/>
        <w:jc w:val="center"/>
        <w:outlineLvl w:val="1"/>
        <w:rPr>
          <w:rFonts w:hint="eastAsia" w:asciiTheme="minorEastAsia" w:hAnsiTheme="minorEastAsia" w:eastAsiaTheme="minorEastAsia"/>
          <w:b/>
          <w:color w:val="auto"/>
          <w:sz w:val="24"/>
          <w:highlight w:val="none"/>
        </w:rPr>
      </w:pPr>
    </w:p>
    <w:p w14:paraId="4CDF966D">
      <w:pPr>
        <w:spacing w:line="360" w:lineRule="auto"/>
        <w:jc w:val="both"/>
        <w:outlineLvl w:val="1"/>
        <w:rPr>
          <w:rFonts w:hint="eastAsia" w:asciiTheme="minorEastAsia" w:hAnsiTheme="minorEastAsia" w:eastAsiaTheme="minorEastAsia"/>
          <w:b/>
          <w:color w:val="auto"/>
          <w:sz w:val="24"/>
          <w:highlight w:val="none"/>
        </w:rPr>
      </w:pPr>
    </w:p>
    <w:p w14:paraId="56BC2DAC">
      <w:pPr>
        <w:spacing w:line="360" w:lineRule="auto"/>
        <w:jc w:val="center"/>
        <w:outlineLvl w:val="1"/>
        <w:rPr>
          <w:rFonts w:hint="eastAsia" w:asciiTheme="minorEastAsia" w:hAnsiTheme="minorEastAsia" w:eastAsiaTheme="minorEastAsia"/>
          <w:b/>
          <w:color w:val="auto"/>
          <w:sz w:val="24"/>
          <w:highlight w:val="none"/>
        </w:rPr>
      </w:pPr>
    </w:p>
    <w:p w14:paraId="020EEE5D">
      <w:pPr>
        <w:spacing w:line="360" w:lineRule="auto"/>
        <w:jc w:val="center"/>
        <w:outlineLvl w:val="1"/>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6、技术资信评分细则需要提供的材料</w:t>
      </w:r>
    </w:p>
    <w:p w14:paraId="31B1FFAB">
      <w:pPr>
        <w:spacing w:line="360" w:lineRule="auto"/>
        <w:jc w:val="center"/>
        <w:outlineLvl w:val="1"/>
        <w:rPr>
          <w:rFonts w:hint="eastAsia" w:asciiTheme="minorEastAsia" w:hAnsiTheme="minorEastAsia" w:eastAsiaTheme="minorEastAsia"/>
          <w:b/>
          <w:color w:val="auto"/>
          <w:sz w:val="24"/>
          <w:highlight w:val="none"/>
        </w:rPr>
      </w:pPr>
    </w:p>
    <w:p w14:paraId="70E530A1">
      <w:pPr>
        <w:spacing w:line="360" w:lineRule="auto"/>
        <w:jc w:val="center"/>
        <w:outlineLvl w:val="1"/>
        <w:rPr>
          <w:rFonts w:hint="eastAsia" w:asciiTheme="minorEastAsia" w:hAnsiTheme="minorEastAsia" w:eastAsiaTheme="minorEastAsia"/>
          <w:b/>
          <w:color w:val="auto"/>
          <w:sz w:val="24"/>
          <w:highlight w:val="none"/>
        </w:rPr>
      </w:pPr>
    </w:p>
    <w:p w14:paraId="3F43AB49">
      <w:pPr>
        <w:spacing w:line="360" w:lineRule="auto"/>
        <w:jc w:val="center"/>
        <w:outlineLvl w:val="1"/>
        <w:rPr>
          <w:rFonts w:hint="eastAsia" w:asciiTheme="minorEastAsia" w:hAnsiTheme="minorEastAsia" w:eastAsiaTheme="minorEastAsia"/>
          <w:b/>
          <w:color w:val="auto"/>
          <w:sz w:val="24"/>
          <w:highlight w:val="none"/>
        </w:rPr>
      </w:pPr>
    </w:p>
    <w:p w14:paraId="5D51DC7B">
      <w:pPr>
        <w:spacing w:line="360" w:lineRule="auto"/>
        <w:jc w:val="center"/>
        <w:outlineLvl w:val="1"/>
        <w:rPr>
          <w:rFonts w:hint="eastAsia" w:asciiTheme="minorEastAsia" w:hAnsiTheme="minorEastAsia" w:eastAsiaTheme="minorEastAsia"/>
          <w:b/>
          <w:color w:val="auto"/>
          <w:sz w:val="24"/>
          <w:highlight w:val="none"/>
        </w:rPr>
      </w:pPr>
    </w:p>
    <w:p w14:paraId="673FE28E">
      <w:pPr>
        <w:spacing w:line="360" w:lineRule="auto"/>
        <w:jc w:val="center"/>
        <w:outlineLvl w:val="1"/>
        <w:rPr>
          <w:rFonts w:hint="eastAsia" w:asciiTheme="minorEastAsia" w:hAnsiTheme="minorEastAsia" w:eastAsiaTheme="minorEastAsia"/>
          <w:b/>
          <w:color w:val="auto"/>
          <w:sz w:val="24"/>
          <w:highlight w:val="none"/>
        </w:rPr>
      </w:pPr>
    </w:p>
    <w:p w14:paraId="47AB303C">
      <w:pPr>
        <w:spacing w:line="360" w:lineRule="auto"/>
        <w:jc w:val="center"/>
        <w:outlineLvl w:val="1"/>
        <w:rPr>
          <w:rFonts w:hint="eastAsia" w:asciiTheme="minorEastAsia" w:hAnsiTheme="minorEastAsia" w:eastAsiaTheme="minorEastAsia"/>
          <w:b/>
          <w:color w:val="auto"/>
          <w:sz w:val="24"/>
          <w:highlight w:val="none"/>
        </w:rPr>
      </w:pPr>
    </w:p>
    <w:p w14:paraId="3D0F9E71">
      <w:pPr>
        <w:spacing w:line="360" w:lineRule="auto"/>
        <w:jc w:val="center"/>
        <w:outlineLvl w:val="1"/>
        <w:rPr>
          <w:rFonts w:hint="eastAsia" w:asciiTheme="minorEastAsia" w:hAnsiTheme="minorEastAsia" w:eastAsiaTheme="minorEastAsia"/>
          <w:b/>
          <w:color w:val="auto"/>
          <w:sz w:val="24"/>
          <w:highlight w:val="none"/>
        </w:rPr>
      </w:pPr>
    </w:p>
    <w:p w14:paraId="459578A3">
      <w:pPr>
        <w:spacing w:line="360" w:lineRule="auto"/>
        <w:jc w:val="center"/>
        <w:outlineLvl w:val="1"/>
        <w:rPr>
          <w:rFonts w:hint="eastAsia" w:asciiTheme="minorEastAsia" w:hAnsiTheme="minorEastAsia" w:eastAsiaTheme="minorEastAsia"/>
          <w:b/>
          <w:color w:val="auto"/>
          <w:sz w:val="24"/>
          <w:highlight w:val="none"/>
        </w:rPr>
      </w:pPr>
    </w:p>
    <w:p w14:paraId="348202F4">
      <w:pPr>
        <w:spacing w:line="360" w:lineRule="auto"/>
        <w:jc w:val="center"/>
        <w:outlineLvl w:val="1"/>
        <w:rPr>
          <w:rFonts w:hint="eastAsia" w:asciiTheme="minorEastAsia" w:hAnsiTheme="minorEastAsia" w:eastAsiaTheme="minorEastAsia"/>
          <w:b/>
          <w:color w:val="auto"/>
          <w:sz w:val="24"/>
          <w:highlight w:val="none"/>
        </w:rPr>
      </w:pPr>
    </w:p>
    <w:p w14:paraId="08CFBE37">
      <w:pPr>
        <w:spacing w:line="360" w:lineRule="auto"/>
        <w:jc w:val="center"/>
        <w:outlineLvl w:val="1"/>
        <w:rPr>
          <w:rFonts w:hint="eastAsia" w:asciiTheme="minorEastAsia" w:hAnsiTheme="minorEastAsia" w:eastAsiaTheme="minorEastAsia"/>
          <w:b/>
          <w:color w:val="auto"/>
          <w:sz w:val="24"/>
          <w:highlight w:val="none"/>
        </w:rPr>
      </w:pPr>
    </w:p>
    <w:p w14:paraId="3DBB5CB6">
      <w:pPr>
        <w:spacing w:line="360" w:lineRule="auto"/>
        <w:jc w:val="center"/>
        <w:outlineLvl w:val="1"/>
        <w:rPr>
          <w:rFonts w:hint="eastAsia" w:asciiTheme="minorEastAsia" w:hAnsiTheme="minorEastAsia" w:eastAsiaTheme="minorEastAsia"/>
          <w:b/>
          <w:color w:val="auto"/>
          <w:sz w:val="24"/>
          <w:highlight w:val="none"/>
        </w:rPr>
      </w:pPr>
    </w:p>
    <w:p w14:paraId="65D57F1C">
      <w:pPr>
        <w:spacing w:line="360" w:lineRule="auto"/>
        <w:jc w:val="center"/>
        <w:outlineLvl w:val="1"/>
        <w:rPr>
          <w:rFonts w:hint="eastAsia" w:asciiTheme="minorEastAsia" w:hAnsiTheme="minorEastAsia" w:eastAsiaTheme="minorEastAsia"/>
          <w:b/>
          <w:color w:val="auto"/>
          <w:sz w:val="24"/>
          <w:highlight w:val="none"/>
        </w:rPr>
      </w:pPr>
    </w:p>
    <w:p w14:paraId="43B29F58">
      <w:pPr>
        <w:spacing w:line="360" w:lineRule="auto"/>
        <w:jc w:val="center"/>
        <w:outlineLvl w:val="1"/>
        <w:rPr>
          <w:rFonts w:hint="eastAsia" w:asciiTheme="minorEastAsia" w:hAnsiTheme="minorEastAsia" w:eastAsiaTheme="minorEastAsia"/>
          <w:b/>
          <w:color w:val="auto"/>
          <w:sz w:val="24"/>
          <w:highlight w:val="none"/>
        </w:rPr>
      </w:pPr>
    </w:p>
    <w:p w14:paraId="08F5BA2D">
      <w:pPr>
        <w:spacing w:line="360" w:lineRule="auto"/>
        <w:jc w:val="center"/>
        <w:outlineLvl w:val="1"/>
        <w:rPr>
          <w:rFonts w:hint="eastAsia" w:asciiTheme="minorEastAsia" w:hAnsiTheme="minorEastAsia" w:eastAsiaTheme="minorEastAsia"/>
          <w:b/>
          <w:color w:val="auto"/>
          <w:sz w:val="24"/>
          <w:highlight w:val="none"/>
        </w:rPr>
      </w:pPr>
    </w:p>
    <w:p w14:paraId="71B71D5E">
      <w:pPr>
        <w:spacing w:line="360" w:lineRule="auto"/>
        <w:jc w:val="center"/>
        <w:outlineLvl w:val="1"/>
        <w:rPr>
          <w:rFonts w:hint="eastAsia" w:asciiTheme="minorEastAsia" w:hAnsiTheme="minorEastAsia" w:eastAsiaTheme="minorEastAsia"/>
          <w:b/>
          <w:color w:val="auto"/>
          <w:sz w:val="24"/>
          <w:highlight w:val="none"/>
        </w:rPr>
      </w:pPr>
    </w:p>
    <w:p w14:paraId="7BD916B9">
      <w:pPr>
        <w:spacing w:line="360" w:lineRule="auto"/>
        <w:jc w:val="center"/>
        <w:outlineLvl w:val="1"/>
        <w:rPr>
          <w:rFonts w:hint="eastAsia" w:asciiTheme="minorEastAsia" w:hAnsiTheme="minorEastAsia" w:eastAsiaTheme="minorEastAsia"/>
          <w:b/>
          <w:color w:val="auto"/>
          <w:sz w:val="24"/>
          <w:highlight w:val="none"/>
        </w:rPr>
      </w:pPr>
    </w:p>
    <w:p w14:paraId="0978D547">
      <w:pPr>
        <w:spacing w:line="360" w:lineRule="auto"/>
        <w:jc w:val="center"/>
        <w:outlineLvl w:val="1"/>
        <w:rPr>
          <w:rFonts w:hint="eastAsia" w:asciiTheme="minorEastAsia" w:hAnsiTheme="minorEastAsia" w:eastAsiaTheme="minorEastAsia"/>
          <w:b/>
          <w:color w:val="auto"/>
          <w:sz w:val="24"/>
          <w:highlight w:val="none"/>
        </w:rPr>
      </w:pPr>
    </w:p>
    <w:p w14:paraId="78AD4B5D">
      <w:pPr>
        <w:spacing w:line="360" w:lineRule="auto"/>
        <w:jc w:val="center"/>
        <w:outlineLvl w:val="1"/>
        <w:rPr>
          <w:rFonts w:hint="eastAsia" w:asciiTheme="minorEastAsia" w:hAnsiTheme="minorEastAsia" w:eastAsiaTheme="minorEastAsia"/>
          <w:b/>
          <w:color w:val="auto"/>
          <w:sz w:val="24"/>
          <w:highlight w:val="none"/>
        </w:rPr>
      </w:pPr>
    </w:p>
    <w:p w14:paraId="470D1224">
      <w:pPr>
        <w:spacing w:line="360" w:lineRule="auto"/>
        <w:jc w:val="center"/>
        <w:outlineLvl w:val="1"/>
        <w:rPr>
          <w:rFonts w:hint="eastAsia" w:asciiTheme="minorEastAsia" w:hAnsiTheme="minorEastAsia" w:eastAsiaTheme="minorEastAsia"/>
          <w:b/>
          <w:color w:val="auto"/>
          <w:sz w:val="24"/>
          <w:highlight w:val="none"/>
        </w:rPr>
      </w:pPr>
    </w:p>
    <w:p w14:paraId="4C33653D">
      <w:pPr>
        <w:spacing w:line="360" w:lineRule="auto"/>
        <w:jc w:val="center"/>
        <w:outlineLvl w:val="1"/>
        <w:rPr>
          <w:rFonts w:hint="eastAsia" w:asciiTheme="minorEastAsia" w:hAnsiTheme="minorEastAsia" w:eastAsiaTheme="minorEastAsia"/>
          <w:b/>
          <w:color w:val="auto"/>
          <w:sz w:val="24"/>
          <w:highlight w:val="none"/>
        </w:rPr>
      </w:pPr>
    </w:p>
    <w:p w14:paraId="22814513">
      <w:pPr>
        <w:spacing w:line="360" w:lineRule="auto"/>
        <w:jc w:val="center"/>
        <w:outlineLvl w:val="1"/>
        <w:rPr>
          <w:rFonts w:hint="eastAsia" w:asciiTheme="minorEastAsia" w:hAnsiTheme="minorEastAsia" w:eastAsiaTheme="minorEastAsia"/>
          <w:b/>
          <w:color w:val="auto"/>
          <w:sz w:val="24"/>
          <w:highlight w:val="none"/>
        </w:rPr>
      </w:pPr>
    </w:p>
    <w:p w14:paraId="204D8D1A">
      <w:pPr>
        <w:spacing w:line="360" w:lineRule="auto"/>
        <w:jc w:val="center"/>
        <w:outlineLvl w:val="1"/>
        <w:rPr>
          <w:rFonts w:hint="eastAsia" w:asciiTheme="minorEastAsia" w:hAnsiTheme="minorEastAsia" w:eastAsiaTheme="minorEastAsia"/>
          <w:b/>
          <w:color w:val="auto"/>
          <w:sz w:val="24"/>
          <w:highlight w:val="none"/>
        </w:rPr>
      </w:pPr>
    </w:p>
    <w:p w14:paraId="357527AC">
      <w:pPr>
        <w:spacing w:line="360" w:lineRule="auto"/>
        <w:jc w:val="center"/>
        <w:outlineLvl w:val="1"/>
        <w:rPr>
          <w:rFonts w:hint="eastAsia" w:asciiTheme="minorEastAsia" w:hAnsiTheme="minorEastAsia" w:eastAsiaTheme="minorEastAsia"/>
          <w:b/>
          <w:color w:val="auto"/>
          <w:sz w:val="24"/>
          <w:highlight w:val="none"/>
        </w:rPr>
      </w:pPr>
    </w:p>
    <w:p w14:paraId="2653989C">
      <w:pPr>
        <w:spacing w:line="360" w:lineRule="auto"/>
        <w:jc w:val="center"/>
        <w:outlineLvl w:val="1"/>
        <w:rPr>
          <w:rFonts w:hint="eastAsia" w:asciiTheme="minorEastAsia" w:hAnsiTheme="minorEastAsia" w:eastAsiaTheme="minorEastAsia"/>
          <w:b/>
          <w:color w:val="auto"/>
          <w:sz w:val="24"/>
          <w:highlight w:val="none"/>
        </w:rPr>
      </w:pPr>
    </w:p>
    <w:p w14:paraId="6D2EFB9B">
      <w:pPr>
        <w:spacing w:line="360" w:lineRule="auto"/>
        <w:jc w:val="center"/>
        <w:outlineLvl w:val="1"/>
        <w:rPr>
          <w:rFonts w:hint="eastAsia" w:asciiTheme="minorEastAsia" w:hAnsiTheme="minorEastAsia" w:eastAsiaTheme="minorEastAsia"/>
          <w:b/>
          <w:color w:val="auto"/>
          <w:sz w:val="24"/>
          <w:highlight w:val="none"/>
        </w:rPr>
      </w:pPr>
    </w:p>
    <w:p w14:paraId="7C106F38">
      <w:pPr>
        <w:spacing w:line="360" w:lineRule="auto"/>
        <w:jc w:val="both"/>
        <w:outlineLvl w:val="1"/>
        <w:rPr>
          <w:rFonts w:hint="eastAsia" w:asciiTheme="minorEastAsia" w:hAnsiTheme="minorEastAsia" w:eastAsiaTheme="minorEastAsia"/>
          <w:b/>
          <w:color w:val="auto"/>
          <w:sz w:val="24"/>
          <w:highlight w:val="none"/>
        </w:rPr>
      </w:pPr>
    </w:p>
    <w:p w14:paraId="519F5C12">
      <w:pPr>
        <w:spacing w:line="360" w:lineRule="auto"/>
        <w:jc w:val="center"/>
        <w:outlineLvl w:val="1"/>
        <w:rPr>
          <w:rFonts w:hint="eastAsia" w:asciiTheme="minorEastAsia" w:hAnsiTheme="minorEastAsia" w:eastAsiaTheme="minorEastAsia"/>
          <w:b/>
          <w:color w:val="auto"/>
          <w:sz w:val="24"/>
          <w:highlight w:val="none"/>
        </w:rPr>
      </w:pPr>
    </w:p>
    <w:p w14:paraId="0DD445E6">
      <w:pPr>
        <w:spacing w:line="360" w:lineRule="auto"/>
        <w:jc w:val="center"/>
        <w:outlineLvl w:val="1"/>
        <w:rPr>
          <w:rFonts w:hint="eastAsia"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7、磋商报价</w:t>
      </w:r>
    </w:p>
    <w:p w14:paraId="740EA30A">
      <w:pPr>
        <w:spacing w:line="360" w:lineRule="auto"/>
        <w:jc w:val="both"/>
        <w:outlineLvl w:val="1"/>
        <w:rPr>
          <w:rFonts w:hint="eastAsia" w:asciiTheme="minorEastAsia" w:hAnsiTheme="minorEastAsia" w:eastAsiaTheme="minorEastAsia"/>
          <w:b/>
          <w:color w:val="auto"/>
          <w:sz w:val="24"/>
          <w:highlight w:val="none"/>
        </w:rPr>
      </w:pPr>
    </w:p>
    <w:bookmarkEnd w:id="214"/>
    <w:bookmarkEnd w:id="215"/>
    <w:p w14:paraId="19B9598F">
      <w:pPr>
        <w:spacing w:line="360" w:lineRule="auto"/>
        <w:jc w:val="center"/>
        <w:outlineLvl w:val="1"/>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eastAsia="zh-CN"/>
        </w:rPr>
        <w:t>（</w:t>
      </w:r>
      <w:r>
        <w:rPr>
          <w:rFonts w:hint="eastAsia" w:asciiTheme="minorEastAsia" w:hAnsiTheme="minorEastAsia" w:eastAsiaTheme="minorEastAsia"/>
          <w:b/>
          <w:color w:val="auto"/>
          <w:sz w:val="24"/>
          <w:highlight w:val="none"/>
          <w:lang w:val="en-US" w:eastAsia="zh-CN"/>
        </w:rPr>
        <w:t>1</w:t>
      </w:r>
      <w:r>
        <w:rPr>
          <w:rFonts w:hint="eastAsia" w:asciiTheme="minorEastAsia" w:hAnsiTheme="minorEastAsia" w:eastAsiaTheme="minorEastAsia"/>
          <w:b/>
          <w:color w:val="auto"/>
          <w:sz w:val="24"/>
          <w:highlight w:val="none"/>
          <w:lang w:eastAsia="zh-CN"/>
        </w:rPr>
        <w:t>）</w:t>
      </w:r>
      <w:r>
        <w:rPr>
          <w:rFonts w:hint="eastAsia" w:asciiTheme="minorEastAsia" w:hAnsiTheme="minorEastAsia" w:eastAsiaTheme="minorEastAsia"/>
          <w:b/>
          <w:color w:val="auto"/>
          <w:sz w:val="24"/>
          <w:highlight w:val="none"/>
        </w:rPr>
        <w:t>报价表格式</w:t>
      </w:r>
      <w:bookmarkEnd w:id="216"/>
      <w:bookmarkEnd w:id="217"/>
      <w:bookmarkEnd w:id="218"/>
    </w:p>
    <w:p w14:paraId="737EF59F">
      <w:pPr>
        <w:snapToGrid w:val="0"/>
        <w:spacing w:line="360" w:lineRule="auto"/>
        <w:jc w:val="left"/>
        <w:rPr>
          <w:rFonts w:ascii="宋体" w:hAnsi="宋体" w:eastAsia="宋体"/>
          <w:b/>
          <w:color w:val="auto"/>
          <w:sz w:val="24"/>
          <w:szCs w:val="28"/>
          <w:highlight w:val="none"/>
        </w:rPr>
      </w:pPr>
      <w:r>
        <w:rPr>
          <w:rFonts w:hint="eastAsia" w:ascii="宋体" w:hAnsi="宋体" w:eastAsia="宋体"/>
          <w:b/>
          <w:color w:val="auto"/>
          <w:sz w:val="24"/>
          <w:szCs w:val="28"/>
          <w:highlight w:val="none"/>
        </w:rPr>
        <w:t>项目名称：</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p>
    <w:p w14:paraId="3A1E5EC7">
      <w:pPr>
        <w:snapToGrid w:val="0"/>
        <w:spacing w:after="156" w:afterLines="50" w:line="360" w:lineRule="auto"/>
        <w:jc w:val="left"/>
        <w:rPr>
          <w:rFonts w:ascii="宋体" w:hAnsi="宋体" w:eastAsia="宋体"/>
          <w:b/>
          <w:bCs/>
          <w:color w:val="auto"/>
          <w:sz w:val="24"/>
          <w:szCs w:val="28"/>
          <w:highlight w:val="none"/>
          <w:u w:val="single"/>
        </w:rPr>
      </w:pPr>
      <w:r>
        <w:rPr>
          <w:rFonts w:hint="eastAsia" w:ascii="宋体" w:hAnsi="宋体" w:eastAsia="宋体"/>
          <w:b/>
          <w:color w:val="auto"/>
          <w:sz w:val="24"/>
          <w:szCs w:val="28"/>
          <w:highlight w:val="none"/>
        </w:rPr>
        <w:t>项目编号：</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587C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7B4C9337">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供应商名称</w:t>
            </w:r>
          </w:p>
        </w:tc>
        <w:tc>
          <w:tcPr>
            <w:tcW w:w="3557" w:type="pct"/>
            <w:tcBorders>
              <w:left w:val="single" w:color="auto" w:sz="4" w:space="0"/>
            </w:tcBorders>
          </w:tcPr>
          <w:p w14:paraId="728BE9F4">
            <w:pPr>
              <w:spacing w:line="360" w:lineRule="auto"/>
              <w:rPr>
                <w:rFonts w:ascii="宋体" w:hAnsi="宋体" w:eastAsia="宋体"/>
                <w:b/>
                <w:color w:val="auto"/>
                <w:sz w:val="24"/>
                <w:highlight w:val="none"/>
              </w:rPr>
            </w:pPr>
          </w:p>
        </w:tc>
      </w:tr>
      <w:tr w14:paraId="63DC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090EC5DA">
            <w:pPr>
              <w:spacing w:line="360" w:lineRule="exact"/>
              <w:jc w:val="center"/>
              <w:rPr>
                <w:rFonts w:ascii="宋体" w:hAnsi="宋体" w:eastAsia="宋体"/>
                <w:b/>
                <w:color w:val="auto"/>
                <w:sz w:val="24"/>
                <w:highlight w:val="none"/>
              </w:rPr>
            </w:pPr>
            <w:r>
              <w:rPr>
                <w:rFonts w:hint="eastAsia" w:ascii="宋体" w:hAnsi="宋体" w:eastAsia="宋体"/>
                <w:b/>
                <w:color w:val="auto"/>
                <w:sz w:val="24"/>
                <w:highlight w:val="none"/>
              </w:rPr>
              <w:t>磋商范围</w:t>
            </w:r>
          </w:p>
        </w:tc>
        <w:tc>
          <w:tcPr>
            <w:tcW w:w="3557" w:type="pct"/>
            <w:tcBorders>
              <w:left w:val="single" w:color="auto" w:sz="4" w:space="0"/>
            </w:tcBorders>
            <w:vAlign w:val="center"/>
          </w:tcPr>
          <w:p w14:paraId="314BE3B2">
            <w:pPr>
              <w:widowControl/>
              <w:spacing w:line="360" w:lineRule="exact"/>
              <w:rPr>
                <w:rFonts w:ascii="宋体" w:hAnsi="宋体" w:eastAsia="宋体"/>
                <w:b/>
                <w:color w:val="auto"/>
                <w:sz w:val="24"/>
                <w:highlight w:val="none"/>
              </w:rPr>
            </w:pPr>
            <w:r>
              <w:rPr>
                <w:rFonts w:hint="eastAsia" w:asciiTheme="minorEastAsia" w:hAnsiTheme="minorEastAsia" w:eastAsiaTheme="minorEastAsia"/>
                <w:color w:val="auto"/>
                <w:sz w:val="24"/>
                <w:szCs w:val="28"/>
                <w:highlight w:val="none"/>
              </w:rPr>
              <w:t xml:space="preserve">全部 </w:t>
            </w:r>
          </w:p>
        </w:tc>
      </w:tr>
      <w:tr w14:paraId="34B1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4BA11716">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报价</w:t>
            </w:r>
          </w:p>
          <w:p w14:paraId="69F337C5">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（详见备注说明）</w:t>
            </w:r>
          </w:p>
        </w:tc>
        <w:tc>
          <w:tcPr>
            <w:tcW w:w="3557" w:type="pct"/>
            <w:vAlign w:val="center"/>
          </w:tcPr>
          <w:p w14:paraId="11263759">
            <w:pPr>
              <w:snapToGrid w:val="0"/>
              <w:spacing w:line="360" w:lineRule="auto"/>
              <w:rPr>
                <w:rFonts w:ascii="宋体" w:hAnsi="宋体" w:eastAsia="宋体"/>
                <w:color w:val="auto"/>
                <w:sz w:val="24"/>
                <w:szCs w:val="28"/>
                <w:highlight w:val="none"/>
              </w:rPr>
            </w:pPr>
          </w:p>
          <w:p w14:paraId="00CEDBB2">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/年</w:t>
            </w:r>
            <w:r>
              <w:rPr>
                <w:rFonts w:hint="eastAsia" w:ascii="宋体" w:hAnsi="宋体" w:eastAsia="宋体" w:cs="宋体"/>
                <w:bCs/>
                <w:color w:val="auto"/>
                <w:sz w:val="24"/>
                <w:szCs w:val="24"/>
                <w:highlight w:val="none"/>
                <w:u w:val="single"/>
              </w:rPr>
              <w:t xml:space="preserve">   </w:t>
            </w:r>
          </w:p>
          <w:p w14:paraId="10315E39">
            <w:pPr>
              <w:spacing w:line="360" w:lineRule="auto"/>
              <w:ind w:right="-670"/>
              <w:rPr>
                <w:rFonts w:hint="eastAsia" w:asciiTheme="minorEastAsia" w:hAnsiTheme="minorEastAsia" w:eastAsiaTheme="minorEastAsia"/>
                <w:color w:val="auto"/>
                <w:sz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/年</w:t>
            </w:r>
            <w:r>
              <w:rPr>
                <w:rFonts w:hint="eastAsia" w:ascii="宋体" w:hAnsi="宋体" w:eastAsia="宋体" w:cs="宋体"/>
                <w:bCs/>
                <w:color w:val="auto"/>
                <w:sz w:val="24"/>
                <w:szCs w:val="24"/>
                <w:highlight w:val="none"/>
                <w:u w:val="single"/>
              </w:rPr>
              <w:t xml:space="preserve">   </w:t>
            </w:r>
          </w:p>
          <w:p w14:paraId="4936452F">
            <w:pPr>
              <w:snapToGrid w:val="0"/>
              <w:spacing w:line="360" w:lineRule="auto"/>
              <w:rPr>
                <w:rFonts w:ascii="宋体" w:hAnsi="宋体" w:eastAsia="宋体"/>
                <w:b/>
                <w:color w:val="auto"/>
                <w:sz w:val="24"/>
                <w:highlight w:val="none"/>
              </w:rPr>
            </w:pPr>
          </w:p>
        </w:tc>
      </w:tr>
      <w:tr w14:paraId="3E62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443" w:type="pct"/>
            <w:vAlign w:val="center"/>
          </w:tcPr>
          <w:p w14:paraId="1A22BEBF">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备注说明</w:t>
            </w:r>
          </w:p>
        </w:tc>
        <w:tc>
          <w:tcPr>
            <w:tcW w:w="3557" w:type="pct"/>
          </w:tcPr>
          <w:p w14:paraId="28B5F88B">
            <w:pPr>
              <w:spacing w:line="360" w:lineRule="auto"/>
              <w:rPr>
                <w:rFonts w:ascii="宋体" w:hAnsi="宋体" w:eastAsia="宋体"/>
                <w:b/>
                <w:color w:val="auto"/>
                <w:sz w:val="24"/>
                <w:highlight w:val="none"/>
              </w:rPr>
            </w:pPr>
          </w:p>
        </w:tc>
      </w:tr>
    </w:tbl>
    <w:p w14:paraId="01C994F2">
      <w:pPr>
        <w:spacing w:line="360" w:lineRule="auto"/>
        <w:ind w:firstLine="4800" w:firstLineChars="2000"/>
        <w:rPr>
          <w:rFonts w:ascii="宋体" w:hAnsi="宋体" w:eastAsia="宋体"/>
          <w:color w:val="auto"/>
          <w:sz w:val="24"/>
          <w:highlight w:val="none"/>
        </w:rPr>
      </w:pPr>
      <w:r>
        <w:rPr>
          <w:rFonts w:hint="eastAsia" w:ascii="宋体" w:hAnsi="宋体" w:eastAsia="宋体"/>
          <w:color w:val="auto"/>
          <w:sz w:val="24"/>
          <w:highlight w:val="none"/>
        </w:rPr>
        <w:t>供应商签章：</w:t>
      </w:r>
      <w:r>
        <w:rPr>
          <w:rFonts w:hint="eastAsia" w:ascii="宋体" w:hAnsi="宋体" w:eastAsia="宋体"/>
          <w:color w:val="auto"/>
          <w:sz w:val="24"/>
          <w:highlight w:val="none"/>
          <w:u w:val="single"/>
        </w:rPr>
        <w:t xml:space="preserve">             </w:t>
      </w:r>
    </w:p>
    <w:p w14:paraId="0B66485B">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p>
    <w:p w14:paraId="6EA74FCE">
      <w:pPr>
        <w:adjustRightInd w:val="0"/>
        <w:snapToGrid w:val="0"/>
        <w:spacing w:line="360" w:lineRule="auto"/>
        <w:rPr>
          <w:rFonts w:ascii="宋体" w:hAnsi="宋体" w:eastAsia="宋体"/>
          <w:b/>
          <w:bCs/>
          <w:color w:val="auto"/>
          <w:sz w:val="24"/>
          <w:szCs w:val="28"/>
          <w:highlight w:val="none"/>
        </w:rPr>
      </w:pPr>
      <w:r>
        <w:rPr>
          <w:rFonts w:hint="eastAsia" w:ascii="宋体" w:hAnsi="宋体" w:eastAsia="宋体"/>
          <w:b/>
          <w:bCs/>
          <w:color w:val="auto"/>
          <w:sz w:val="24"/>
          <w:szCs w:val="28"/>
          <w:highlight w:val="none"/>
        </w:rPr>
        <w:t>注：</w:t>
      </w:r>
    </w:p>
    <w:p w14:paraId="2B3E707C">
      <w:pPr>
        <w:adjustRightInd w:val="0"/>
        <w:snapToGrid w:val="0"/>
        <w:spacing w:line="360" w:lineRule="auto"/>
        <w:ind w:firstLine="482" w:firstLineChars="200"/>
        <w:rPr>
          <w:rFonts w:ascii="宋体" w:hAnsi="宋体" w:eastAsia="宋体"/>
          <w:color w:val="auto"/>
          <w:sz w:val="24"/>
          <w:highlight w:val="none"/>
        </w:rPr>
      </w:pPr>
      <w:r>
        <w:rPr>
          <w:rFonts w:hint="eastAsia" w:ascii="宋体" w:hAnsi="宋体" w:eastAsia="宋体"/>
          <w:b/>
          <w:bCs/>
          <w:color w:val="auto"/>
          <w:sz w:val="24"/>
          <w:szCs w:val="28"/>
          <w:highlight w:val="none"/>
        </w:rPr>
        <w:t>1.本表内容根据磋商文件要求包括了服务及其配套的采购、制造、检测、试验、运输、保险、仓储、税费以及现场落地、安装及安装耗损、调试、培训、技术服务质保期内的售后服务保障等所有费用。</w:t>
      </w:r>
    </w:p>
    <w:p w14:paraId="3EA70ECA">
      <w:pPr>
        <w:adjustRightInd w:val="0"/>
        <w:snapToGrid w:val="0"/>
        <w:spacing w:line="360" w:lineRule="auto"/>
        <w:ind w:firstLine="482" w:firstLineChars="200"/>
        <w:rPr>
          <w:rFonts w:ascii="宋体" w:hAnsi="宋体" w:eastAsia="宋体"/>
          <w:b/>
          <w:bCs/>
          <w:color w:val="auto"/>
          <w:sz w:val="24"/>
          <w:szCs w:val="28"/>
          <w:highlight w:val="none"/>
        </w:rPr>
      </w:pPr>
      <w:r>
        <w:rPr>
          <w:rFonts w:hint="eastAsia" w:ascii="宋体" w:hAnsi="宋体" w:eastAsia="宋体"/>
          <w:b/>
          <w:bCs/>
          <w:color w:val="auto"/>
          <w:sz w:val="24"/>
          <w:szCs w:val="28"/>
          <w:highlight w:val="none"/>
        </w:rPr>
        <w:t>2.特殊事项在备注中注明。</w:t>
      </w:r>
    </w:p>
    <w:p w14:paraId="22822C07">
      <w:pPr>
        <w:adjustRightInd w:val="0"/>
        <w:snapToGrid w:val="0"/>
        <w:spacing w:line="360" w:lineRule="auto"/>
        <w:ind w:firstLine="482" w:firstLineChars="200"/>
        <w:rPr>
          <w:rFonts w:hint="default" w:ascii="宋体" w:hAnsi="宋体" w:eastAsia="宋体"/>
          <w:b/>
          <w:bCs/>
          <w:color w:val="auto"/>
          <w:sz w:val="24"/>
          <w:szCs w:val="28"/>
          <w:highlight w:val="none"/>
          <w:lang w:val="en-US" w:eastAsia="zh-CN"/>
        </w:rPr>
      </w:pPr>
      <w:r>
        <w:rPr>
          <w:rFonts w:hint="eastAsia" w:ascii="宋体" w:hAnsi="宋体" w:eastAsia="宋体"/>
          <w:b/>
          <w:bCs/>
          <w:color w:val="auto"/>
          <w:sz w:val="24"/>
          <w:szCs w:val="28"/>
          <w:highlight w:val="none"/>
          <w:lang w:val="en-US" w:eastAsia="zh-CN"/>
        </w:rPr>
        <w:t>3</w:t>
      </w:r>
      <w:r>
        <w:rPr>
          <w:rFonts w:hint="eastAsia" w:ascii="宋体" w:hAnsi="宋体" w:eastAsia="宋体"/>
          <w:b/>
          <w:bCs/>
          <w:color w:val="auto"/>
          <w:sz w:val="24"/>
          <w:szCs w:val="28"/>
          <w:highlight w:val="none"/>
        </w:rPr>
        <w:t>.表中大写金额与小写金额不一致的，以大写金额为准。</w:t>
      </w:r>
    </w:p>
    <w:p w14:paraId="3D78A417">
      <w:pPr>
        <w:widowControl/>
        <w:jc w:val="left"/>
        <w:rPr>
          <w:rFonts w:ascii="宋体" w:hAnsi="宋体" w:eastAsia="宋体"/>
          <w:b/>
          <w:bCs/>
          <w:color w:val="auto"/>
          <w:sz w:val="24"/>
          <w:szCs w:val="28"/>
          <w:highlight w:val="none"/>
        </w:rPr>
      </w:pPr>
      <w:r>
        <w:rPr>
          <w:rFonts w:ascii="宋体" w:hAnsi="宋体" w:eastAsia="宋体"/>
          <w:b/>
          <w:bCs/>
          <w:color w:val="auto"/>
          <w:sz w:val="24"/>
          <w:szCs w:val="28"/>
          <w:highlight w:val="none"/>
        </w:rPr>
        <w:br w:type="page"/>
      </w:r>
    </w:p>
    <w:p w14:paraId="3F6950F1">
      <w:pPr>
        <w:spacing w:before="156" w:beforeLines="50" w:after="156" w:afterLines="50" w:line="360" w:lineRule="auto"/>
        <w:jc w:val="center"/>
        <w:outlineLvl w:val="2"/>
        <w:rPr>
          <w:rFonts w:hint="eastAsia" w:ascii="宋体" w:hAnsi="宋体"/>
          <w:b/>
          <w:bCs/>
          <w:highlight w:val="none"/>
          <w:lang w:val="en-US" w:eastAsia="zh-CN"/>
        </w:rPr>
      </w:pPr>
      <w:r>
        <w:rPr>
          <w:rFonts w:hint="eastAsia" w:ascii="宋体" w:hAnsi="宋体" w:eastAsia="宋体"/>
          <w:b/>
          <w:sz w:val="24"/>
          <w:szCs w:val="28"/>
          <w:highlight w:val="none"/>
          <w:lang w:eastAsia="zh-CN"/>
        </w:rPr>
        <w:t>（</w:t>
      </w:r>
      <w:r>
        <w:rPr>
          <w:rFonts w:hint="eastAsia" w:ascii="宋体" w:hAnsi="宋体" w:eastAsia="宋体"/>
          <w:b/>
          <w:sz w:val="24"/>
          <w:szCs w:val="28"/>
          <w:highlight w:val="none"/>
          <w:lang w:val="en-US" w:eastAsia="zh-CN"/>
        </w:rPr>
        <w:t>2</w:t>
      </w:r>
      <w:r>
        <w:rPr>
          <w:rFonts w:hint="eastAsia" w:ascii="宋体" w:hAnsi="宋体" w:eastAsia="宋体"/>
          <w:b/>
          <w:sz w:val="24"/>
          <w:szCs w:val="28"/>
          <w:highlight w:val="none"/>
          <w:lang w:eastAsia="zh-CN"/>
        </w:rPr>
        <w:t>）</w:t>
      </w:r>
      <w:r>
        <w:rPr>
          <w:rFonts w:hint="eastAsia" w:ascii="宋体" w:hAnsi="宋体" w:eastAsia="宋体"/>
          <w:b/>
          <w:sz w:val="24"/>
          <w:szCs w:val="28"/>
          <w:highlight w:val="none"/>
        </w:rPr>
        <w:t>分项报价明细表</w:t>
      </w:r>
    </w:p>
    <w:tbl>
      <w:tblPr>
        <w:tblStyle w:val="66"/>
        <w:tblW w:w="482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68"/>
        <w:gridCol w:w="984"/>
        <w:gridCol w:w="1722"/>
        <w:gridCol w:w="1410"/>
        <w:gridCol w:w="2038"/>
        <w:gridCol w:w="906"/>
      </w:tblGrid>
      <w:tr w14:paraId="2F222D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18139C38">
            <w:pPr>
              <w:pStyle w:val="67"/>
              <w:keepNext w:val="0"/>
              <w:keepLines w:val="0"/>
              <w:pageBreakBefore w:val="0"/>
              <w:widowControl w:val="0"/>
              <w:kinsoku/>
              <w:wordWrap/>
              <w:overflowPunct/>
              <w:topLinePunct w:val="0"/>
              <w:autoSpaceDE/>
              <w:autoSpaceDN/>
              <w:bidi w:val="0"/>
              <w:adjustRightInd/>
              <w:snapToGrid/>
              <w:spacing w:before="78" w:line="240" w:lineRule="auto"/>
              <w:ind w:left="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en-US" w:bidi="ar-SA"/>
              </w:rPr>
              <w:t>序号</w:t>
            </w:r>
          </w:p>
        </w:tc>
        <w:tc>
          <w:tcPr>
            <w:tcW w:w="613" w:type="pct"/>
            <w:noWrap w:val="0"/>
            <w:vAlign w:val="center"/>
          </w:tcPr>
          <w:p w14:paraId="58A10A47">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电梯编号</w:t>
            </w:r>
          </w:p>
        </w:tc>
        <w:tc>
          <w:tcPr>
            <w:tcW w:w="1070" w:type="pct"/>
            <w:noWrap w:val="0"/>
            <w:vAlign w:val="center"/>
          </w:tcPr>
          <w:p w14:paraId="1C037BC8">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en-US" w:bidi="ar-SA"/>
              </w:rPr>
              <w:t>使用单位名称和</w:t>
            </w:r>
            <w:r>
              <w:rPr>
                <w:rFonts w:hint="eastAsia" w:ascii="宋体" w:hAnsi="宋体" w:eastAsia="宋体" w:cs="宋体"/>
                <w:spacing w:val="-2"/>
                <w:sz w:val="18"/>
                <w:szCs w:val="18"/>
                <w:lang w:val="en-US" w:eastAsia="en-US"/>
              </w:rPr>
              <w:t>地址</w:t>
            </w:r>
          </w:p>
        </w:tc>
        <w:tc>
          <w:tcPr>
            <w:tcW w:w="878" w:type="pct"/>
            <w:shd w:val="clear" w:color="auto" w:fill="auto"/>
            <w:noWrap w:val="0"/>
            <w:vAlign w:val="center"/>
          </w:tcPr>
          <w:p w14:paraId="0E940FC1">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en-US" w:bidi="ar-SA"/>
              </w:rPr>
              <w:t>数量</w:t>
            </w:r>
            <w:r>
              <w:rPr>
                <w:rFonts w:hint="eastAsia" w:ascii="宋体" w:hAnsi="宋体" w:eastAsia="宋体" w:cs="宋体"/>
                <w:spacing w:val="-2"/>
                <w:kern w:val="2"/>
                <w:sz w:val="18"/>
                <w:szCs w:val="18"/>
                <w:lang w:val="en-US" w:eastAsia="zh-CN" w:bidi="ar-SA"/>
              </w:rPr>
              <w:t>（台）</w:t>
            </w:r>
          </w:p>
        </w:tc>
        <w:tc>
          <w:tcPr>
            <w:tcW w:w="1269" w:type="pct"/>
            <w:noWrap w:val="0"/>
            <w:vAlign w:val="center"/>
          </w:tcPr>
          <w:p w14:paraId="13E4F39C">
            <w:pPr>
              <w:pStyle w:val="67"/>
              <w:spacing w:before="78" w:line="240" w:lineRule="auto"/>
              <w:jc w:val="center"/>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报价（元/年）</w:t>
            </w:r>
          </w:p>
        </w:tc>
        <w:tc>
          <w:tcPr>
            <w:tcW w:w="564" w:type="pct"/>
            <w:noWrap w:val="0"/>
            <w:vAlign w:val="center"/>
          </w:tcPr>
          <w:p w14:paraId="037DC7C0">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备注</w:t>
            </w:r>
          </w:p>
        </w:tc>
      </w:tr>
      <w:tr w14:paraId="60ABE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038A695C">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w:t>
            </w:r>
          </w:p>
        </w:tc>
        <w:tc>
          <w:tcPr>
            <w:tcW w:w="613" w:type="pct"/>
            <w:noWrap w:val="0"/>
            <w:vAlign w:val="center"/>
          </w:tcPr>
          <w:p w14:paraId="7A73671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w:t>
            </w:r>
          </w:p>
        </w:tc>
        <w:tc>
          <w:tcPr>
            <w:tcW w:w="1070" w:type="pct"/>
            <w:noWrap w:val="0"/>
            <w:vAlign w:val="center"/>
          </w:tcPr>
          <w:p w14:paraId="0B34DFC9">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16515CB7">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485224A7">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p>
        </w:tc>
        <w:tc>
          <w:tcPr>
            <w:tcW w:w="564" w:type="pct"/>
            <w:noWrap w:val="0"/>
            <w:vAlign w:val="center"/>
          </w:tcPr>
          <w:p w14:paraId="0802F1C8">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p>
        </w:tc>
      </w:tr>
      <w:tr w14:paraId="788CE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03" w:type="pct"/>
            <w:noWrap w:val="0"/>
            <w:vAlign w:val="center"/>
          </w:tcPr>
          <w:p w14:paraId="65EA41D8">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w:t>
            </w:r>
          </w:p>
        </w:tc>
        <w:tc>
          <w:tcPr>
            <w:tcW w:w="613" w:type="pct"/>
            <w:noWrap w:val="0"/>
            <w:vAlign w:val="center"/>
          </w:tcPr>
          <w:p w14:paraId="479A901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w:t>
            </w:r>
          </w:p>
        </w:tc>
        <w:tc>
          <w:tcPr>
            <w:tcW w:w="1070" w:type="pct"/>
            <w:noWrap w:val="0"/>
            <w:vAlign w:val="center"/>
          </w:tcPr>
          <w:p w14:paraId="73C5B5D3">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349AB35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47FFFF05">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7EDDB96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8826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3C4594F6">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3</w:t>
            </w:r>
          </w:p>
        </w:tc>
        <w:tc>
          <w:tcPr>
            <w:tcW w:w="613" w:type="pct"/>
            <w:noWrap w:val="0"/>
            <w:vAlign w:val="center"/>
          </w:tcPr>
          <w:p w14:paraId="33B506DD">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DT3</w:t>
            </w:r>
          </w:p>
        </w:tc>
        <w:tc>
          <w:tcPr>
            <w:tcW w:w="1070" w:type="pct"/>
            <w:noWrap w:val="0"/>
            <w:vAlign w:val="center"/>
          </w:tcPr>
          <w:p w14:paraId="2CE8EE54">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36C514C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09721EAA">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EBC319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CAB3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736A6518">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4</w:t>
            </w:r>
          </w:p>
        </w:tc>
        <w:tc>
          <w:tcPr>
            <w:tcW w:w="613" w:type="pct"/>
            <w:noWrap w:val="0"/>
            <w:vAlign w:val="center"/>
          </w:tcPr>
          <w:p w14:paraId="112BAFD5">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DT4</w:t>
            </w:r>
          </w:p>
        </w:tc>
        <w:tc>
          <w:tcPr>
            <w:tcW w:w="1070" w:type="pct"/>
            <w:shd w:val="clear" w:color="auto" w:fill="auto"/>
            <w:noWrap w:val="0"/>
            <w:vAlign w:val="center"/>
          </w:tcPr>
          <w:p w14:paraId="2D9EB409">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29419E7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1B743719">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28702CA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505AF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155DAF79">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5</w:t>
            </w:r>
          </w:p>
        </w:tc>
        <w:tc>
          <w:tcPr>
            <w:tcW w:w="613" w:type="pct"/>
            <w:noWrap w:val="0"/>
            <w:vAlign w:val="center"/>
          </w:tcPr>
          <w:p w14:paraId="1234D9B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DT5</w:t>
            </w:r>
          </w:p>
        </w:tc>
        <w:tc>
          <w:tcPr>
            <w:tcW w:w="1070" w:type="pct"/>
            <w:shd w:val="clear" w:color="auto" w:fill="auto"/>
            <w:noWrap w:val="0"/>
            <w:vAlign w:val="center"/>
          </w:tcPr>
          <w:p w14:paraId="7290D22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0883A46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8468756">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0E15A2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5AEA4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08E5BE65">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6</w:t>
            </w:r>
          </w:p>
        </w:tc>
        <w:tc>
          <w:tcPr>
            <w:tcW w:w="613" w:type="pct"/>
            <w:noWrap w:val="0"/>
            <w:vAlign w:val="center"/>
          </w:tcPr>
          <w:p w14:paraId="30B4D8F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DT6</w:t>
            </w:r>
          </w:p>
        </w:tc>
        <w:tc>
          <w:tcPr>
            <w:tcW w:w="1070" w:type="pct"/>
            <w:shd w:val="clear" w:color="auto" w:fill="auto"/>
            <w:noWrap w:val="0"/>
            <w:vAlign w:val="center"/>
          </w:tcPr>
          <w:p w14:paraId="016E9F72">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01384A02">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35E262E4">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F599E8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2BF95E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2AE3BA5F">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7</w:t>
            </w:r>
          </w:p>
        </w:tc>
        <w:tc>
          <w:tcPr>
            <w:tcW w:w="613" w:type="pct"/>
            <w:noWrap w:val="0"/>
            <w:vAlign w:val="center"/>
          </w:tcPr>
          <w:p w14:paraId="426D5F5D">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DT7</w:t>
            </w:r>
          </w:p>
        </w:tc>
        <w:tc>
          <w:tcPr>
            <w:tcW w:w="1070" w:type="pct"/>
            <w:shd w:val="clear" w:color="auto" w:fill="auto"/>
            <w:noWrap w:val="0"/>
            <w:vAlign w:val="center"/>
          </w:tcPr>
          <w:p w14:paraId="1FFFB6B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5BD0958B">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133F56D0">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6B1D02F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46C64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060C890E">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8</w:t>
            </w:r>
          </w:p>
        </w:tc>
        <w:tc>
          <w:tcPr>
            <w:tcW w:w="613" w:type="pct"/>
            <w:noWrap w:val="0"/>
            <w:vAlign w:val="center"/>
          </w:tcPr>
          <w:p w14:paraId="42CA478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DT8</w:t>
            </w:r>
          </w:p>
        </w:tc>
        <w:tc>
          <w:tcPr>
            <w:tcW w:w="1070" w:type="pct"/>
            <w:shd w:val="clear" w:color="auto" w:fill="auto"/>
            <w:noWrap w:val="0"/>
            <w:vAlign w:val="center"/>
          </w:tcPr>
          <w:p w14:paraId="0A83543E">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02D8ABC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56BABFC">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BA4114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25ACC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2BDDD980">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9</w:t>
            </w:r>
          </w:p>
        </w:tc>
        <w:tc>
          <w:tcPr>
            <w:tcW w:w="613" w:type="pct"/>
            <w:noWrap w:val="0"/>
            <w:vAlign w:val="center"/>
          </w:tcPr>
          <w:p w14:paraId="42D8AB65">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DT9</w:t>
            </w:r>
          </w:p>
        </w:tc>
        <w:tc>
          <w:tcPr>
            <w:tcW w:w="1070" w:type="pct"/>
            <w:shd w:val="clear" w:color="auto" w:fill="auto"/>
            <w:noWrap w:val="0"/>
            <w:vAlign w:val="center"/>
          </w:tcPr>
          <w:p w14:paraId="4DF4BF87">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4B35880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99DBAE9">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5151A5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51A8F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3A3B23E8">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10</w:t>
            </w:r>
          </w:p>
        </w:tc>
        <w:tc>
          <w:tcPr>
            <w:tcW w:w="613" w:type="pct"/>
            <w:noWrap w:val="0"/>
            <w:vAlign w:val="center"/>
          </w:tcPr>
          <w:p w14:paraId="7443CAFC">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DT10</w:t>
            </w:r>
          </w:p>
        </w:tc>
        <w:tc>
          <w:tcPr>
            <w:tcW w:w="1070" w:type="pct"/>
            <w:shd w:val="clear" w:color="auto" w:fill="auto"/>
            <w:noWrap w:val="0"/>
            <w:vAlign w:val="center"/>
          </w:tcPr>
          <w:p w14:paraId="1ED2FDD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4946C9E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22CBD4C9">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1371767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1FD13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1EB8DF02">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11</w:t>
            </w:r>
          </w:p>
        </w:tc>
        <w:tc>
          <w:tcPr>
            <w:tcW w:w="613" w:type="pct"/>
            <w:noWrap w:val="0"/>
            <w:vAlign w:val="center"/>
          </w:tcPr>
          <w:p w14:paraId="72065F62">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DT11</w:t>
            </w:r>
          </w:p>
        </w:tc>
        <w:tc>
          <w:tcPr>
            <w:tcW w:w="1070" w:type="pct"/>
            <w:shd w:val="clear" w:color="auto" w:fill="auto"/>
            <w:noWrap w:val="0"/>
            <w:vAlign w:val="center"/>
          </w:tcPr>
          <w:p w14:paraId="7A2B682A">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527D8DE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8C744F7">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705437F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46DCB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49CE4C68">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12</w:t>
            </w:r>
          </w:p>
        </w:tc>
        <w:tc>
          <w:tcPr>
            <w:tcW w:w="613" w:type="pct"/>
            <w:noWrap w:val="0"/>
            <w:vAlign w:val="center"/>
          </w:tcPr>
          <w:p w14:paraId="793B46A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DT12</w:t>
            </w:r>
          </w:p>
        </w:tc>
        <w:tc>
          <w:tcPr>
            <w:tcW w:w="1070" w:type="pct"/>
            <w:shd w:val="clear" w:color="auto" w:fill="auto"/>
            <w:noWrap w:val="0"/>
            <w:vAlign w:val="center"/>
          </w:tcPr>
          <w:p w14:paraId="556A8652">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4AAC043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375A98C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3585581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4664E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5AB55DF7">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13</w:t>
            </w:r>
          </w:p>
        </w:tc>
        <w:tc>
          <w:tcPr>
            <w:tcW w:w="613" w:type="pct"/>
            <w:noWrap w:val="0"/>
            <w:vAlign w:val="center"/>
          </w:tcPr>
          <w:p w14:paraId="20448AFE">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DT13</w:t>
            </w:r>
          </w:p>
        </w:tc>
        <w:tc>
          <w:tcPr>
            <w:tcW w:w="1070" w:type="pct"/>
            <w:shd w:val="clear" w:color="auto" w:fill="auto"/>
            <w:noWrap w:val="0"/>
            <w:vAlign w:val="center"/>
          </w:tcPr>
          <w:p w14:paraId="30911D5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2771AD4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04EE40D3">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04CD173">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427D1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3FC55719">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14</w:t>
            </w:r>
          </w:p>
        </w:tc>
        <w:tc>
          <w:tcPr>
            <w:tcW w:w="613" w:type="pct"/>
            <w:noWrap w:val="0"/>
            <w:vAlign w:val="center"/>
          </w:tcPr>
          <w:p w14:paraId="2569E0BB">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DT14</w:t>
            </w:r>
          </w:p>
        </w:tc>
        <w:tc>
          <w:tcPr>
            <w:tcW w:w="1070" w:type="pct"/>
            <w:shd w:val="clear" w:color="auto" w:fill="auto"/>
            <w:noWrap w:val="0"/>
            <w:vAlign w:val="center"/>
          </w:tcPr>
          <w:p w14:paraId="367B940D">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01B13A34">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1A383697">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2DD82EF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0B8EB6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1F755A36">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15</w:t>
            </w:r>
          </w:p>
        </w:tc>
        <w:tc>
          <w:tcPr>
            <w:tcW w:w="613" w:type="pct"/>
            <w:noWrap w:val="0"/>
            <w:vAlign w:val="center"/>
          </w:tcPr>
          <w:p w14:paraId="1EEB53EA">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DT15</w:t>
            </w:r>
          </w:p>
        </w:tc>
        <w:tc>
          <w:tcPr>
            <w:tcW w:w="1070" w:type="pct"/>
            <w:shd w:val="clear" w:color="auto" w:fill="auto"/>
            <w:noWrap w:val="0"/>
            <w:vAlign w:val="center"/>
          </w:tcPr>
          <w:p w14:paraId="75945AA5">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3D09071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F41CC2D">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D63A4B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0988E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2C6630ED">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16</w:t>
            </w:r>
          </w:p>
        </w:tc>
        <w:tc>
          <w:tcPr>
            <w:tcW w:w="613" w:type="pct"/>
            <w:noWrap w:val="0"/>
            <w:vAlign w:val="center"/>
          </w:tcPr>
          <w:p w14:paraId="03717D6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DT16</w:t>
            </w:r>
          </w:p>
        </w:tc>
        <w:tc>
          <w:tcPr>
            <w:tcW w:w="1070" w:type="pct"/>
            <w:shd w:val="clear" w:color="auto" w:fill="auto"/>
            <w:noWrap w:val="0"/>
            <w:vAlign w:val="center"/>
          </w:tcPr>
          <w:p w14:paraId="7BFADBC4">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02175287">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0593821">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6E6E08C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19F87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3201C67F">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17</w:t>
            </w:r>
          </w:p>
        </w:tc>
        <w:tc>
          <w:tcPr>
            <w:tcW w:w="613" w:type="pct"/>
            <w:noWrap w:val="0"/>
            <w:vAlign w:val="center"/>
          </w:tcPr>
          <w:p w14:paraId="53517EE2">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DT17西</w:t>
            </w:r>
          </w:p>
        </w:tc>
        <w:tc>
          <w:tcPr>
            <w:tcW w:w="1070" w:type="pct"/>
            <w:shd w:val="clear" w:color="auto" w:fill="auto"/>
            <w:noWrap w:val="0"/>
            <w:vAlign w:val="center"/>
          </w:tcPr>
          <w:p w14:paraId="3980290C">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C09815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0E7A4D63">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2F131C0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4AD5D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0672B321">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18</w:t>
            </w:r>
          </w:p>
        </w:tc>
        <w:tc>
          <w:tcPr>
            <w:tcW w:w="613" w:type="pct"/>
            <w:noWrap w:val="0"/>
            <w:vAlign w:val="center"/>
          </w:tcPr>
          <w:p w14:paraId="7F01FF29">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DT8西</w:t>
            </w:r>
          </w:p>
        </w:tc>
        <w:tc>
          <w:tcPr>
            <w:tcW w:w="1070" w:type="pct"/>
            <w:shd w:val="clear" w:color="auto" w:fill="auto"/>
            <w:noWrap w:val="0"/>
            <w:vAlign w:val="center"/>
          </w:tcPr>
          <w:p w14:paraId="2EAEBC7E">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5618781">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137CB10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697A3834">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4C7CB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415CF34E">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19</w:t>
            </w:r>
          </w:p>
        </w:tc>
        <w:tc>
          <w:tcPr>
            <w:tcW w:w="613" w:type="pct"/>
            <w:noWrap w:val="0"/>
            <w:vAlign w:val="center"/>
          </w:tcPr>
          <w:p w14:paraId="7370A860">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DT19西</w:t>
            </w:r>
          </w:p>
        </w:tc>
        <w:tc>
          <w:tcPr>
            <w:tcW w:w="1070" w:type="pct"/>
            <w:shd w:val="clear" w:color="auto" w:fill="auto"/>
            <w:noWrap w:val="0"/>
            <w:vAlign w:val="center"/>
          </w:tcPr>
          <w:p w14:paraId="33B95ACE">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30A3A71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71ED3FA8">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618B107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7299B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2E88B829">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20</w:t>
            </w:r>
          </w:p>
        </w:tc>
        <w:tc>
          <w:tcPr>
            <w:tcW w:w="613" w:type="pct"/>
            <w:noWrap w:val="0"/>
            <w:vAlign w:val="center"/>
          </w:tcPr>
          <w:p w14:paraId="1B652D2C">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DT20东</w:t>
            </w:r>
          </w:p>
        </w:tc>
        <w:tc>
          <w:tcPr>
            <w:tcW w:w="1070" w:type="pct"/>
            <w:shd w:val="clear" w:color="auto" w:fill="auto"/>
            <w:noWrap w:val="0"/>
            <w:vAlign w:val="center"/>
          </w:tcPr>
          <w:p w14:paraId="1A01EBCF">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1B04032F">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F9F5BE2">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2D389A4">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7A280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7E1C764B">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21</w:t>
            </w:r>
          </w:p>
        </w:tc>
        <w:tc>
          <w:tcPr>
            <w:tcW w:w="613" w:type="pct"/>
            <w:noWrap w:val="0"/>
            <w:vAlign w:val="center"/>
          </w:tcPr>
          <w:p w14:paraId="207E463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DT21东</w:t>
            </w:r>
          </w:p>
        </w:tc>
        <w:tc>
          <w:tcPr>
            <w:tcW w:w="1070" w:type="pct"/>
            <w:shd w:val="clear" w:color="auto" w:fill="auto"/>
            <w:noWrap w:val="0"/>
            <w:vAlign w:val="center"/>
          </w:tcPr>
          <w:p w14:paraId="5AD710E1">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0FF6AA8">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D973CE0">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47A25F3">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345D3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5ABA1F95">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22</w:t>
            </w:r>
          </w:p>
        </w:tc>
        <w:tc>
          <w:tcPr>
            <w:tcW w:w="613" w:type="pct"/>
            <w:noWrap w:val="0"/>
            <w:vAlign w:val="center"/>
          </w:tcPr>
          <w:p w14:paraId="205EC6B9">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DT22东</w:t>
            </w:r>
          </w:p>
        </w:tc>
        <w:tc>
          <w:tcPr>
            <w:tcW w:w="1070" w:type="pct"/>
            <w:shd w:val="clear" w:color="auto" w:fill="auto"/>
            <w:noWrap w:val="0"/>
            <w:vAlign w:val="center"/>
          </w:tcPr>
          <w:p w14:paraId="0F8E87A4">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F6B9B32">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057801DB">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F080AF9">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79CE08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288" w:type="pct"/>
            <w:gridSpan w:val="3"/>
            <w:noWrap w:val="0"/>
            <w:vAlign w:val="center"/>
          </w:tcPr>
          <w:p w14:paraId="1D1E340B">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投标总报价（序号1-22合计）</w:t>
            </w:r>
          </w:p>
        </w:tc>
        <w:tc>
          <w:tcPr>
            <w:tcW w:w="2711" w:type="pct"/>
            <w:gridSpan w:val="3"/>
            <w:shd w:val="clear" w:color="auto" w:fill="auto"/>
            <w:noWrap w:val="0"/>
            <w:vAlign w:val="center"/>
          </w:tcPr>
          <w:p w14:paraId="21B1DF3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宋体" w:hAnsi="宋体" w:eastAsia="宋体" w:cs="宋体"/>
                <w:spacing w:val="-2"/>
                <w:sz w:val="18"/>
                <w:szCs w:val="18"/>
                <w:u w:val="single"/>
                <w:lang w:val="en-US" w:eastAsia="zh-CN"/>
              </w:rPr>
            </w:pPr>
            <w:r>
              <w:rPr>
                <w:rFonts w:hint="eastAsia" w:ascii="宋体" w:hAnsi="宋体" w:eastAsia="宋体" w:cs="宋体"/>
                <w:spacing w:val="-2"/>
                <w:sz w:val="18"/>
                <w:szCs w:val="18"/>
                <w:u w:val="single"/>
                <w:lang w:val="en-US" w:eastAsia="zh-CN"/>
              </w:rPr>
              <w:t xml:space="preserve">  大写：           /年（小写            元/年）  </w:t>
            </w:r>
          </w:p>
        </w:tc>
      </w:tr>
    </w:tbl>
    <w:p w14:paraId="7BBF2F28">
      <w:pPr>
        <w:spacing w:line="360" w:lineRule="auto"/>
        <w:rPr>
          <w:rFonts w:hint="default" w:ascii="宋体" w:hAnsi="宋体" w:eastAsia="宋体"/>
          <w:color w:val="auto"/>
          <w:sz w:val="24"/>
          <w:highlight w:val="none"/>
          <w:lang w:val="en-US" w:eastAsia="zh-CN"/>
        </w:rPr>
      </w:pPr>
    </w:p>
    <w:p w14:paraId="0AB78D99">
      <w:pPr>
        <w:spacing w:line="360" w:lineRule="auto"/>
        <w:ind w:firstLine="4800" w:firstLineChars="2000"/>
        <w:rPr>
          <w:rFonts w:hint="default" w:ascii="宋体" w:hAnsi="宋体" w:eastAsia="宋体"/>
          <w:color w:val="auto"/>
          <w:sz w:val="24"/>
          <w:highlight w:val="none"/>
          <w:u w:val="single"/>
          <w:lang w:val="en-US" w:eastAsia="zh-CN"/>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u w:val="single"/>
          <w:lang w:val="en-US" w:eastAsia="zh-CN"/>
        </w:rPr>
        <w:t xml:space="preserve">   </w:t>
      </w:r>
    </w:p>
    <w:p w14:paraId="1F352856">
      <w:pPr>
        <w:tabs>
          <w:tab w:val="left" w:pos="630"/>
        </w:tabs>
        <w:spacing w:line="360" w:lineRule="auto"/>
        <w:ind w:firstLine="4800" w:firstLineChars="2000"/>
        <w:rPr>
          <w:rFonts w:ascii="宋体" w:hAnsi="宋体" w:eastAsia="宋体"/>
          <w:sz w:val="24"/>
          <w:highlight w:val="non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2FEFAA11">
      <w:pPr>
        <w:widowControl/>
        <w:jc w:val="left"/>
        <w:rPr>
          <w:rFonts w:ascii="宋体" w:hAnsi="宋体" w:eastAsia="宋体"/>
          <w:b/>
          <w:bCs/>
          <w:color w:val="auto"/>
          <w:sz w:val="24"/>
          <w:szCs w:val="28"/>
          <w:highlight w:val="none"/>
        </w:rPr>
      </w:pPr>
      <w:r>
        <w:rPr>
          <w:rFonts w:ascii="宋体" w:hAnsi="宋体" w:eastAsia="宋体"/>
          <w:b/>
          <w:bCs/>
          <w:color w:val="auto"/>
          <w:sz w:val="24"/>
          <w:szCs w:val="28"/>
          <w:highlight w:val="none"/>
        </w:rPr>
        <w:br w:type="page"/>
      </w:r>
    </w:p>
    <w:p w14:paraId="68A4208E">
      <w:pPr>
        <w:spacing w:line="360" w:lineRule="auto"/>
        <w:jc w:val="center"/>
        <w:outlineLvl w:val="1"/>
        <w:rPr>
          <w:rFonts w:asciiTheme="minorEastAsia" w:hAnsiTheme="minorEastAsia" w:eastAsiaTheme="minorEastAsia"/>
          <w:b/>
          <w:color w:val="auto"/>
          <w:sz w:val="24"/>
          <w:highlight w:val="none"/>
        </w:rPr>
      </w:pPr>
      <w:bookmarkStart w:id="220" w:name="_Toc32436"/>
      <w:bookmarkStart w:id="221" w:name="_Toc520983588"/>
      <w:bookmarkStart w:id="222" w:name="_Toc28695"/>
      <w:r>
        <w:rPr>
          <w:rFonts w:hint="eastAsia" w:asciiTheme="minorEastAsia" w:hAnsiTheme="minorEastAsia" w:eastAsiaTheme="minorEastAsia"/>
          <w:b/>
          <w:color w:val="auto"/>
          <w:sz w:val="24"/>
          <w:highlight w:val="none"/>
          <w:lang w:val="en-US" w:eastAsia="zh-CN"/>
        </w:rPr>
        <w:t>8</w:t>
      </w:r>
      <w:r>
        <w:rPr>
          <w:rFonts w:hint="eastAsia" w:asciiTheme="minorEastAsia" w:hAnsiTheme="minorEastAsia" w:eastAsiaTheme="minorEastAsia"/>
          <w:b/>
          <w:color w:val="auto"/>
          <w:sz w:val="24"/>
          <w:highlight w:val="none"/>
        </w:rPr>
        <w:t>、最后承诺报价表</w:t>
      </w:r>
      <w:bookmarkEnd w:id="220"/>
      <w:bookmarkEnd w:id="221"/>
      <w:bookmarkEnd w:id="222"/>
    </w:p>
    <w:p w14:paraId="7E649E58">
      <w:pPr>
        <w:spacing w:before="156" w:beforeLines="50" w:after="156" w:afterLines="50" w:line="360" w:lineRule="auto"/>
        <w:ind w:firstLine="236" w:firstLineChars="98"/>
        <w:jc w:val="center"/>
        <w:rPr>
          <w:rFonts w:ascii="宋体" w:hAnsi="宋体" w:eastAsia="宋体"/>
          <w:b/>
          <w:color w:val="auto"/>
          <w:sz w:val="24"/>
          <w:szCs w:val="28"/>
          <w:highlight w:val="none"/>
        </w:rPr>
      </w:pPr>
      <w:r>
        <w:rPr>
          <w:rFonts w:hint="eastAsia" w:ascii="宋体" w:hAnsi="宋体" w:eastAsia="宋体"/>
          <w:b/>
          <w:color w:val="auto"/>
          <w:sz w:val="24"/>
          <w:szCs w:val="28"/>
          <w:highlight w:val="none"/>
        </w:rPr>
        <w:t>（第</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2</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rPr>
        <w:t>次报价书）</w:t>
      </w:r>
    </w:p>
    <w:p w14:paraId="2EFB6541">
      <w:pPr>
        <w:snapToGrid w:val="0"/>
        <w:spacing w:line="360" w:lineRule="auto"/>
        <w:jc w:val="left"/>
        <w:rPr>
          <w:rFonts w:hint="eastAsia" w:ascii="宋体" w:hAnsi="宋体" w:eastAsia="宋体"/>
          <w:b/>
          <w:color w:val="auto"/>
          <w:sz w:val="24"/>
          <w:szCs w:val="28"/>
          <w:highlight w:val="none"/>
        </w:rPr>
      </w:pPr>
    </w:p>
    <w:p w14:paraId="17301FB5">
      <w:pPr>
        <w:snapToGrid w:val="0"/>
        <w:spacing w:line="360" w:lineRule="auto"/>
        <w:jc w:val="left"/>
        <w:rPr>
          <w:rFonts w:ascii="宋体" w:hAnsi="宋体" w:eastAsia="宋体"/>
          <w:b/>
          <w:color w:val="auto"/>
          <w:sz w:val="24"/>
          <w:szCs w:val="28"/>
          <w:highlight w:val="none"/>
        </w:rPr>
      </w:pPr>
      <w:r>
        <w:rPr>
          <w:rFonts w:hint="eastAsia" w:ascii="宋体" w:hAnsi="宋体" w:eastAsia="宋体"/>
          <w:b/>
          <w:color w:val="auto"/>
          <w:sz w:val="24"/>
          <w:szCs w:val="28"/>
          <w:highlight w:val="none"/>
        </w:rPr>
        <w:t>项目名称：</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p>
    <w:p w14:paraId="0B9F57D0">
      <w:pPr>
        <w:snapToGrid w:val="0"/>
        <w:spacing w:after="156" w:afterLines="50" w:line="360" w:lineRule="auto"/>
        <w:jc w:val="left"/>
        <w:rPr>
          <w:rFonts w:ascii="宋体" w:hAnsi="宋体" w:eastAsia="宋体"/>
          <w:b/>
          <w:bCs/>
          <w:color w:val="auto"/>
          <w:sz w:val="24"/>
          <w:szCs w:val="28"/>
          <w:highlight w:val="none"/>
          <w:u w:val="single"/>
        </w:rPr>
      </w:pPr>
      <w:r>
        <w:rPr>
          <w:rFonts w:hint="eastAsia" w:ascii="宋体" w:hAnsi="宋体" w:eastAsia="宋体"/>
          <w:b/>
          <w:color w:val="auto"/>
          <w:sz w:val="24"/>
          <w:szCs w:val="28"/>
          <w:highlight w:val="none"/>
        </w:rPr>
        <w:t>项目编号：</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296B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561E81EE">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供应商名称</w:t>
            </w:r>
          </w:p>
        </w:tc>
        <w:tc>
          <w:tcPr>
            <w:tcW w:w="3557" w:type="pct"/>
            <w:tcBorders>
              <w:left w:val="single" w:color="auto" w:sz="4" w:space="0"/>
            </w:tcBorders>
          </w:tcPr>
          <w:p w14:paraId="5E6FA8BC">
            <w:pPr>
              <w:spacing w:line="360" w:lineRule="auto"/>
              <w:rPr>
                <w:rFonts w:ascii="宋体" w:hAnsi="宋体" w:eastAsia="宋体"/>
                <w:b/>
                <w:color w:val="auto"/>
                <w:sz w:val="24"/>
                <w:highlight w:val="none"/>
              </w:rPr>
            </w:pPr>
          </w:p>
        </w:tc>
      </w:tr>
      <w:tr w14:paraId="3CBD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6D291E4F">
            <w:pPr>
              <w:spacing w:line="360" w:lineRule="exact"/>
              <w:jc w:val="center"/>
              <w:rPr>
                <w:rFonts w:ascii="宋体" w:hAnsi="宋体" w:eastAsia="宋体"/>
                <w:b/>
                <w:color w:val="auto"/>
                <w:sz w:val="24"/>
                <w:highlight w:val="none"/>
              </w:rPr>
            </w:pPr>
            <w:r>
              <w:rPr>
                <w:rFonts w:hint="eastAsia" w:ascii="宋体" w:hAnsi="宋体" w:eastAsia="宋体"/>
                <w:b/>
                <w:color w:val="auto"/>
                <w:sz w:val="24"/>
                <w:highlight w:val="none"/>
              </w:rPr>
              <w:t>磋商范围</w:t>
            </w:r>
          </w:p>
        </w:tc>
        <w:tc>
          <w:tcPr>
            <w:tcW w:w="3557" w:type="pct"/>
            <w:tcBorders>
              <w:left w:val="single" w:color="auto" w:sz="4" w:space="0"/>
            </w:tcBorders>
            <w:vAlign w:val="center"/>
          </w:tcPr>
          <w:p w14:paraId="1A8DBDF3">
            <w:pPr>
              <w:widowControl/>
              <w:spacing w:line="360" w:lineRule="exact"/>
              <w:rPr>
                <w:rFonts w:ascii="宋体" w:hAnsi="宋体" w:eastAsia="宋体"/>
                <w:b/>
                <w:color w:val="auto"/>
                <w:sz w:val="24"/>
                <w:highlight w:val="none"/>
              </w:rPr>
            </w:pPr>
            <w:r>
              <w:rPr>
                <w:rFonts w:hint="eastAsia" w:asciiTheme="minorEastAsia" w:hAnsiTheme="minorEastAsia" w:eastAsiaTheme="minorEastAsia"/>
                <w:color w:val="auto"/>
                <w:sz w:val="24"/>
                <w:szCs w:val="28"/>
                <w:highlight w:val="none"/>
              </w:rPr>
              <w:t xml:space="preserve">全部 </w:t>
            </w:r>
          </w:p>
        </w:tc>
      </w:tr>
      <w:tr w14:paraId="5656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4BC8B98B">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报价</w:t>
            </w:r>
          </w:p>
          <w:p w14:paraId="4C186E61">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（详见备注说明）</w:t>
            </w:r>
          </w:p>
        </w:tc>
        <w:tc>
          <w:tcPr>
            <w:tcW w:w="3557" w:type="pct"/>
            <w:vAlign w:val="center"/>
          </w:tcPr>
          <w:p w14:paraId="5FD1FD03">
            <w:pPr>
              <w:snapToGrid w:val="0"/>
              <w:spacing w:line="360" w:lineRule="auto"/>
              <w:rPr>
                <w:rFonts w:ascii="宋体" w:hAnsi="宋体" w:eastAsia="宋体"/>
                <w:color w:val="auto"/>
                <w:sz w:val="24"/>
                <w:szCs w:val="28"/>
                <w:highlight w:val="none"/>
              </w:rPr>
            </w:pPr>
          </w:p>
          <w:p w14:paraId="3B6638A3">
            <w:pPr>
              <w:snapToGrid w:val="0"/>
              <w:spacing w:line="360" w:lineRule="auto"/>
              <w:jc w:val="left"/>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/年</w:t>
            </w:r>
            <w:r>
              <w:rPr>
                <w:rFonts w:hint="eastAsia" w:ascii="宋体" w:hAnsi="宋体" w:eastAsia="宋体" w:cs="宋体"/>
                <w:bCs/>
                <w:color w:val="auto"/>
                <w:sz w:val="24"/>
                <w:szCs w:val="24"/>
                <w:highlight w:val="none"/>
                <w:u w:val="single"/>
              </w:rPr>
              <w:t xml:space="preserve">   </w:t>
            </w:r>
          </w:p>
          <w:p w14:paraId="1FDE5718">
            <w:pPr>
              <w:spacing w:line="360" w:lineRule="auto"/>
              <w:ind w:right="-670"/>
              <w:rPr>
                <w:rFonts w:hint="eastAsia" w:asciiTheme="minorEastAsia" w:hAnsiTheme="minorEastAsia" w:eastAsiaTheme="minorEastAsia"/>
                <w:color w:val="auto"/>
                <w:sz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/年</w:t>
            </w:r>
            <w:r>
              <w:rPr>
                <w:rFonts w:hint="eastAsia" w:ascii="宋体" w:hAnsi="宋体" w:eastAsia="宋体" w:cs="宋体"/>
                <w:bCs/>
                <w:color w:val="auto"/>
                <w:sz w:val="24"/>
                <w:szCs w:val="24"/>
                <w:highlight w:val="none"/>
                <w:u w:val="single"/>
              </w:rPr>
              <w:t xml:space="preserve">   </w:t>
            </w:r>
          </w:p>
          <w:p w14:paraId="18893029">
            <w:pPr>
              <w:snapToGrid w:val="0"/>
              <w:spacing w:line="360" w:lineRule="auto"/>
              <w:rPr>
                <w:rFonts w:ascii="宋体" w:hAnsi="宋体" w:eastAsia="宋体"/>
                <w:b/>
                <w:color w:val="auto"/>
                <w:sz w:val="24"/>
                <w:highlight w:val="none"/>
              </w:rPr>
            </w:pPr>
          </w:p>
        </w:tc>
      </w:tr>
      <w:tr w14:paraId="3A5A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443" w:type="pct"/>
            <w:vAlign w:val="center"/>
          </w:tcPr>
          <w:p w14:paraId="77497784">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备注说明</w:t>
            </w:r>
          </w:p>
        </w:tc>
        <w:tc>
          <w:tcPr>
            <w:tcW w:w="3557" w:type="pct"/>
          </w:tcPr>
          <w:p w14:paraId="3E356A3D">
            <w:pPr>
              <w:spacing w:line="360" w:lineRule="auto"/>
              <w:rPr>
                <w:rFonts w:ascii="宋体" w:hAnsi="宋体" w:eastAsia="宋体"/>
                <w:b/>
                <w:color w:val="auto"/>
                <w:sz w:val="24"/>
                <w:highlight w:val="none"/>
              </w:rPr>
            </w:pPr>
          </w:p>
        </w:tc>
      </w:tr>
    </w:tbl>
    <w:p w14:paraId="24F2B69F">
      <w:pPr>
        <w:spacing w:line="360" w:lineRule="auto"/>
        <w:ind w:firstLine="4800" w:firstLineChars="2000"/>
        <w:rPr>
          <w:rFonts w:ascii="宋体" w:hAnsi="宋体" w:eastAsia="宋体"/>
          <w:color w:val="auto"/>
          <w:sz w:val="24"/>
          <w:highlight w:val="none"/>
        </w:rPr>
      </w:pPr>
      <w:r>
        <w:rPr>
          <w:rFonts w:hint="eastAsia" w:ascii="宋体" w:hAnsi="宋体" w:eastAsia="宋体"/>
          <w:color w:val="auto"/>
          <w:sz w:val="24"/>
          <w:highlight w:val="none"/>
        </w:rPr>
        <w:t>供应商签章：</w:t>
      </w:r>
      <w:r>
        <w:rPr>
          <w:rFonts w:hint="eastAsia" w:ascii="宋体" w:hAnsi="宋体" w:eastAsia="宋体"/>
          <w:color w:val="auto"/>
          <w:sz w:val="24"/>
          <w:highlight w:val="none"/>
          <w:u w:val="single"/>
        </w:rPr>
        <w:t xml:space="preserve">             </w:t>
      </w:r>
    </w:p>
    <w:p w14:paraId="45B04E39">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p>
    <w:p w14:paraId="1C6116D0">
      <w:pPr>
        <w:snapToGrid w:val="0"/>
        <w:spacing w:line="360" w:lineRule="auto"/>
        <w:jc w:val="left"/>
        <w:rPr>
          <w:rFonts w:hint="eastAsia" w:ascii="宋体" w:hAnsi="宋体" w:eastAsia="宋体"/>
          <w:b/>
          <w:color w:val="auto"/>
          <w:sz w:val="24"/>
          <w:szCs w:val="28"/>
          <w:highlight w:val="none"/>
        </w:rPr>
      </w:pPr>
    </w:p>
    <w:p w14:paraId="70415931">
      <w:pPr>
        <w:spacing w:line="360" w:lineRule="auto"/>
        <w:jc w:val="left"/>
        <w:rPr>
          <w:rFonts w:hint="eastAsia" w:ascii="宋体" w:hAnsi="宋体" w:eastAsia="宋体"/>
          <w:b/>
          <w:bCs/>
          <w:color w:val="auto"/>
          <w:sz w:val="24"/>
          <w:highlight w:val="none"/>
        </w:rPr>
      </w:pPr>
      <w:r>
        <w:rPr>
          <w:rFonts w:hint="eastAsia" w:ascii="宋体" w:hAnsi="宋体" w:eastAsia="宋体"/>
          <w:b/>
          <w:bCs/>
          <w:color w:val="auto"/>
          <w:sz w:val="24"/>
          <w:highlight w:val="none"/>
        </w:rPr>
        <w:t>注：</w:t>
      </w:r>
    </w:p>
    <w:p w14:paraId="2E91F91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b/>
          <w:bCs/>
          <w:color w:val="auto"/>
          <w:sz w:val="24"/>
          <w:highlight w:val="none"/>
        </w:rPr>
      </w:pPr>
      <w:r>
        <w:rPr>
          <w:rFonts w:hint="eastAsia" w:ascii="宋体" w:hAnsi="宋体" w:eastAsia="宋体"/>
          <w:b/>
          <w:bCs/>
          <w:color w:val="auto"/>
          <w:sz w:val="24"/>
          <w:highlight w:val="none"/>
        </w:rPr>
        <w:t>本页《报价表》由供应商在接到报价通知后依据磋商情况填写,并在规定时间内提交。</w:t>
      </w:r>
    </w:p>
    <w:p w14:paraId="55C885D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eastAsia="宋体"/>
          <w:bCs/>
          <w:color w:val="auto"/>
          <w:sz w:val="24"/>
          <w:highlight w:val="none"/>
        </w:rPr>
      </w:pPr>
      <w:r>
        <w:rPr>
          <w:rFonts w:hint="eastAsia" w:ascii="宋体" w:hAnsi="宋体" w:eastAsia="宋体"/>
          <w:b/>
          <w:bCs/>
          <w:color w:val="auto"/>
          <w:sz w:val="24"/>
          <w:szCs w:val="28"/>
          <w:highlight w:val="none"/>
          <w:lang w:val="en-US" w:eastAsia="zh-CN"/>
        </w:rPr>
        <w:t>2</w:t>
      </w:r>
      <w:r>
        <w:rPr>
          <w:rFonts w:hint="eastAsia" w:ascii="宋体" w:hAnsi="宋体" w:eastAsia="宋体"/>
          <w:b/>
          <w:bCs/>
          <w:color w:val="auto"/>
          <w:sz w:val="24"/>
          <w:szCs w:val="28"/>
          <w:highlight w:val="none"/>
        </w:rPr>
        <w:t>.表中大写金额与小写金额不一致的，以大写金额为准。</w:t>
      </w:r>
    </w:p>
    <w:p w14:paraId="74523BB0">
      <w:pPr>
        <w:widowControl/>
        <w:jc w:val="left"/>
        <w:rPr>
          <w:rFonts w:ascii="宋体" w:hAnsi="宋体" w:eastAsia="宋体"/>
          <w:bCs/>
          <w:color w:val="auto"/>
          <w:sz w:val="24"/>
          <w:highlight w:val="none"/>
        </w:rPr>
      </w:pPr>
      <w:r>
        <w:rPr>
          <w:rFonts w:ascii="宋体" w:hAnsi="宋体" w:eastAsia="宋体"/>
          <w:bCs/>
          <w:color w:val="auto"/>
          <w:sz w:val="24"/>
          <w:highlight w:val="none"/>
        </w:rPr>
        <w:br w:type="page"/>
      </w:r>
    </w:p>
    <w:p w14:paraId="483F7F50">
      <w:pPr>
        <w:spacing w:before="156" w:beforeLines="50" w:after="156" w:afterLines="50" w:line="360" w:lineRule="auto"/>
        <w:jc w:val="center"/>
        <w:outlineLvl w:val="2"/>
        <w:rPr>
          <w:rFonts w:hint="eastAsia" w:ascii="宋体" w:hAnsi="宋体"/>
          <w:b/>
          <w:bCs/>
          <w:highlight w:val="none"/>
          <w:lang w:val="en-US" w:eastAsia="zh-CN"/>
        </w:rPr>
      </w:pPr>
      <w:r>
        <w:rPr>
          <w:rFonts w:hint="eastAsia" w:ascii="宋体" w:hAnsi="宋体" w:eastAsia="宋体"/>
          <w:b/>
          <w:sz w:val="24"/>
          <w:szCs w:val="28"/>
          <w:highlight w:val="none"/>
          <w:lang w:eastAsia="zh-CN"/>
        </w:rPr>
        <w:t>（</w:t>
      </w:r>
      <w:r>
        <w:rPr>
          <w:rFonts w:hint="eastAsia" w:ascii="宋体" w:hAnsi="宋体" w:eastAsia="宋体"/>
          <w:b/>
          <w:sz w:val="24"/>
          <w:szCs w:val="28"/>
          <w:highlight w:val="none"/>
          <w:lang w:val="en-US" w:eastAsia="zh-CN"/>
        </w:rPr>
        <w:t>2</w:t>
      </w:r>
      <w:r>
        <w:rPr>
          <w:rFonts w:hint="eastAsia" w:ascii="宋体" w:hAnsi="宋体" w:eastAsia="宋体"/>
          <w:b/>
          <w:sz w:val="24"/>
          <w:szCs w:val="28"/>
          <w:highlight w:val="none"/>
          <w:lang w:eastAsia="zh-CN"/>
        </w:rPr>
        <w:t>）</w:t>
      </w:r>
      <w:r>
        <w:rPr>
          <w:rFonts w:hint="eastAsia" w:ascii="宋体" w:hAnsi="宋体" w:eastAsia="宋体"/>
          <w:b/>
          <w:sz w:val="24"/>
          <w:szCs w:val="28"/>
          <w:highlight w:val="none"/>
        </w:rPr>
        <w:t>分项报价明细表</w:t>
      </w:r>
      <w:r>
        <w:rPr>
          <w:rFonts w:hint="eastAsia" w:ascii="宋体" w:hAnsi="宋体" w:eastAsia="宋体"/>
          <w:b/>
          <w:sz w:val="24"/>
          <w:szCs w:val="28"/>
          <w:highlight w:val="none"/>
          <w:lang w:eastAsia="zh-CN"/>
        </w:rPr>
        <w:t>（</w:t>
      </w:r>
      <w:r>
        <w:rPr>
          <w:rFonts w:hint="eastAsia" w:ascii="宋体" w:hAnsi="宋体" w:eastAsia="宋体"/>
          <w:b/>
          <w:color w:val="auto"/>
          <w:sz w:val="24"/>
          <w:szCs w:val="28"/>
          <w:highlight w:val="none"/>
        </w:rPr>
        <w:t>第</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2</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rPr>
        <w:t>次</w:t>
      </w:r>
      <w:r>
        <w:rPr>
          <w:rFonts w:hint="eastAsia" w:ascii="宋体" w:hAnsi="宋体" w:eastAsia="宋体"/>
          <w:b/>
          <w:sz w:val="24"/>
          <w:szCs w:val="28"/>
          <w:highlight w:val="none"/>
          <w:lang w:eastAsia="zh-CN"/>
        </w:rPr>
        <w:t>）</w:t>
      </w:r>
    </w:p>
    <w:tbl>
      <w:tblPr>
        <w:tblStyle w:val="66"/>
        <w:tblW w:w="482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68"/>
        <w:gridCol w:w="984"/>
        <w:gridCol w:w="1722"/>
        <w:gridCol w:w="1410"/>
        <w:gridCol w:w="2038"/>
        <w:gridCol w:w="906"/>
      </w:tblGrid>
      <w:tr w14:paraId="0BD8E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21A8304C">
            <w:pPr>
              <w:pStyle w:val="67"/>
              <w:keepNext w:val="0"/>
              <w:keepLines w:val="0"/>
              <w:pageBreakBefore w:val="0"/>
              <w:widowControl w:val="0"/>
              <w:kinsoku/>
              <w:wordWrap/>
              <w:overflowPunct/>
              <w:topLinePunct w:val="0"/>
              <w:autoSpaceDE/>
              <w:autoSpaceDN/>
              <w:bidi w:val="0"/>
              <w:adjustRightInd/>
              <w:snapToGrid/>
              <w:spacing w:before="78" w:line="240" w:lineRule="auto"/>
              <w:ind w:left="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en-US" w:bidi="ar-SA"/>
              </w:rPr>
              <w:t>序号</w:t>
            </w:r>
          </w:p>
        </w:tc>
        <w:tc>
          <w:tcPr>
            <w:tcW w:w="613" w:type="pct"/>
            <w:noWrap w:val="0"/>
            <w:vAlign w:val="center"/>
          </w:tcPr>
          <w:p w14:paraId="535C00E7">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电梯编号</w:t>
            </w:r>
          </w:p>
        </w:tc>
        <w:tc>
          <w:tcPr>
            <w:tcW w:w="1070" w:type="pct"/>
            <w:noWrap w:val="0"/>
            <w:vAlign w:val="center"/>
          </w:tcPr>
          <w:p w14:paraId="01C6FEB6">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en-US" w:bidi="ar-SA"/>
              </w:rPr>
              <w:t>使用单位名称和</w:t>
            </w:r>
            <w:r>
              <w:rPr>
                <w:rFonts w:hint="eastAsia" w:ascii="宋体" w:hAnsi="宋体" w:eastAsia="宋体" w:cs="宋体"/>
                <w:spacing w:val="-2"/>
                <w:sz w:val="18"/>
                <w:szCs w:val="18"/>
                <w:lang w:val="en-US" w:eastAsia="en-US"/>
              </w:rPr>
              <w:t>地址</w:t>
            </w:r>
          </w:p>
        </w:tc>
        <w:tc>
          <w:tcPr>
            <w:tcW w:w="878" w:type="pct"/>
            <w:shd w:val="clear" w:color="auto" w:fill="auto"/>
            <w:noWrap w:val="0"/>
            <w:vAlign w:val="center"/>
          </w:tcPr>
          <w:p w14:paraId="3F9C8391">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en-US" w:bidi="ar-SA"/>
              </w:rPr>
              <w:t>数量</w:t>
            </w:r>
            <w:r>
              <w:rPr>
                <w:rFonts w:hint="eastAsia" w:ascii="宋体" w:hAnsi="宋体" w:eastAsia="宋体" w:cs="宋体"/>
                <w:spacing w:val="-2"/>
                <w:kern w:val="2"/>
                <w:sz w:val="18"/>
                <w:szCs w:val="18"/>
                <w:lang w:val="en-US" w:eastAsia="zh-CN" w:bidi="ar-SA"/>
              </w:rPr>
              <w:t>（台）</w:t>
            </w:r>
          </w:p>
        </w:tc>
        <w:tc>
          <w:tcPr>
            <w:tcW w:w="1269" w:type="pct"/>
            <w:noWrap w:val="0"/>
            <w:vAlign w:val="center"/>
          </w:tcPr>
          <w:p w14:paraId="0C691C69">
            <w:pPr>
              <w:pStyle w:val="67"/>
              <w:spacing w:before="78" w:line="240" w:lineRule="auto"/>
              <w:jc w:val="center"/>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报价（元/年）</w:t>
            </w:r>
          </w:p>
        </w:tc>
        <w:tc>
          <w:tcPr>
            <w:tcW w:w="564" w:type="pct"/>
            <w:noWrap w:val="0"/>
            <w:vAlign w:val="center"/>
          </w:tcPr>
          <w:p w14:paraId="60F6D4CF">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备注</w:t>
            </w:r>
          </w:p>
        </w:tc>
      </w:tr>
      <w:tr w14:paraId="04FDA1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3F1F0901">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1</w:t>
            </w:r>
          </w:p>
        </w:tc>
        <w:tc>
          <w:tcPr>
            <w:tcW w:w="613" w:type="pct"/>
            <w:noWrap w:val="0"/>
            <w:vAlign w:val="center"/>
          </w:tcPr>
          <w:p w14:paraId="1C598F79">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w:t>
            </w:r>
          </w:p>
        </w:tc>
        <w:tc>
          <w:tcPr>
            <w:tcW w:w="1070" w:type="pct"/>
            <w:noWrap w:val="0"/>
            <w:vAlign w:val="center"/>
          </w:tcPr>
          <w:p w14:paraId="08FB4825">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27B5E88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E84668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p>
        </w:tc>
        <w:tc>
          <w:tcPr>
            <w:tcW w:w="564" w:type="pct"/>
            <w:noWrap w:val="0"/>
            <w:vAlign w:val="center"/>
          </w:tcPr>
          <w:p w14:paraId="3FAC780F">
            <w:pPr>
              <w:pStyle w:val="67"/>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pacing w:val="-2"/>
                <w:sz w:val="18"/>
                <w:szCs w:val="18"/>
                <w:lang w:val="en-US" w:eastAsia="zh-CN"/>
              </w:rPr>
            </w:pPr>
          </w:p>
        </w:tc>
      </w:tr>
      <w:tr w14:paraId="1804A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03" w:type="pct"/>
            <w:noWrap w:val="0"/>
            <w:vAlign w:val="center"/>
          </w:tcPr>
          <w:p w14:paraId="4DCCCF00">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w:t>
            </w:r>
          </w:p>
        </w:tc>
        <w:tc>
          <w:tcPr>
            <w:tcW w:w="613" w:type="pct"/>
            <w:noWrap w:val="0"/>
            <w:vAlign w:val="center"/>
          </w:tcPr>
          <w:p w14:paraId="36AD703E">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w:t>
            </w:r>
          </w:p>
        </w:tc>
        <w:tc>
          <w:tcPr>
            <w:tcW w:w="1070" w:type="pct"/>
            <w:noWrap w:val="0"/>
            <w:vAlign w:val="center"/>
          </w:tcPr>
          <w:p w14:paraId="46C1C9C3">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FBC322B">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0C34D595">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36E24824">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0C6E5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08EBEADE">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3</w:t>
            </w:r>
          </w:p>
        </w:tc>
        <w:tc>
          <w:tcPr>
            <w:tcW w:w="613" w:type="pct"/>
            <w:noWrap w:val="0"/>
            <w:vAlign w:val="center"/>
          </w:tcPr>
          <w:p w14:paraId="4AE40B77">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DT3</w:t>
            </w:r>
          </w:p>
        </w:tc>
        <w:tc>
          <w:tcPr>
            <w:tcW w:w="1070" w:type="pct"/>
            <w:noWrap w:val="0"/>
            <w:vAlign w:val="center"/>
          </w:tcPr>
          <w:p w14:paraId="616436AA">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sz w:val="18"/>
                <w:szCs w:val="18"/>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D652577">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57176E6">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2CFC0C99">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60852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414BB135">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4</w:t>
            </w:r>
          </w:p>
        </w:tc>
        <w:tc>
          <w:tcPr>
            <w:tcW w:w="613" w:type="pct"/>
            <w:noWrap w:val="0"/>
            <w:vAlign w:val="center"/>
          </w:tcPr>
          <w:p w14:paraId="4C9F0ED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DT4</w:t>
            </w:r>
          </w:p>
        </w:tc>
        <w:tc>
          <w:tcPr>
            <w:tcW w:w="1070" w:type="pct"/>
            <w:shd w:val="clear" w:color="auto" w:fill="auto"/>
            <w:noWrap w:val="0"/>
            <w:vAlign w:val="center"/>
          </w:tcPr>
          <w:p w14:paraId="144BBA0B">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072DE09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76FCC01E">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7425194B">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2CB84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3F17C4D3">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5</w:t>
            </w:r>
          </w:p>
        </w:tc>
        <w:tc>
          <w:tcPr>
            <w:tcW w:w="613" w:type="pct"/>
            <w:noWrap w:val="0"/>
            <w:vAlign w:val="center"/>
          </w:tcPr>
          <w:p w14:paraId="1EF7EC0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DT5</w:t>
            </w:r>
          </w:p>
        </w:tc>
        <w:tc>
          <w:tcPr>
            <w:tcW w:w="1070" w:type="pct"/>
            <w:shd w:val="clear" w:color="auto" w:fill="auto"/>
            <w:noWrap w:val="0"/>
            <w:vAlign w:val="center"/>
          </w:tcPr>
          <w:p w14:paraId="129D46EF">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3339C4F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73F5F087">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CD0A3C8">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DE48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56FA605C">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6</w:t>
            </w:r>
          </w:p>
        </w:tc>
        <w:tc>
          <w:tcPr>
            <w:tcW w:w="613" w:type="pct"/>
            <w:noWrap w:val="0"/>
            <w:vAlign w:val="center"/>
          </w:tcPr>
          <w:p w14:paraId="2FB1BEE3">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DT6</w:t>
            </w:r>
          </w:p>
        </w:tc>
        <w:tc>
          <w:tcPr>
            <w:tcW w:w="1070" w:type="pct"/>
            <w:shd w:val="clear" w:color="auto" w:fill="auto"/>
            <w:noWrap w:val="0"/>
            <w:vAlign w:val="center"/>
          </w:tcPr>
          <w:p w14:paraId="577A19E3">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5BD587A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296649CE">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42B0289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E20F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7DDF7549">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7</w:t>
            </w:r>
          </w:p>
        </w:tc>
        <w:tc>
          <w:tcPr>
            <w:tcW w:w="613" w:type="pct"/>
            <w:noWrap w:val="0"/>
            <w:vAlign w:val="center"/>
          </w:tcPr>
          <w:p w14:paraId="4A975BEA">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DT7</w:t>
            </w:r>
          </w:p>
        </w:tc>
        <w:tc>
          <w:tcPr>
            <w:tcW w:w="1070" w:type="pct"/>
            <w:shd w:val="clear" w:color="auto" w:fill="auto"/>
            <w:noWrap w:val="0"/>
            <w:vAlign w:val="center"/>
          </w:tcPr>
          <w:p w14:paraId="615988C7">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6A1A9990">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3DF881C7">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4C31AE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4AAE56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4E4E3D6D">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8</w:t>
            </w:r>
          </w:p>
        </w:tc>
        <w:tc>
          <w:tcPr>
            <w:tcW w:w="613" w:type="pct"/>
            <w:noWrap w:val="0"/>
            <w:vAlign w:val="center"/>
          </w:tcPr>
          <w:p w14:paraId="22834E70">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DT8</w:t>
            </w:r>
          </w:p>
        </w:tc>
        <w:tc>
          <w:tcPr>
            <w:tcW w:w="1070" w:type="pct"/>
            <w:shd w:val="clear" w:color="auto" w:fill="auto"/>
            <w:noWrap w:val="0"/>
            <w:vAlign w:val="center"/>
          </w:tcPr>
          <w:p w14:paraId="46AF298E">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6CEFCCA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11798B4C">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7592F7F">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64D95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5D2E28F8">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9</w:t>
            </w:r>
          </w:p>
        </w:tc>
        <w:tc>
          <w:tcPr>
            <w:tcW w:w="613" w:type="pct"/>
            <w:noWrap w:val="0"/>
            <w:vAlign w:val="center"/>
          </w:tcPr>
          <w:p w14:paraId="770BC0B9">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DT9</w:t>
            </w:r>
          </w:p>
        </w:tc>
        <w:tc>
          <w:tcPr>
            <w:tcW w:w="1070" w:type="pct"/>
            <w:shd w:val="clear" w:color="auto" w:fill="auto"/>
            <w:noWrap w:val="0"/>
            <w:vAlign w:val="center"/>
          </w:tcPr>
          <w:p w14:paraId="2018DEA2">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6D53E68B">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2B32E977">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4FE94C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AD796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38A7C584">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en-US" w:bidi="ar-SA"/>
              </w:rPr>
            </w:pPr>
            <w:r>
              <w:rPr>
                <w:rFonts w:hint="eastAsia" w:ascii="宋体" w:hAnsi="宋体" w:eastAsia="宋体" w:cs="宋体"/>
                <w:spacing w:val="-2"/>
                <w:kern w:val="2"/>
                <w:sz w:val="18"/>
                <w:szCs w:val="18"/>
                <w:lang w:val="en-US" w:eastAsia="zh-CN" w:bidi="ar-SA"/>
              </w:rPr>
              <w:t>10</w:t>
            </w:r>
          </w:p>
        </w:tc>
        <w:tc>
          <w:tcPr>
            <w:tcW w:w="613" w:type="pct"/>
            <w:noWrap w:val="0"/>
            <w:vAlign w:val="center"/>
          </w:tcPr>
          <w:p w14:paraId="585E19F7">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DT10</w:t>
            </w:r>
          </w:p>
        </w:tc>
        <w:tc>
          <w:tcPr>
            <w:tcW w:w="1070" w:type="pct"/>
            <w:shd w:val="clear" w:color="auto" w:fill="auto"/>
            <w:noWrap w:val="0"/>
            <w:vAlign w:val="center"/>
          </w:tcPr>
          <w:p w14:paraId="1C60F54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566789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365B4C61">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609AF81">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5A1A4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1E207CDA">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11</w:t>
            </w:r>
          </w:p>
        </w:tc>
        <w:tc>
          <w:tcPr>
            <w:tcW w:w="613" w:type="pct"/>
            <w:noWrap w:val="0"/>
            <w:vAlign w:val="center"/>
          </w:tcPr>
          <w:p w14:paraId="4340556C">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DT11</w:t>
            </w:r>
          </w:p>
        </w:tc>
        <w:tc>
          <w:tcPr>
            <w:tcW w:w="1070" w:type="pct"/>
            <w:shd w:val="clear" w:color="auto" w:fill="auto"/>
            <w:noWrap w:val="0"/>
            <w:vAlign w:val="center"/>
          </w:tcPr>
          <w:p w14:paraId="184DC4A2">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1C10FAA9">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35AA3313">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23394D8F">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7A31C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shd w:val="clear" w:color="auto" w:fill="auto"/>
            <w:noWrap w:val="0"/>
            <w:vAlign w:val="center"/>
          </w:tcPr>
          <w:p w14:paraId="20EB5E3F">
            <w:pPr>
              <w:pStyle w:val="67"/>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12</w:t>
            </w:r>
          </w:p>
        </w:tc>
        <w:tc>
          <w:tcPr>
            <w:tcW w:w="613" w:type="pct"/>
            <w:noWrap w:val="0"/>
            <w:vAlign w:val="center"/>
          </w:tcPr>
          <w:p w14:paraId="0CD89202">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DT12</w:t>
            </w:r>
          </w:p>
        </w:tc>
        <w:tc>
          <w:tcPr>
            <w:tcW w:w="1070" w:type="pct"/>
            <w:shd w:val="clear" w:color="auto" w:fill="auto"/>
            <w:noWrap w:val="0"/>
            <w:vAlign w:val="center"/>
          </w:tcPr>
          <w:p w14:paraId="0175E695">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018EC83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21415E1">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31CAC42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1B54C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0EABDF7C">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13</w:t>
            </w:r>
          </w:p>
        </w:tc>
        <w:tc>
          <w:tcPr>
            <w:tcW w:w="613" w:type="pct"/>
            <w:noWrap w:val="0"/>
            <w:vAlign w:val="center"/>
          </w:tcPr>
          <w:p w14:paraId="29E5E037">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DT13</w:t>
            </w:r>
          </w:p>
        </w:tc>
        <w:tc>
          <w:tcPr>
            <w:tcW w:w="1070" w:type="pct"/>
            <w:shd w:val="clear" w:color="auto" w:fill="auto"/>
            <w:noWrap w:val="0"/>
            <w:vAlign w:val="center"/>
          </w:tcPr>
          <w:p w14:paraId="0392BE2D">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2CDD25C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D7A5CF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7FF0366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4248A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20ADFFE3">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14</w:t>
            </w:r>
          </w:p>
        </w:tc>
        <w:tc>
          <w:tcPr>
            <w:tcW w:w="613" w:type="pct"/>
            <w:noWrap w:val="0"/>
            <w:vAlign w:val="center"/>
          </w:tcPr>
          <w:p w14:paraId="5A60741C">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DT14</w:t>
            </w:r>
          </w:p>
        </w:tc>
        <w:tc>
          <w:tcPr>
            <w:tcW w:w="1070" w:type="pct"/>
            <w:shd w:val="clear" w:color="auto" w:fill="auto"/>
            <w:noWrap w:val="0"/>
            <w:vAlign w:val="center"/>
          </w:tcPr>
          <w:p w14:paraId="6FDC81CC">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6BCE1819">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168B5B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48F35BE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2C966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584F80E3">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15</w:t>
            </w:r>
          </w:p>
        </w:tc>
        <w:tc>
          <w:tcPr>
            <w:tcW w:w="613" w:type="pct"/>
            <w:noWrap w:val="0"/>
            <w:vAlign w:val="center"/>
          </w:tcPr>
          <w:p w14:paraId="7548AA1F">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DT15</w:t>
            </w:r>
          </w:p>
        </w:tc>
        <w:tc>
          <w:tcPr>
            <w:tcW w:w="1070" w:type="pct"/>
            <w:shd w:val="clear" w:color="auto" w:fill="auto"/>
            <w:noWrap w:val="0"/>
            <w:vAlign w:val="center"/>
          </w:tcPr>
          <w:p w14:paraId="71E51FD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31C4714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6126FDEA">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2C6F0A38">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56D85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1DF72F4F">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16</w:t>
            </w:r>
          </w:p>
        </w:tc>
        <w:tc>
          <w:tcPr>
            <w:tcW w:w="613" w:type="pct"/>
            <w:noWrap w:val="0"/>
            <w:vAlign w:val="center"/>
          </w:tcPr>
          <w:p w14:paraId="000E2C00">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DT16</w:t>
            </w:r>
          </w:p>
        </w:tc>
        <w:tc>
          <w:tcPr>
            <w:tcW w:w="1070" w:type="pct"/>
            <w:shd w:val="clear" w:color="auto" w:fill="auto"/>
            <w:noWrap w:val="0"/>
            <w:vAlign w:val="center"/>
          </w:tcPr>
          <w:p w14:paraId="681F2ACC">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65B1190A">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4034C2C">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6EFFE87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p>
        </w:tc>
      </w:tr>
      <w:tr w14:paraId="3C4F9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65533659">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17</w:t>
            </w:r>
          </w:p>
        </w:tc>
        <w:tc>
          <w:tcPr>
            <w:tcW w:w="613" w:type="pct"/>
            <w:noWrap w:val="0"/>
            <w:vAlign w:val="center"/>
          </w:tcPr>
          <w:p w14:paraId="418CA0D5">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DT17西</w:t>
            </w:r>
          </w:p>
        </w:tc>
        <w:tc>
          <w:tcPr>
            <w:tcW w:w="1070" w:type="pct"/>
            <w:shd w:val="clear" w:color="auto" w:fill="auto"/>
            <w:noWrap w:val="0"/>
            <w:vAlign w:val="center"/>
          </w:tcPr>
          <w:p w14:paraId="0F49E192">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52BD3538">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3B1379DD">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167540AF">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1865A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62B302F9">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18</w:t>
            </w:r>
          </w:p>
        </w:tc>
        <w:tc>
          <w:tcPr>
            <w:tcW w:w="613" w:type="pct"/>
            <w:noWrap w:val="0"/>
            <w:vAlign w:val="center"/>
          </w:tcPr>
          <w:p w14:paraId="38A251B1">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DT8西</w:t>
            </w:r>
          </w:p>
        </w:tc>
        <w:tc>
          <w:tcPr>
            <w:tcW w:w="1070" w:type="pct"/>
            <w:shd w:val="clear" w:color="auto" w:fill="auto"/>
            <w:noWrap w:val="0"/>
            <w:vAlign w:val="center"/>
          </w:tcPr>
          <w:p w14:paraId="33DFB196">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25949CB7">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5DE62AE5">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61C5158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4F653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51855982">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19</w:t>
            </w:r>
          </w:p>
        </w:tc>
        <w:tc>
          <w:tcPr>
            <w:tcW w:w="613" w:type="pct"/>
            <w:noWrap w:val="0"/>
            <w:vAlign w:val="center"/>
          </w:tcPr>
          <w:p w14:paraId="44EEB565">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DT19西</w:t>
            </w:r>
          </w:p>
        </w:tc>
        <w:tc>
          <w:tcPr>
            <w:tcW w:w="1070" w:type="pct"/>
            <w:shd w:val="clear" w:color="auto" w:fill="auto"/>
            <w:noWrap w:val="0"/>
            <w:vAlign w:val="center"/>
          </w:tcPr>
          <w:p w14:paraId="77ABE21A">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3253B23E">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40933C66">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0D873E7F">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1DB47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35501EF9">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20</w:t>
            </w:r>
          </w:p>
        </w:tc>
        <w:tc>
          <w:tcPr>
            <w:tcW w:w="613" w:type="pct"/>
            <w:noWrap w:val="0"/>
            <w:vAlign w:val="center"/>
          </w:tcPr>
          <w:p w14:paraId="458545A0">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DT20东</w:t>
            </w:r>
          </w:p>
        </w:tc>
        <w:tc>
          <w:tcPr>
            <w:tcW w:w="1070" w:type="pct"/>
            <w:shd w:val="clear" w:color="auto" w:fill="auto"/>
            <w:noWrap w:val="0"/>
            <w:vAlign w:val="center"/>
          </w:tcPr>
          <w:p w14:paraId="47CC5B32">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79C7A1CD">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0A177E49">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718A51B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7ABAD6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20B01F09">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21</w:t>
            </w:r>
          </w:p>
        </w:tc>
        <w:tc>
          <w:tcPr>
            <w:tcW w:w="613" w:type="pct"/>
            <w:noWrap w:val="0"/>
            <w:vAlign w:val="center"/>
          </w:tcPr>
          <w:p w14:paraId="60E49EEE">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DT21东</w:t>
            </w:r>
          </w:p>
        </w:tc>
        <w:tc>
          <w:tcPr>
            <w:tcW w:w="1070" w:type="pct"/>
            <w:shd w:val="clear" w:color="auto" w:fill="auto"/>
            <w:noWrap w:val="0"/>
            <w:vAlign w:val="center"/>
          </w:tcPr>
          <w:p w14:paraId="0660E585">
            <w:pPr>
              <w:pStyle w:val="67"/>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5CB67C86">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7630032F">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1C7D58BC">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29E2E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603" w:type="pct"/>
            <w:noWrap w:val="0"/>
            <w:vAlign w:val="center"/>
          </w:tcPr>
          <w:p w14:paraId="1D172F15">
            <w:pPr>
              <w:pStyle w:val="67"/>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spacing w:val="-2"/>
                <w:kern w:val="2"/>
                <w:sz w:val="18"/>
                <w:szCs w:val="18"/>
                <w:lang w:val="en-US" w:eastAsia="zh-CN" w:bidi="ar-SA"/>
              </w:rPr>
            </w:pPr>
            <w:r>
              <w:rPr>
                <w:rFonts w:hint="eastAsia" w:ascii="宋体" w:hAnsi="宋体" w:eastAsia="宋体" w:cs="宋体"/>
                <w:spacing w:val="-2"/>
                <w:kern w:val="2"/>
                <w:sz w:val="18"/>
                <w:szCs w:val="18"/>
                <w:lang w:val="en-US" w:eastAsia="zh-CN" w:bidi="ar-SA"/>
              </w:rPr>
              <w:t>22</w:t>
            </w:r>
          </w:p>
        </w:tc>
        <w:tc>
          <w:tcPr>
            <w:tcW w:w="613" w:type="pct"/>
            <w:noWrap w:val="0"/>
            <w:vAlign w:val="center"/>
          </w:tcPr>
          <w:p w14:paraId="5E9A289E">
            <w:pPr>
              <w:pStyle w:val="67"/>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DT22东</w:t>
            </w:r>
          </w:p>
        </w:tc>
        <w:tc>
          <w:tcPr>
            <w:tcW w:w="1070" w:type="pct"/>
            <w:shd w:val="clear" w:color="auto" w:fill="auto"/>
            <w:noWrap w:val="0"/>
            <w:vAlign w:val="center"/>
          </w:tcPr>
          <w:p w14:paraId="0E965DC8">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定远县中医院</w:t>
            </w:r>
          </w:p>
        </w:tc>
        <w:tc>
          <w:tcPr>
            <w:tcW w:w="878" w:type="pct"/>
            <w:shd w:val="clear" w:color="auto" w:fill="auto"/>
            <w:noWrap w:val="0"/>
            <w:vAlign w:val="center"/>
          </w:tcPr>
          <w:p w14:paraId="16F95B92">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lang w:val="en-US" w:eastAsia="zh-CN"/>
              </w:rPr>
              <w:t>1</w:t>
            </w:r>
          </w:p>
        </w:tc>
        <w:tc>
          <w:tcPr>
            <w:tcW w:w="1269" w:type="pct"/>
            <w:noWrap w:val="0"/>
            <w:vAlign w:val="center"/>
          </w:tcPr>
          <w:p w14:paraId="23B277F9">
            <w:pPr>
              <w:keepNext w:val="0"/>
              <w:keepLines w:val="0"/>
              <w:pageBreakBefore w:val="0"/>
              <w:widowControl w:val="0"/>
              <w:kinsoku/>
              <w:wordWrap/>
              <w:overflowPunct/>
              <w:topLinePunct w:val="0"/>
              <w:autoSpaceDE/>
              <w:autoSpaceDN/>
              <w:bidi w:val="0"/>
              <w:adjustRightInd/>
              <w:snapToGrid/>
              <w:spacing w:before="153" w:line="240" w:lineRule="auto"/>
              <w:ind w:left="0" w:right="0" w:firstLine="0"/>
              <w:jc w:val="center"/>
              <w:textAlignment w:val="auto"/>
              <w:rPr>
                <w:rFonts w:hint="eastAsia" w:ascii="宋体" w:hAnsi="宋体" w:eastAsia="宋体" w:cs="宋体"/>
                <w:spacing w:val="-2"/>
                <w:sz w:val="18"/>
                <w:szCs w:val="18"/>
                <w:lang w:val="en-US" w:eastAsia="zh-CN"/>
              </w:rPr>
            </w:pPr>
          </w:p>
        </w:tc>
        <w:tc>
          <w:tcPr>
            <w:tcW w:w="564" w:type="pct"/>
            <w:noWrap w:val="0"/>
            <w:vAlign w:val="center"/>
          </w:tcPr>
          <w:p w14:paraId="52AD9965">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扶梯</w:t>
            </w:r>
          </w:p>
        </w:tc>
      </w:tr>
      <w:tr w14:paraId="1EEEE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2288" w:type="pct"/>
            <w:gridSpan w:val="3"/>
            <w:noWrap w:val="0"/>
            <w:vAlign w:val="center"/>
          </w:tcPr>
          <w:p w14:paraId="263B37C1">
            <w:pPr>
              <w:keepNext w:val="0"/>
              <w:keepLines w:val="0"/>
              <w:pageBreakBefore w:val="0"/>
              <w:widowControl w:val="0"/>
              <w:kinsoku/>
              <w:wordWrap/>
              <w:overflowPunct/>
              <w:topLinePunct w:val="0"/>
              <w:autoSpaceDE/>
              <w:autoSpaceDN/>
              <w:bidi w:val="0"/>
              <w:adjustRightInd/>
              <w:snapToGrid/>
              <w:spacing w:before="153" w:line="240" w:lineRule="auto"/>
              <w:ind w:left="0" w:leftChars="0" w:right="0" w:rightChars="0" w:firstLine="0" w:firstLineChars="0"/>
              <w:jc w:val="center"/>
              <w:textAlignment w:val="auto"/>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投标总报价（序号1-22合计）</w:t>
            </w:r>
          </w:p>
        </w:tc>
        <w:tc>
          <w:tcPr>
            <w:tcW w:w="2711" w:type="pct"/>
            <w:gridSpan w:val="3"/>
            <w:shd w:val="clear" w:color="auto" w:fill="auto"/>
            <w:noWrap w:val="0"/>
            <w:vAlign w:val="center"/>
          </w:tcPr>
          <w:p w14:paraId="3A2E95F2">
            <w:pPr>
              <w:pStyle w:val="6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宋体" w:hAnsi="宋体" w:eastAsia="宋体" w:cs="宋体"/>
                <w:spacing w:val="-2"/>
                <w:sz w:val="18"/>
                <w:szCs w:val="18"/>
                <w:u w:val="single"/>
                <w:lang w:val="en-US" w:eastAsia="zh-CN"/>
              </w:rPr>
            </w:pPr>
            <w:r>
              <w:rPr>
                <w:rFonts w:hint="eastAsia" w:ascii="宋体" w:hAnsi="宋体" w:eastAsia="宋体" w:cs="宋体"/>
                <w:spacing w:val="-2"/>
                <w:sz w:val="18"/>
                <w:szCs w:val="18"/>
                <w:u w:val="single"/>
                <w:lang w:val="en-US" w:eastAsia="zh-CN"/>
              </w:rPr>
              <w:t xml:space="preserve">  大写：           /年（小写            元/年）  </w:t>
            </w:r>
          </w:p>
        </w:tc>
      </w:tr>
    </w:tbl>
    <w:p w14:paraId="5C3006E3">
      <w:pPr>
        <w:spacing w:line="360" w:lineRule="auto"/>
        <w:rPr>
          <w:rFonts w:hint="default" w:ascii="宋体" w:hAnsi="宋体" w:eastAsia="宋体"/>
          <w:color w:val="auto"/>
          <w:sz w:val="24"/>
          <w:highlight w:val="none"/>
          <w:lang w:val="en-US" w:eastAsia="zh-CN"/>
        </w:rPr>
      </w:pPr>
    </w:p>
    <w:p w14:paraId="012313ED">
      <w:pPr>
        <w:spacing w:line="360" w:lineRule="auto"/>
        <w:ind w:firstLine="4800" w:firstLineChars="2000"/>
        <w:rPr>
          <w:rFonts w:hint="default" w:ascii="宋体" w:hAnsi="宋体" w:eastAsia="宋体"/>
          <w:color w:val="auto"/>
          <w:sz w:val="24"/>
          <w:highlight w:val="none"/>
          <w:u w:val="single"/>
          <w:lang w:val="en-US" w:eastAsia="zh-CN"/>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u w:val="single"/>
          <w:lang w:val="en-US" w:eastAsia="zh-CN"/>
        </w:rPr>
        <w:t xml:space="preserve">   </w:t>
      </w:r>
    </w:p>
    <w:p w14:paraId="13221323">
      <w:pPr>
        <w:tabs>
          <w:tab w:val="left" w:pos="630"/>
        </w:tabs>
        <w:spacing w:line="360" w:lineRule="auto"/>
        <w:ind w:firstLine="4800" w:firstLineChars="2000"/>
        <w:rPr>
          <w:rFonts w:hint="eastAsia" w:ascii="宋体" w:hAnsi="宋体" w:eastAsia="宋体"/>
          <w:color w:val="auto"/>
          <w:sz w:val="24"/>
          <w:highlight w:val="none"/>
          <w:u w:val="singl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6E943370">
      <w:pPr>
        <w:spacing w:line="360" w:lineRule="auto"/>
        <w:jc w:val="left"/>
        <w:rPr>
          <w:rFonts w:hint="eastAsia" w:ascii="宋体" w:hAnsi="宋体" w:eastAsia="宋体"/>
          <w:b/>
          <w:bCs/>
          <w:color w:val="auto"/>
          <w:sz w:val="24"/>
          <w:highlight w:val="none"/>
        </w:rPr>
      </w:pPr>
      <w:r>
        <w:rPr>
          <w:rFonts w:hint="eastAsia" w:ascii="宋体" w:hAnsi="宋体" w:eastAsia="宋体"/>
          <w:b/>
          <w:bCs/>
          <w:color w:val="auto"/>
          <w:sz w:val="24"/>
          <w:highlight w:val="none"/>
        </w:rPr>
        <w:t>注：</w:t>
      </w:r>
    </w:p>
    <w:p w14:paraId="7C0275D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b/>
          <w:bCs/>
          <w:color w:val="auto"/>
          <w:sz w:val="24"/>
          <w:highlight w:val="none"/>
        </w:rPr>
      </w:pPr>
      <w:r>
        <w:rPr>
          <w:rFonts w:hint="eastAsia" w:ascii="宋体" w:hAnsi="宋体" w:eastAsia="宋体"/>
          <w:b/>
          <w:bCs/>
          <w:color w:val="auto"/>
          <w:sz w:val="24"/>
          <w:highlight w:val="none"/>
        </w:rPr>
        <w:t>本页《分项报价明细表》由供应商在接到报价通知后依据磋商情况填写,并在规定时间内提交。</w:t>
      </w:r>
    </w:p>
    <w:p w14:paraId="42DED43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eastAsia="宋体"/>
          <w:bCs/>
          <w:color w:val="auto"/>
          <w:sz w:val="24"/>
          <w:highlight w:val="none"/>
        </w:rPr>
      </w:pPr>
      <w:r>
        <w:rPr>
          <w:rFonts w:hint="eastAsia" w:ascii="宋体" w:hAnsi="宋体" w:eastAsia="宋体"/>
          <w:b/>
          <w:bCs/>
          <w:color w:val="auto"/>
          <w:sz w:val="24"/>
          <w:szCs w:val="28"/>
          <w:highlight w:val="none"/>
          <w:lang w:val="en-US" w:eastAsia="zh-CN"/>
        </w:rPr>
        <w:t>2</w:t>
      </w:r>
      <w:r>
        <w:rPr>
          <w:rFonts w:hint="eastAsia" w:ascii="宋体" w:hAnsi="宋体" w:eastAsia="宋体"/>
          <w:b/>
          <w:bCs/>
          <w:color w:val="auto"/>
          <w:sz w:val="24"/>
          <w:szCs w:val="28"/>
          <w:highlight w:val="none"/>
        </w:rPr>
        <w:t>.表中大写金额与小写金额不一致的，以大写金额为准。</w:t>
      </w:r>
    </w:p>
    <w:p w14:paraId="18FD3EDD">
      <w:pPr>
        <w:tabs>
          <w:tab w:val="left" w:pos="630"/>
        </w:tabs>
        <w:spacing w:line="360" w:lineRule="auto"/>
        <w:rPr>
          <w:rFonts w:hint="eastAsia" w:ascii="宋体" w:hAnsi="宋体" w:eastAsia="宋体"/>
          <w:color w:val="auto"/>
          <w:sz w:val="24"/>
          <w:highlight w:val="none"/>
          <w:u w:val="single"/>
        </w:rPr>
      </w:pPr>
    </w:p>
    <w:p w14:paraId="07720A83">
      <w:pPr>
        <w:widowControl/>
        <w:jc w:val="left"/>
        <w:rPr>
          <w:rFonts w:ascii="宋体" w:hAnsi="宋体" w:eastAsia="宋体"/>
          <w:b/>
          <w:bCs/>
          <w:color w:val="auto"/>
          <w:sz w:val="24"/>
          <w:szCs w:val="28"/>
          <w:highlight w:val="none"/>
        </w:rPr>
      </w:pPr>
      <w:r>
        <w:rPr>
          <w:rFonts w:ascii="宋体" w:hAnsi="宋体" w:eastAsia="宋体"/>
          <w:b/>
          <w:bCs/>
          <w:color w:val="auto"/>
          <w:sz w:val="24"/>
          <w:szCs w:val="28"/>
          <w:highlight w:val="none"/>
        </w:rPr>
        <w:br w:type="page"/>
      </w:r>
    </w:p>
    <w:p w14:paraId="7D1C48B2">
      <w:pPr>
        <w:widowControl/>
        <w:jc w:val="left"/>
        <w:rPr>
          <w:rFonts w:ascii="宋体" w:hAnsi="宋体" w:eastAsia="宋体"/>
          <w:color w:val="auto"/>
          <w:sz w:val="24"/>
          <w:highlight w:val="none"/>
        </w:rPr>
      </w:pPr>
    </w:p>
    <w:p w14:paraId="36C5FDCB">
      <w:pPr>
        <w:spacing w:line="360" w:lineRule="auto"/>
        <w:jc w:val="center"/>
        <w:outlineLvl w:val="1"/>
        <w:rPr>
          <w:rFonts w:hint="eastAsia" w:asciiTheme="minorEastAsia" w:hAnsiTheme="minorEastAsia" w:eastAsiaTheme="minorEastAsia"/>
          <w:b/>
          <w:color w:val="auto"/>
          <w:sz w:val="24"/>
          <w:highlight w:val="none"/>
          <w:lang w:val="en-US" w:eastAsia="zh-CN"/>
        </w:rPr>
      </w:pPr>
      <w:bookmarkStart w:id="223" w:name="_Toc31518"/>
      <w:bookmarkStart w:id="224" w:name="_Toc121626298"/>
      <w:bookmarkStart w:id="225" w:name="_Toc204594911"/>
      <w:bookmarkStart w:id="226" w:name="_Toc520983594"/>
      <w:bookmarkStart w:id="227" w:name="_Toc516969106"/>
      <w:bookmarkStart w:id="228" w:name="_Toc26922"/>
      <w:r>
        <w:rPr>
          <w:rFonts w:hint="eastAsia" w:asciiTheme="minorEastAsia" w:hAnsiTheme="minorEastAsia" w:eastAsiaTheme="minorEastAsia"/>
          <w:b/>
          <w:color w:val="auto"/>
          <w:sz w:val="24"/>
          <w:highlight w:val="none"/>
          <w:lang w:val="en-US" w:eastAsia="zh-CN"/>
        </w:rPr>
        <w:t>9、</w:t>
      </w:r>
      <w:bookmarkEnd w:id="223"/>
      <w:bookmarkEnd w:id="224"/>
      <w:bookmarkEnd w:id="225"/>
      <w:bookmarkEnd w:id="226"/>
      <w:bookmarkEnd w:id="227"/>
      <w:bookmarkEnd w:id="228"/>
      <w:r>
        <w:rPr>
          <w:rFonts w:hint="eastAsia" w:asciiTheme="minorEastAsia" w:hAnsiTheme="minorEastAsia" w:eastAsiaTheme="minorEastAsia"/>
          <w:b/>
          <w:color w:val="auto"/>
          <w:sz w:val="24"/>
          <w:highlight w:val="none"/>
          <w:lang w:val="en-US" w:eastAsia="zh-CN"/>
        </w:rPr>
        <w:t>商务响应情况</w:t>
      </w:r>
    </w:p>
    <w:p w14:paraId="062CA000">
      <w:pPr>
        <w:spacing w:line="360" w:lineRule="auto"/>
        <w:ind w:firstLine="435"/>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商务响应表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916"/>
        <w:gridCol w:w="2498"/>
        <w:gridCol w:w="2575"/>
        <w:gridCol w:w="810"/>
      </w:tblGrid>
      <w:tr w14:paraId="1E16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24" w:type="pct"/>
            <w:vAlign w:val="center"/>
          </w:tcPr>
          <w:p w14:paraId="70FC9998">
            <w:pPr>
              <w:pStyle w:val="12"/>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序号</w:t>
            </w:r>
          </w:p>
        </w:tc>
        <w:tc>
          <w:tcPr>
            <w:tcW w:w="1124" w:type="pct"/>
            <w:vAlign w:val="center"/>
          </w:tcPr>
          <w:p w14:paraId="5DAF242F">
            <w:pPr>
              <w:pStyle w:val="12"/>
              <w:jc w:val="center"/>
              <w:rPr>
                <w:rFonts w:cs="Wingdings" w:asciiTheme="minorEastAsia" w:hAnsiTheme="minorEastAsia"/>
                <w:b/>
                <w:color w:val="auto"/>
                <w:sz w:val="24"/>
                <w:highlight w:val="none"/>
              </w:rPr>
            </w:pPr>
            <w:r>
              <w:rPr>
                <w:rFonts w:hint="eastAsia" w:asciiTheme="minorEastAsia" w:hAnsiTheme="minorEastAsia"/>
                <w:b/>
                <w:bCs/>
                <w:color w:val="auto"/>
                <w:sz w:val="24"/>
                <w:szCs w:val="24"/>
                <w:highlight w:val="none"/>
              </w:rPr>
              <w:t>商务条款</w:t>
            </w:r>
          </w:p>
        </w:tc>
        <w:tc>
          <w:tcPr>
            <w:tcW w:w="1465" w:type="pct"/>
            <w:vAlign w:val="center"/>
          </w:tcPr>
          <w:p w14:paraId="70CF4124">
            <w:pPr>
              <w:pStyle w:val="12"/>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lang w:val="en-US" w:eastAsia="zh-CN"/>
              </w:rPr>
              <w:t>磋商文件</w:t>
            </w:r>
            <w:r>
              <w:rPr>
                <w:rFonts w:hint="eastAsia" w:cs="Wingdings" w:asciiTheme="minorEastAsia" w:hAnsiTheme="minorEastAsia"/>
                <w:b/>
                <w:color w:val="auto"/>
                <w:sz w:val="24"/>
                <w:highlight w:val="none"/>
              </w:rPr>
              <w:t>要求</w:t>
            </w:r>
          </w:p>
        </w:tc>
        <w:tc>
          <w:tcPr>
            <w:tcW w:w="1510" w:type="pct"/>
            <w:vAlign w:val="center"/>
          </w:tcPr>
          <w:p w14:paraId="22C3E5C9">
            <w:pPr>
              <w:pStyle w:val="12"/>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lang w:val="en-US" w:eastAsia="zh-CN"/>
              </w:rPr>
              <w:t>供应商</w:t>
            </w:r>
            <w:r>
              <w:rPr>
                <w:rFonts w:hint="eastAsia" w:cs="Wingdings" w:asciiTheme="minorEastAsia" w:hAnsiTheme="minorEastAsia"/>
                <w:b/>
                <w:color w:val="auto"/>
                <w:sz w:val="24"/>
                <w:highlight w:val="none"/>
              </w:rPr>
              <w:t>承诺</w:t>
            </w:r>
          </w:p>
        </w:tc>
        <w:tc>
          <w:tcPr>
            <w:tcW w:w="475" w:type="pct"/>
            <w:vAlign w:val="center"/>
          </w:tcPr>
          <w:p w14:paraId="723289A3">
            <w:pPr>
              <w:pStyle w:val="12"/>
              <w:jc w:val="center"/>
              <w:rPr>
                <w:rFonts w:hint="eastAsia" w:cs="Wingdings" w:asciiTheme="minorEastAsia" w:hAnsiTheme="minorEastAsia" w:eastAsiaTheme="minorEastAsia"/>
                <w:b/>
                <w:color w:val="auto"/>
                <w:sz w:val="24"/>
                <w:highlight w:val="none"/>
                <w:lang w:eastAsia="zh-CN"/>
              </w:rPr>
            </w:pPr>
            <w:r>
              <w:rPr>
                <w:rFonts w:hint="eastAsia" w:cs="Wingdings" w:asciiTheme="minorEastAsia" w:hAnsiTheme="minorEastAsia"/>
                <w:b/>
                <w:color w:val="auto"/>
                <w:sz w:val="24"/>
                <w:highlight w:val="none"/>
                <w:lang w:val="en-US" w:eastAsia="zh-CN"/>
              </w:rPr>
              <w:t>备注</w:t>
            </w:r>
          </w:p>
        </w:tc>
      </w:tr>
      <w:tr w14:paraId="609E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72081174">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1124" w:type="pct"/>
            <w:vAlign w:val="center"/>
          </w:tcPr>
          <w:p w14:paraId="61D9F4F9">
            <w:pPr>
              <w:jc w:val="center"/>
              <w:rPr>
                <w:rFonts w:ascii="宋体" w:hAnsi="宋体" w:eastAsia="宋体"/>
                <w:color w:val="auto"/>
                <w:sz w:val="24"/>
                <w:highlight w:val="none"/>
              </w:rPr>
            </w:pPr>
            <w:r>
              <w:rPr>
                <w:rFonts w:asciiTheme="minorEastAsia" w:hAnsiTheme="minorEastAsia" w:eastAsiaTheme="minorEastAsia"/>
                <w:color w:val="auto"/>
                <w:sz w:val="24"/>
                <w:highlight w:val="none"/>
              </w:rPr>
              <w:t>付款方式</w:t>
            </w:r>
          </w:p>
        </w:tc>
        <w:tc>
          <w:tcPr>
            <w:tcW w:w="1465" w:type="pct"/>
            <w:vAlign w:val="center"/>
          </w:tcPr>
          <w:p w14:paraId="3AA6514F">
            <w:pPr>
              <w:jc w:val="center"/>
              <w:rPr>
                <w:rFonts w:asciiTheme="minorEastAsia" w:hAnsiTheme="minorEastAsia" w:eastAsiaTheme="minorEastAsia"/>
                <w:color w:val="auto"/>
                <w:sz w:val="24"/>
                <w:highlight w:val="none"/>
              </w:rPr>
            </w:pPr>
          </w:p>
        </w:tc>
        <w:tc>
          <w:tcPr>
            <w:tcW w:w="1510" w:type="pct"/>
            <w:vAlign w:val="center"/>
          </w:tcPr>
          <w:p w14:paraId="3BF1EBB6">
            <w:pPr>
              <w:jc w:val="center"/>
              <w:rPr>
                <w:rFonts w:asciiTheme="minorEastAsia" w:hAnsiTheme="minorEastAsia" w:eastAsiaTheme="minorEastAsia"/>
                <w:color w:val="auto"/>
                <w:sz w:val="24"/>
                <w:highlight w:val="none"/>
              </w:rPr>
            </w:pPr>
          </w:p>
        </w:tc>
        <w:tc>
          <w:tcPr>
            <w:tcW w:w="475" w:type="pct"/>
            <w:vAlign w:val="center"/>
          </w:tcPr>
          <w:p w14:paraId="0FA066B8">
            <w:pPr>
              <w:jc w:val="center"/>
              <w:rPr>
                <w:rFonts w:asciiTheme="minorEastAsia" w:hAnsiTheme="minorEastAsia" w:eastAsiaTheme="minorEastAsia"/>
                <w:color w:val="auto"/>
                <w:sz w:val="24"/>
                <w:highlight w:val="none"/>
              </w:rPr>
            </w:pPr>
          </w:p>
        </w:tc>
      </w:tr>
      <w:tr w14:paraId="2558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30DDBAA1">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p>
        </w:tc>
        <w:tc>
          <w:tcPr>
            <w:tcW w:w="1124" w:type="pct"/>
            <w:vAlign w:val="center"/>
          </w:tcPr>
          <w:p w14:paraId="3602E260">
            <w:pPr>
              <w:jc w:val="center"/>
              <w:rPr>
                <w:rFonts w:ascii="宋体" w:hAnsi="宋体" w:eastAsia="宋体"/>
                <w:color w:val="auto"/>
                <w:sz w:val="24"/>
                <w:highlight w:val="none"/>
              </w:rPr>
            </w:pPr>
            <w:r>
              <w:rPr>
                <w:rFonts w:hint="eastAsia" w:ascii="宋体" w:hAnsi="宋体" w:eastAsia="宋体"/>
                <w:color w:val="auto"/>
                <w:sz w:val="24"/>
                <w:highlight w:val="none"/>
              </w:rPr>
              <w:t>服务地点</w:t>
            </w:r>
          </w:p>
        </w:tc>
        <w:tc>
          <w:tcPr>
            <w:tcW w:w="1465" w:type="pct"/>
            <w:vAlign w:val="center"/>
          </w:tcPr>
          <w:p w14:paraId="3A27FA4E">
            <w:pPr>
              <w:jc w:val="center"/>
              <w:rPr>
                <w:rFonts w:asciiTheme="minorEastAsia" w:hAnsiTheme="minorEastAsia" w:eastAsiaTheme="minorEastAsia"/>
                <w:color w:val="auto"/>
                <w:sz w:val="24"/>
                <w:highlight w:val="none"/>
              </w:rPr>
            </w:pPr>
          </w:p>
        </w:tc>
        <w:tc>
          <w:tcPr>
            <w:tcW w:w="1510" w:type="pct"/>
            <w:vAlign w:val="center"/>
          </w:tcPr>
          <w:p w14:paraId="2D7390F0">
            <w:pPr>
              <w:jc w:val="center"/>
              <w:rPr>
                <w:rFonts w:asciiTheme="minorEastAsia" w:hAnsiTheme="minorEastAsia" w:eastAsiaTheme="minorEastAsia"/>
                <w:color w:val="auto"/>
                <w:sz w:val="24"/>
                <w:highlight w:val="none"/>
              </w:rPr>
            </w:pPr>
          </w:p>
        </w:tc>
        <w:tc>
          <w:tcPr>
            <w:tcW w:w="475" w:type="pct"/>
            <w:vAlign w:val="center"/>
          </w:tcPr>
          <w:p w14:paraId="1C16F132">
            <w:pPr>
              <w:jc w:val="center"/>
              <w:rPr>
                <w:rFonts w:asciiTheme="minorEastAsia" w:hAnsiTheme="minorEastAsia" w:eastAsiaTheme="minorEastAsia"/>
                <w:color w:val="auto"/>
                <w:sz w:val="24"/>
                <w:highlight w:val="none"/>
              </w:rPr>
            </w:pPr>
          </w:p>
        </w:tc>
      </w:tr>
      <w:tr w14:paraId="7CB0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4072E419">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w:t>
            </w:r>
          </w:p>
        </w:tc>
        <w:tc>
          <w:tcPr>
            <w:tcW w:w="1124" w:type="pct"/>
            <w:vAlign w:val="center"/>
          </w:tcPr>
          <w:p w14:paraId="70691274">
            <w:pPr>
              <w:jc w:val="center"/>
              <w:rPr>
                <w:rFonts w:ascii="宋体" w:hAnsi="宋体" w:eastAsia="宋体"/>
                <w:color w:val="auto"/>
                <w:sz w:val="24"/>
                <w:highlight w:val="none"/>
              </w:rPr>
            </w:pPr>
            <w:r>
              <w:rPr>
                <w:rFonts w:hint="eastAsia" w:ascii="宋体" w:hAnsi="宋体" w:eastAsia="宋体"/>
                <w:color w:val="auto"/>
                <w:sz w:val="24"/>
                <w:highlight w:val="none"/>
              </w:rPr>
              <w:t>服务期限</w:t>
            </w:r>
          </w:p>
        </w:tc>
        <w:tc>
          <w:tcPr>
            <w:tcW w:w="1465" w:type="pct"/>
            <w:vAlign w:val="center"/>
          </w:tcPr>
          <w:p w14:paraId="50B4656B">
            <w:pPr>
              <w:jc w:val="center"/>
              <w:rPr>
                <w:rFonts w:asciiTheme="minorEastAsia" w:hAnsiTheme="minorEastAsia" w:eastAsiaTheme="minorEastAsia"/>
                <w:color w:val="auto"/>
                <w:sz w:val="24"/>
                <w:highlight w:val="none"/>
              </w:rPr>
            </w:pPr>
          </w:p>
        </w:tc>
        <w:tc>
          <w:tcPr>
            <w:tcW w:w="1510" w:type="pct"/>
            <w:vAlign w:val="center"/>
          </w:tcPr>
          <w:p w14:paraId="720F8579">
            <w:pPr>
              <w:pStyle w:val="48"/>
              <w:jc w:val="center"/>
              <w:rPr>
                <w:rFonts w:asciiTheme="minorEastAsia" w:hAnsiTheme="minorEastAsia" w:eastAsiaTheme="minorEastAsia"/>
                <w:color w:val="auto"/>
                <w:highlight w:val="none"/>
              </w:rPr>
            </w:pPr>
          </w:p>
        </w:tc>
        <w:tc>
          <w:tcPr>
            <w:tcW w:w="475" w:type="pct"/>
            <w:vAlign w:val="center"/>
          </w:tcPr>
          <w:p w14:paraId="2F5A19FE">
            <w:pPr>
              <w:jc w:val="center"/>
              <w:rPr>
                <w:rFonts w:asciiTheme="minorEastAsia" w:hAnsiTheme="minorEastAsia" w:eastAsiaTheme="minorEastAsia"/>
                <w:color w:val="auto"/>
                <w:sz w:val="24"/>
                <w:highlight w:val="none"/>
              </w:rPr>
            </w:pPr>
          </w:p>
        </w:tc>
      </w:tr>
      <w:tr w14:paraId="10AE9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6F027AB9">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124" w:type="pct"/>
            <w:vAlign w:val="center"/>
          </w:tcPr>
          <w:p w14:paraId="5DCE5079">
            <w:pPr>
              <w:jc w:val="center"/>
              <w:rPr>
                <w:rFonts w:ascii="宋体" w:hAnsi="宋体" w:eastAsia="宋体"/>
                <w:color w:val="auto"/>
                <w:sz w:val="24"/>
                <w:highlight w:val="none"/>
              </w:rPr>
            </w:pPr>
          </w:p>
        </w:tc>
        <w:tc>
          <w:tcPr>
            <w:tcW w:w="1465" w:type="pct"/>
            <w:vAlign w:val="center"/>
          </w:tcPr>
          <w:p w14:paraId="2BB2CDB4">
            <w:pPr>
              <w:jc w:val="center"/>
              <w:rPr>
                <w:rFonts w:asciiTheme="minorEastAsia" w:hAnsiTheme="minorEastAsia" w:eastAsiaTheme="minorEastAsia"/>
                <w:color w:val="auto"/>
                <w:sz w:val="24"/>
                <w:highlight w:val="none"/>
              </w:rPr>
            </w:pPr>
          </w:p>
        </w:tc>
        <w:tc>
          <w:tcPr>
            <w:tcW w:w="1510" w:type="pct"/>
            <w:vAlign w:val="center"/>
          </w:tcPr>
          <w:p w14:paraId="7BBCD94C">
            <w:pPr>
              <w:jc w:val="center"/>
              <w:rPr>
                <w:rFonts w:asciiTheme="minorEastAsia" w:hAnsiTheme="minorEastAsia" w:eastAsiaTheme="minorEastAsia"/>
                <w:color w:val="auto"/>
                <w:sz w:val="24"/>
                <w:highlight w:val="none"/>
              </w:rPr>
            </w:pPr>
          </w:p>
        </w:tc>
        <w:tc>
          <w:tcPr>
            <w:tcW w:w="475" w:type="pct"/>
            <w:vAlign w:val="center"/>
          </w:tcPr>
          <w:p w14:paraId="5DBF89B2">
            <w:pPr>
              <w:jc w:val="center"/>
              <w:rPr>
                <w:rFonts w:asciiTheme="minorEastAsia" w:hAnsiTheme="minorEastAsia" w:eastAsiaTheme="minorEastAsia"/>
                <w:color w:val="auto"/>
                <w:sz w:val="24"/>
                <w:highlight w:val="none"/>
              </w:rPr>
            </w:pPr>
          </w:p>
        </w:tc>
      </w:tr>
    </w:tbl>
    <w:p w14:paraId="1EA54454">
      <w:pPr>
        <w:widowControl/>
        <w:jc w:val="left"/>
        <w:rPr>
          <w:rFonts w:ascii="宋体" w:hAnsi="宋体" w:eastAsia="宋体"/>
          <w:color w:val="auto"/>
          <w:sz w:val="24"/>
          <w:highlight w:val="none"/>
        </w:rPr>
      </w:pPr>
    </w:p>
    <w:p w14:paraId="47ECA676">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6E9FFA25">
      <w:pPr>
        <w:tabs>
          <w:tab w:val="left" w:pos="630"/>
        </w:tabs>
        <w:spacing w:line="360" w:lineRule="auto"/>
        <w:ind w:firstLine="4800" w:firstLineChars="2000"/>
        <w:rPr>
          <w:rFonts w:asciiTheme="minorEastAsia" w:hAnsiTheme="minorEastAsia" w:eastAsiaTheme="minorEastAsia"/>
          <w:color w:val="auto"/>
          <w:sz w:val="24"/>
          <w:highlight w:val="non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5F31C510">
      <w:pPr>
        <w:pStyle w:val="13"/>
        <w:spacing w:line="360" w:lineRule="auto"/>
        <w:rPr>
          <w:rFonts w:asciiTheme="minorEastAsia" w:hAnsiTheme="minorEastAsia" w:eastAsiaTheme="minorEastAsia"/>
          <w:b/>
          <w:color w:val="auto"/>
          <w:sz w:val="24"/>
          <w:highlight w:val="none"/>
        </w:rPr>
      </w:pPr>
      <w:r>
        <w:rPr>
          <w:rFonts w:asciiTheme="minorEastAsia" w:hAnsiTheme="minorEastAsia" w:eastAsiaTheme="minorEastAsia"/>
          <w:color w:val="auto"/>
          <w:sz w:val="24"/>
          <w:highlight w:val="none"/>
        </w:rPr>
        <w:br w:type="page"/>
      </w:r>
    </w:p>
    <w:p w14:paraId="1AC1F39F">
      <w:pPr>
        <w:spacing w:line="360" w:lineRule="auto"/>
        <w:jc w:val="center"/>
        <w:outlineLvl w:val="1"/>
        <w:rPr>
          <w:rFonts w:asciiTheme="minorEastAsia" w:hAnsiTheme="minorEastAsia" w:eastAsiaTheme="minorEastAsia"/>
          <w:b/>
          <w:color w:val="auto"/>
          <w:sz w:val="24"/>
          <w:highlight w:val="none"/>
        </w:rPr>
      </w:pPr>
      <w:bookmarkStart w:id="229" w:name="_Toc2278"/>
      <w:bookmarkStart w:id="230" w:name="_Toc20592"/>
      <w:bookmarkStart w:id="231" w:name="_Hlk44283088"/>
      <w:r>
        <w:rPr>
          <w:rFonts w:hint="eastAsia" w:asciiTheme="minorEastAsia" w:hAnsiTheme="minorEastAsia" w:eastAsiaTheme="minorEastAsia"/>
          <w:b/>
          <w:color w:val="auto"/>
          <w:sz w:val="24"/>
          <w:highlight w:val="none"/>
          <w:lang w:val="en-US" w:eastAsia="zh-CN"/>
        </w:rPr>
        <w:t>10</w:t>
      </w:r>
      <w:r>
        <w:rPr>
          <w:rFonts w:hint="eastAsia" w:asciiTheme="minorEastAsia" w:hAnsiTheme="minorEastAsia" w:eastAsiaTheme="minorEastAsia"/>
          <w:b/>
          <w:color w:val="auto"/>
          <w:sz w:val="24"/>
          <w:highlight w:val="none"/>
        </w:rPr>
        <w:t>、诚信履约承诺函</w:t>
      </w:r>
      <w:bookmarkEnd w:id="229"/>
      <w:bookmarkEnd w:id="230"/>
    </w:p>
    <w:p w14:paraId="4400A65A">
      <w:pPr>
        <w:spacing w:line="360" w:lineRule="auto"/>
        <w:rPr>
          <w:rFonts w:asciiTheme="minorEastAsia" w:hAnsiTheme="minorEastAsia" w:eastAsiaTheme="minorEastAsia"/>
          <w:b/>
          <w:bCs/>
          <w:color w:val="auto"/>
          <w:sz w:val="24"/>
          <w:highlight w:val="none"/>
        </w:rPr>
      </w:pPr>
    </w:p>
    <w:p w14:paraId="44F134C2">
      <w:pPr>
        <w:spacing w:line="360" w:lineRule="auto"/>
        <w:rPr>
          <w:rFonts w:hint="eastAsia" w:asciiTheme="minorEastAsia" w:hAnsiTheme="minorEastAsia" w:eastAsiaTheme="minorEastAsia"/>
          <w:b/>
          <w:bCs/>
          <w:color w:val="auto"/>
          <w:sz w:val="24"/>
          <w:highlight w:val="none"/>
          <w:u w:val="single"/>
          <w:lang w:val="en-US" w:eastAsia="zh-CN"/>
        </w:rPr>
      </w:pPr>
      <w:r>
        <w:rPr>
          <w:rFonts w:hint="eastAsia" w:asciiTheme="minorEastAsia" w:hAnsiTheme="minorEastAsia" w:eastAsiaTheme="minorEastAsia"/>
          <w:b/>
          <w:bCs/>
          <w:color w:val="auto"/>
          <w:sz w:val="24"/>
          <w:highlight w:val="none"/>
        </w:rPr>
        <w:t>致：</w:t>
      </w:r>
      <w:r>
        <w:rPr>
          <w:rFonts w:hint="eastAsia" w:asciiTheme="minorEastAsia" w:hAnsiTheme="minorEastAsia" w:eastAsiaTheme="minorEastAsia"/>
          <w:b/>
          <w:bCs/>
          <w:color w:val="auto"/>
          <w:sz w:val="24"/>
          <w:highlight w:val="none"/>
          <w:lang w:val="en-US" w:eastAsia="zh-CN"/>
        </w:rPr>
        <w:t>采购人</w:t>
      </w:r>
    </w:p>
    <w:p w14:paraId="31C4328A">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14:paraId="35A3A244">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（1）中标或者成交后无正当理由拒不与采购人签订政府采购合同；</w:t>
      </w:r>
    </w:p>
    <w:p w14:paraId="0F3D729F">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（2）未按照采购文件确定的事项签订政府采购合同；</w:t>
      </w:r>
    </w:p>
    <w:p w14:paraId="1DCD9B4F">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（3）将政府采购合同转包；</w:t>
      </w:r>
    </w:p>
    <w:p w14:paraId="15C30CF1">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（4）提供假冒伪劣产品；</w:t>
      </w:r>
    </w:p>
    <w:p w14:paraId="24B7F731">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（5）擅自变更、中止或者终止政府采购合同。</w:t>
      </w:r>
    </w:p>
    <w:p w14:paraId="7E8191CB">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5818E23">
      <w:pPr>
        <w:spacing w:line="360" w:lineRule="auto"/>
        <w:rPr>
          <w:rFonts w:asciiTheme="minorEastAsia" w:hAnsiTheme="minorEastAsia" w:eastAsiaTheme="minorEastAsia"/>
          <w:bCs/>
          <w:color w:val="auto"/>
          <w:sz w:val="24"/>
          <w:highlight w:val="none"/>
        </w:rPr>
      </w:pPr>
    </w:p>
    <w:p w14:paraId="732BBA0C">
      <w:pPr>
        <w:spacing w:line="360" w:lineRule="auto"/>
        <w:rPr>
          <w:rFonts w:asciiTheme="minorEastAsia" w:hAnsiTheme="minorEastAsia" w:eastAsiaTheme="minorEastAsia"/>
          <w:bCs/>
          <w:color w:val="auto"/>
          <w:sz w:val="24"/>
          <w:highlight w:val="none"/>
        </w:rPr>
      </w:pPr>
    </w:p>
    <w:p w14:paraId="27372F93">
      <w:pPr>
        <w:spacing w:line="360" w:lineRule="auto"/>
        <w:ind w:firstLine="4320" w:firstLineChars="1800"/>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供应商签章：</w:t>
      </w:r>
      <w:r>
        <w:rPr>
          <w:rFonts w:hint="eastAsia" w:asciiTheme="minorEastAsia" w:hAnsiTheme="minorEastAsia" w:eastAsiaTheme="minorEastAsia"/>
          <w:bCs/>
          <w:color w:val="auto"/>
          <w:sz w:val="24"/>
          <w:highlight w:val="none"/>
          <w:u w:val="single"/>
        </w:rPr>
        <w:t xml:space="preserve">     </w:t>
      </w:r>
      <w:r>
        <w:rPr>
          <w:rFonts w:asciiTheme="minorEastAsia" w:hAnsiTheme="minorEastAsia" w:eastAsiaTheme="minorEastAsia"/>
          <w:bCs/>
          <w:color w:val="auto"/>
          <w:sz w:val="24"/>
          <w:highlight w:val="none"/>
          <w:u w:val="single"/>
        </w:rPr>
        <w:t xml:space="preserve">    </w:t>
      </w:r>
      <w:r>
        <w:rPr>
          <w:rFonts w:hint="eastAsia" w:asciiTheme="minorEastAsia" w:hAnsiTheme="minorEastAsia" w:eastAsiaTheme="minorEastAsia"/>
          <w:bCs/>
          <w:color w:val="auto"/>
          <w:sz w:val="24"/>
          <w:highlight w:val="none"/>
          <w:u w:val="single"/>
        </w:rPr>
        <w:t xml:space="preserve">    </w:t>
      </w:r>
    </w:p>
    <w:p w14:paraId="78C7D21E">
      <w:pPr>
        <w:spacing w:line="360" w:lineRule="auto"/>
        <w:ind w:firstLine="4320" w:firstLineChars="18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日          期：</w:t>
      </w:r>
      <w:r>
        <w:rPr>
          <w:rFonts w:hint="eastAsia" w:asciiTheme="minorEastAsia" w:hAnsiTheme="minorEastAsia" w:eastAsiaTheme="minorEastAsia"/>
          <w:bCs/>
          <w:color w:val="auto"/>
          <w:sz w:val="24"/>
          <w:highlight w:val="none"/>
          <w:u w:val="single"/>
        </w:rPr>
        <w:t xml:space="preserve">             </w:t>
      </w:r>
    </w:p>
    <w:p w14:paraId="09D1A404">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231"/>
    <w:p w14:paraId="1F4B89C8">
      <w:pPr>
        <w:spacing w:line="360" w:lineRule="auto"/>
        <w:jc w:val="center"/>
        <w:outlineLvl w:val="1"/>
        <w:rPr>
          <w:rFonts w:asciiTheme="minorEastAsia" w:hAnsiTheme="minorEastAsia" w:eastAsiaTheme="minorEastAsia"/>
          <w:b/>
          <w:color w:val="auto"/>
          <w:sz w:val="24"/>
          <w:highlight w:val="none"/>
        </w:rPr>
      </w:pPr>
      <w:bookmarkStart w:id="232" w:name="_Toc7807"/>
      <w:bookmarkStart w:id="233" w:name="_Toc3826"/>
      <w:r>
        <w:rPr>
          <w:rFonts w:hint="eastAsia" w:asciiTheme="minorEastAsia" w:hAnsiTheme="minorEastAsia" w:eastAsiaTheme="minorEastAsia"/>
          <w:b/>
          <w:color w:val="auto"/>
          <w:sz w:val="24"/>
          <w:highlight w:val="none"/>
          <w:lang w:val="en-US" w:eastAsia="zh-CN"/>
        </w:rPr>
        <w:t>11</w:t>
      </w:r>
      <w:r>
        <w:rPr>
          <w:rFonts w:hint="eastAsia" w:asciiTheme="minorEastAsia" w:hAnsiTheme="minorEastAsia" w:eastAsiaTheme="minorEastAsia"/>
          <w:b/>
          <w:color w:val="auto"/>
          <w:sz w:val="24"/>
          <w:highlight w:val="none"/>
        </w:rPr>
        <w:t>、其他相关证明材料</w:t>
      </w:r>
      <w:bookmarkEnd w:id="232"/>
      <w:bookmarkEnd w:id="233"/>
    </w:p>
    <w:p w14:paraId="5E539229">
      <w:pPr>
        <w:tabs>
          <w:tab w:val="left" w:pos="4620"/>
        </w:tabs>
        <w:spacing w:line="360" w:lineRule="auto"/>
        <w:ind w:firstLine="480" w:firstLineChars="200"/>
        <w:rPr>
          <w:rFonts w:ascii="宋体" w:hAnsi="宋体" w:eastAsia="宋体"/>
          <w:color w:val="auto"/>
          <w:sz w:val="24"/>
          <w:highlight w:val="none"/>
        </w:rPr>
      </w:pPr>
      <w:r>
        <w:rPr>
          <w:rFonts w:hint="eastAsia" w:ascii="宋体" w:hAnsi="宋体" w:eastAsia="宋体"/>
          <w:color w:val="auto"/>
          <w:sz w:val="24"/>
          <w:highlight w:val="none"/>
        </w:rPr>
        <w:t>提供符合磋商邀请、采购需求及评审方法和标准规定的相关证明文件。</w:t>
      </w:r>
    </w:p>
    <w:p w14:paraId="4069CC21">
      <w:pPr>
        <w:spacing w:line="360" w:lineRule="auto"/>
        <w:ind w:firstLine="435"/>
        <w:rPr>
          <w:rFonts w:asciiTheme="minorEastAsia" w:hAnsiTheme="minorEastAsia" w:eastAsiaTheme="minorEastAsia"/>
          <w:color w:val="auto"/>
          <w:sz w:val="24"/>
          <w:highlight w:val="none"/>
        </w:rPr>
      </w:pPr>
    </w:p>
    <w:p w14:paraId="2CB02D42">
      <w:pPr>
        <w:spacing w:line="360" w:lineRule="auto"/>
        <w:ind w:firstLine="480" w:firstLineChars="200"/>
        <w:rPr>
          <w:rFonts w:asciiTheme="minorEastAsia" w:hAnsiTheme="minorEastAsia" w:eastAsiaTheme="minorEastAsia"/>
          <w:color w:val="auto"/>
          <w:sz w:val="24"/>
          <w:highlight w:val="none"/>
        </w:rPr>
      </w:pPr>
    </w:p>
    <w:p w14:paraId="7A089CDF">
      <w:pPr>
        <w:spacing w:line="360" w:lineRule="auto"/>
        <w:jc w:val="center"/>
        <w:rPr>
          <w:rFonts w:asciiTheme="minorEastAsia" w:hAnsiTheme="minorEastAsia" w:eastAsiaTheme="minorEastAsia"/>
          <w:b/>
          <w:color w:val="auto"/>
          <w:sz w:val="24"/>
          <w:highlight w:val="none"/>
        </w:rPr>
      </w:pPr>
    </w:p>
    <w:p w14:paraId="2ED54802">
      <w:pPr>
        <w:widowControl/>
        <w:jc w:val="left"/>
        <w:rPr>
          <w:rFonts w:ascii="宋体" w:hAnsi="宋体" w:eastAsia="宋体"/>
          <w:bCs/>
          <w:color w:val="auto"/>
          <w:sz w:val="24"/>
          <w:highlight w:val="none"/>
        </w:rPr>
      </w:pPr>
      <w:r>
        <w:rPr>
          <w:rFonts w:asciiTheme="minorEastAsia" w:hAnsiTheme="minorEastAsia" w:eastAsiaTheme="minorEastAsia"/>
          <w:color w:val="auto"/>
          <w:sz w:val="24"/>
          <w:highlight w:val="none"/>
        </w:rPr>
        <w:br w:type="page"/>
      </w:r>
    </w:p>
    <w:p w14:paraId="379889EA">
      <w:pPr>
        <w:spacing w:line="360" w:lineRule="auto"/>
        <w:jc w:val="center"/>
        <w:outlineLvl w:val="0"/>
        <w:rPr>
          <w:rFonts w:ascii="宋体" w:hAnsi="宋体" w:eastAsia="宋体"/>
          <w:b/>
          <w:bCs/>
          <w:color w:val="auto"/>
          <w:sz w:val="28"/>
          <w:highlight w:val="none"/>
        </w:rPr>
      </w:pPr>
      <w:bookmarkStart w:id="234" w:name="_Toc63440924"/>
      <w:bookmarkStart w:id="235" w:name="_Toc19418"/>
      <w:r>
        <w:rPr>
          <w:rFonts w:hint="eastAsia" w:ascii="宋体" w:hAnsi="宋体" w:eastAsia="宋体"/>
          <w:b/>
          <w:bCs/>
          <w:color w:val="auto"/>
          <w:sz w:val="28"/>
          <w:highlight w:val="none"/>
        </w:rPr>
        <w:t>第</w:t>
      </w:r>
      <w:r>
        <w:rPr>
          <w:rFonts w:hint="eastAsia" w:ascii="宋体" w:hAnsi="宋体" w:eastAsia="宋体"/>
          <w:b/>
          <w:bCs/>
          <w:color w:val="auto"/>
          <w:sz w:val="28"/>
          <w:highlight w:val="none"/>
          <w:lang w:val="en-US" w:eastAsia="zh-CN"/>
        </w:rPr>
        <w:t>七</w:t>
      </w:r>
      <w:r>
        <w:rPr>
          <w:rFonts w:hint="eastAsia" w:ascii="宋体" w:hAnsi="宋体" w:eastAsia="宋体"/>
          <w:b/>
          <w:bCs/>
          <w:color w:val="auto"/>
          <w:sz w:val="28"/>
          <w:highlight w:val="none"/>
        </w:rPr>
        <w:t>章  政府采购</w:t>
      </w:r>
      <w:bookmarkEnd w:id="234"/>
      <w:r>
        <w:rPr>
          <w:rFonts w:hint="eastAsia" w:asciiTheme="minorEastAsia" w:hAnsiTheme="minorEastAsia" w:eastAsiaTheme="minorEastAsia"/>
          <w:b/>
          <w:color w:val="auto"/>
          <w:sz w:val="28"/>
          <w:highlight w:val="none"/>
        </w:rPr>
        <w:t>供应</w:t>
      </w:r>
      <w:r>
        <w:rPr>
          <w:rFonts w:hint="eastAsia" w:ascii="宋体" w:hAnsi="宋体" w:eastAsia="宋体"/>
          <w:b/>
          <w:bCs/>
          <w:color w:val="auto"/>
          <w:sz w:val="28"/>
          <w:highlight w:val="none"/>
        </w:rPr>
        <w:t>商询问函和质疑函范本</w:t>
      </w:r>
      <w:bookmarkEnd w:id="235"/>
    </w:p>
    <w:p w14:paraId="41FD10DD">
      <w:pPr>
        <w:spacing w:line="360" w:lineRule="auto"/>
        <w:jc w:val="center"/>
        <w:outlineLvl w:val="1"/>
        <w:rPr>
          <w:rFonts w:ascii="仿宋" w:hAnsi="仿宋" w:eastAsia="仿宋" w:cs="仿宋"/>
          <w:b/>
          <w:bCs/>
          <w:color w:val="auto"/>
          <w:sz w:val="32"/>
          <w:szCs w:val="44"/>
          <w:highlight w:val="none"/>
        </w:rPr>
      </w:pPr>
      <w:bookmarkStart w:id="236" w:name="_Toc2142"/>
      <w:bookmarkStart w:id="237" w:name="_Toc8735"/>
      <w:r>
        <w:rPr>
          <w:rFonts w:hint="eastAsia" w:ascii="仿宋" w:hAnsi="仿宋" w:eastAsia="仿宋" w:cs="仿宋"/>
          <w:b/>
          <w:bCs/>
          <w:color w:val="auto"/>
          <w:sz w:val="32"/>
          <w:szCs w:val="44"/>
          <w:highlight w:val="none"/>
        </w:rPr>
        <w:t>询问函范本</w:t>
      </w:r>
      <w:bookmarkEnd w:id="236"/>
      <w:bookmarkEnd w:id="237"/>
    </w:p>
    <w:p w14:paraId="7FF4F453">
      <w:pPr>
        <w:adjustRightInd w:val="0"/>
        <w:snapToGrid w:val="0"/>
        <w:spacing w:line="360" w:lineRule="auto"/>
        <w:ind w:firstLine="480" w:firstLineChars="200"/>
        <w:jc w:val="center"/>
        <w:rPr>
          <w:rFonts w:ascii="仿宋" w:hAnsi="仿宋" w:eastAsia="仿宋" w:cs="仿宋"/>
          <w:b/>
          <w:bCs/>
          <w:color w:val="auto"/>
          <w:sz w:val="32"/>
          <w:szCs w:val="44"/>
          <w:highlight w:val="none"/>
        </w:rPr>
      </w:pPr>
      <w:r>
        <w:rPr>
          <w:rFonts w:hint="eastAsia" w:cs="仿宋" w:asciiTheme="minorEastAsia" w:hAnsiTheme="minorEastAsia" w:eastAsiaTheme="minorEastAsia"/>
          <w:i/>
          <w:iCs/>
          <w:color w:val="auto"/>
          <w:sz w:val="24"/>
          <w:szCs w:val="24"/>
          <w:highlight w:val="none"/>
        </w:rPr>
        <w:t>（如为对采购文件或采购程序的询问或疑问，请按询问函范本询问格式附件进行</w:t>
      </w:r>
      <w:r>
        <w:rPr>
          <w:rFonts w:hint="eastAsia" w:cs="仿宋" w:asciiTheme="minorEastAsia" w:hAnsiTheme="minorEastAsia" w:eastAsiaTheme="minorEastAsia"/>
          <w:i/>
          <w:iCs/>
          <w:color w:val="auto"/>
          <w:sz w:val="24"/>
          <w:szCs w:val="24"/>
          <w:highlight w:val="none"/>
          <w:lang w:val="en-US" w:eastAsia="zh-CN"/>
        </w:rPr>
        <w:t>书面</w:t>
      </w:r>
      <w:r>
        <w:rPr>
          <w:rFonts w:hint="eastAsia" w:cs="仿宋" w:asciiTheme="minorEastAsia" w:hAnsiTheme="minorEastAsia" w:eastAsiaTheme="minorEastAsia"/>
          <w:i/>
          <w:iCs/>
          <w:color w:val="auto"/>
          <w:sz w:val="24"/>
          <w:szCs w:val="24"/>
          <w:highlight w:val="none"/>
        </w:rPr>
        <w:t>提交）</w:t>
      </w:r>
    </w:p>
    <w:p w14:paraId="738BBC9A">
      <w:pPr>
        <w:adjustRightInd w:val="0"/>
        <w:snapToGrid w:val="0"/>
        <w:spacing w:line="360" w:lineRule="auto"/>
        <w:rPr>
          <w:rFonts w:hint="eastAsia" w:cs="仿宋" w:asciiTheme="minorEastAsia" w:hAnsiTheme="minorEastAsia" w:eastAsiaTheme="minorEastAsia"/>
          <w:b/>
          <w:bCs/>
          <w:color w:val="auto"/>
          <w:sz w:val="24"/>
          <w:szCs w:val="24"/>
          <w:highlight w:val="none"/>
          <w:lang w:eastAsia="zh-CN"/>
        </w:rPr>
      </w:pPr>
      <w:r>
        <w:rPr>
          <w:rFonts w:hint="eastAsia" w:cs="仿宋" w:asciiTheme="minorEastAsia" w:hAnsiTheme="minorEastAsia" w:eastAsiaTheme="minorEastAsia"/>
          <w:b/>
          <w:bCs/>
          <w:color w:val="auto"/>
          <w:sz w:val="24"/>
          <w:szCs w:val="24"/>
          <w:highlight w:val="none"/>
          <w:lang w:val="en-US" w:eastAsia="zh-CN"/>
        </w:rPr>
        <w:t>致：</w:t>
      </w:r>
      <w:r>
        <w:rPr>
          <w:rFonts w:hint="eastAsia" w:cs="仿宋" w:asciiTheme="minorEastAsia" w:hAnsiTheme="minorEastAsia" w:eastAsiaTheme="minorEastAsia"/>
          <w:b/>
          <w:bCs/>
          <w:color w:val="auto"/>
          <w:sz w:val="24"/>
          <w:szCs w:val="24"/>
          <w:highlight w:val="none"/>
          <w:u w:val="none"/>
          <w:lang w:val="en-US" w:eastAsia="zh-CN"/>
        </w:rPr>
        <w:t>采购人</w:t>
      </w:r>
    </w:p>
    <w:p w14:paraId="19F87402">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我单位拟参与</w:t>
      </w:r>
      <w:r>
        <w:rPr>
          <w:rFonts w:hint="eastAsia" w:cs="仿宋" w:asciiTheme="minorEastAsia" w:hAnsiTheme="minorEastAsia" w:eastAsiaTheme="minorEastAsia"/>
          <w:color w:val="auto"/>
          <w:sz w:val="24"/>
          <w:szCs w:val="24"/>
          <w:highlight w:val="none"/>
          <w:u w:val="single"/>
          <w:lang w:val="en-US" w:eastAsia="zh-CN"/>
        </w:rPr>
        <w:t xml:space="preserve">             </w:t>
      </w:r>
      <w:r>
        <w:rPr>
          <w:rFonts w:hint="eastAsia" w:cs="仿宋" w:asciiTheme="minorEastAsia" w:hAnsiTheme="minorEastAsia" w:eastAsiaTheme="minorEastAsia"/>
          <w:i/>
          <w:iCs/>
          <w:color w:val="auto"/>
          <w:sz w:val="24"/>
          <w:szCs w:val="24"/>
          <w:highlight w:val="none"/>
          <w:u w:val="none"/>
          <w:lang w:val="en-US" w:eastAsia="zh-CN"/>
        </w:rPr>
        <w:t>（</w:t>
      </w:r>
      <w:r>
        <w:rPr>
          <w:rFonts w:hint="eastAsia" w:cs="仿宋" w:asciiTheme="minorEastAsia" w:hAnsiTheme="minorEastAsia" w:eastAsiaTheme="minorEastAsia"/>
          <w:i/>
          <w:iCs/>
          <w:color w:val="auto"/>
          <w:sz w:val="24"/>
          <w:szCs w:val="24"/>
          <w:highlight w:val="none"/>
          <w:u w:val="none"/>
        </w:rPr>
        <w:t>项目</w:t>
      </w:r>
      <w:r>
        <w:rPr>
          <w:rFonts w:hint="eastAsia" w:cs="仿宋" w:asciiTheme="minorEastAsia" w:hAnsiTheme="minorEastAsia" w:eastAsiaTheme="minorEastAsia"/>
          <w:i/>
          <w:iCs/>
          <w:color w:val="auto"/>
          <w:sz w:val="24"/>
          <w:szCs w:val="24"/>
          <w:highlight w:val="none"/>
          <w:u w:val="none"/>
          <w:lang w:val="en-US" w:eastAsia="zh-CN"/>
        </w:rPr>
        <w:t>名称、</w:t>
      </w:r>
      <w:r>
        <w:rPr>
          <w:rFonts w:hint="eastAsia" w:cs="仿宋" w:asciiTheme="minorEastAsia" w:hAnsiTheme="minorEastAsia" w:eastAsiaTheme="minorEastAsia"/>
          <w:i/>
          <w:iCs/>
          <w:color w:val="auto"/>
          <w:sz w:val="24"/>
          <w:szCs w:val="24"/>
          <w:highlight w:val="none"/>
          <w:u w:val="none"/>
        </w:rPr>
        <w:t>编号)</w:t>
      </w:r>
      <w:r>
        <w:rPr>
          <w:rFonts w:hint="eastAsia" w:cs="仿宋" w:asciiTheme="minorEastAsia" w:hAnsiTheme="minorEastAsia" w:eastAsiaTheme="minorEastAsia"/>
          <w:color w:val="auto"/>
          <w:sz w:val="24"/>
          <w:szCs w:val="24"/>
          <w:highlight w:val="none"/>
        </w:rPr>
        <w:t>的采购活动，现有以下内容(或条款)存在疑问(或无法理解)，特提出询问。</w:t>
      </w:r>
    </w:p>
    <w:p w14:paraId="0FEF962A">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238" w:name="_Toc26386"/>
      <w:bookmarkStart w:id="239" w:name="_Toc9092"/>
      <w:r>
        <w:rPr>
          <w:rFonts w:hint="eastAsia" w:cs="仿宋" w:asciiTheme="minorEastAsia" w:hAnsiTheme="minorEastAsia" w:eastAsiaTheme="minorEastAsia"/>
          <w:color w:val="auto"/>
          <w:sz w:val="24"/>
          <w:szCs w:val="24"/>
          <w:highlight w:val="none"/>
        </w:rPr>
        <w:t>一、(事项一)</w:t>
      </w:r>
      <w:bookmarkEnd w:id="238"/>
      <w:bookmarkEnd w:id="239"/>
    </w:p>
    <w:p w14:paraId="1281EABD">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14:paraId="37618FB4">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14:paraId="3E227F64">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14:paraId="26E793BF">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240" w:name="_Toc17582"/>
      <w:bookmarkStart w:id="241" w:name="_Toc9273"/>
      <w:r>
        <w:rPr>
          <w:rFonts w:hint="eastAsia" w:cs="仿宋" w:asciiTheme="minorEastAsia" w:hAnsiTheme="minorEastAsia" w:eastAsiaTheme="minorEastAsia"/>
          <w:color w:val="auto"/>
          <w:sz w:val="24"/>
          <w:szCs w:val="24"/>
          <w:highlight w:val="none"/>
        </w:rPr>
        <w:t>二、(事项二)</w:t>
      </w:r>
      <w:bookmarkEnd w:id="240"/>
      <w:bookmarkEnd w:id="241"/>
    </w:p>
    <w:p w14:paraId="19A5D88B">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1B9C9407">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14:paraId="4FCB34AA">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14:paraId="12ACE8E9">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14:paraId="7CC9AA14">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14:paraId="55718456">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14:paraId="1714913D">
      <w:pPr>
        <w:jc w:val="center"/>
        <w:outlineLvl w:val="1"/>
        <w:rPr>
          <w:rFonts w:ascii="仿宋" w:hAnsi="仿宋" w:eastAsia="仿宋" w:cs="仿宋"/>
          <w:b/>
          <w:bCs/>
          <w:color w:val="auto"/>
          <w:sz w:val="32"/>
          <w:szCs w:val="44"/>
          <w:highlight w:val="none"/>
        </w:rPr>
      </w:pPr>
      <w:bookmarkStart w:id="242" w:name="_Toc6990"/>
      <w:bookmarkStart w:id="243" w:name="_Toc26673"/>
      <w:r>
        <w:rPr>
          <w:rFonts w:hint="eastAsia" w:ascii="仿宋" w:hAnsi="仿宋" w:eastAsia="仿宋" w:cs="仿宋"/>
          <w:b/>
          <w:bCs/>
          <w:color w:val="auto"/>
          <w:sz w:val="32"/>
          <w:szCs w:val="44"/>
          <w:highlight w:val="none"/>
        </w:rPr>
        <w:t>质疑函范本</w:t>
      </w:r>
      <w:bookmarkEnd w:id="242"/>
      <w:bookmarkEnd w:id="243"/>
    </w:p>
    <w:p w14:paraId="49AD0B40">
      <w:pPr>
        <w:adjustRightInd w:val="0"/>
        <w:snapToGrid w:val="0"/>
        <w:spacing w:before="312" w:beforeLines="100" w:line="360" w:lineRule="auto"/>
        <w:outlineLvl w:val="1"/>
        <w:rPr>
          <w:rFonts w:cs="仿宋" w:asciiTheme="minorEastAsia" w:hAnsiTheme="minorEastAsia" w:eastAsiaTheme="minorEastAsia"/>
          <w:b/>
          <w:bCs/>
          <w:color w:val="auto"/>
          <w:sz w:val="24"/>
          <w:szCs w:val="24"/>
          <w:highlight w:val="none"/>
        </w:rPr>
      </w:pPr>
      <w:bookmarkStart w:id="244" w:name="_Toc29510"/>
      <w:bookmarkStart w:id="245" w:name="_Toc2994"/>
      <w:r>
        <w:rPr>
          <w:rFonts w:hint="eastAsia" w:cs="仿宋" w:asciiTheme="minorEastAsia" w:hAnsiTheme="minorEastAsia" w:eastAsiaTheme="minorEastAsia"/>
          <w:b/>
          <w:bCs/>
          <w:color w:val="auto"/>
          <w:sz w:val="24"/>
          <w:szCs w:val="24"/>
          <w:highlight w:val="none"/>
        </w:rPr>
        <w:t>一、质疑供应商基本信息</w:t>
      </w:r>
      <w:bookmarkEnd w:id="244"/>
      <w:bookmarkEnd w:id="245"/>
    </w:p>
    <w:p w14:paraId="3F0CCCAA">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14:paraId="6F6290C0">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4157851A">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1BE40091">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14:paraId="5C098AE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331A894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47AF4CCD">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246" w:name="_Toc28130"/>
      <w:bookmarkStart w:id="247" w:name="_Toc31042"/>
      <w:r>
        <w:rPr>
          <w:rFonts w:hint="eastAsia" w:cs="仿宋" w:asciiTheme="minorEastAsia" w:hAnsiTheme="minorEastAsia" w:eastAsiaTheme="minorEastAsia"/>
          <w:b/>
          <w:bCs/>
          <w:color w:val="auto"/>
          <w:sz w:val="24"/>
          <w:szCs w:val="24"/>
          <w:highlight w:val="none"/>
        </w:rPr>
        <w:t>二、质疑项目基本情况</w:t>
      </w:r>
      <w:bookmarkEnd w:id="246"/>
      <w:bookmarkEnd w:id="247"/>
    </w:p>
    <w:p w14:paraId="3C2E3A4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14:paraId="4597E0A8">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14:paraId="62B98708">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14:paraId="6F3C89BF">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14:paraId="6C3AFE7F">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248" w:name="_Toc6486"/>
      <w:bookmarkStart w:id="249" w:name="_Toc20587"/>
      <w:r>
        <w:rPr>
          <w:rFonts w:hint="eastAsia" w:cs="仿宋" w:asciiTheme="minorEastAsia" w:hAnsiTheme="minorEastAsia" w:eastAsiaTheme="minorEastAsia"/>
          <w:b/>
          <w:bCs/>
          <w:color w:val="auto"/>
          <w:sz w:val="24"/>
          <w:szCs w:val="24"/>
          <w:highlight w:val="none"/>
        </w:rPr>
        <w:t>三、质疑事项具体内容</w:t>
      </w:r>
      <w:bookmarkEnd w:id="248"/>
      <w:bookmarkEnd w:id="249"/>
    </w:p>
    <w:p w14:paraId="4F852356">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14:paraId="0D7C01D2">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14:paraId="31E16F86">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14:paraId="363EBF68">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14:paraId="214E0CD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14:paraId="051089A0">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14:paraId="7766B30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603A67DC">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250" w:name="_Toc20470"/>
      <w:bookmarkStart w:id="251" w:name="_Toc32755"/>
      <w:r>
        <w:rPr>
          <w:rFonts w:hint="eastAsia" w:cs="仿宋" w:asciiTheme="minorEastAsia" w:hAnsiTheme="minorEastAsia" w:eastAsiaTheme="minorEastAsia"/>
          <w:b/>
          <w:bCs/>
          <w:color w:val="auto"/>
          <w:sz w:val="24"/>
          <w:szCs w:val="24"/>
          <w:highlight w:val="none"/>
        </w:rPr>
        <w:t>四、与质疑事项相关的质疑请求</w:t>
      </w:r>
      <w:bookmarkEnd w:id="250"/>
      <w:bookmarkEnd w:id="251"/>
    </w:p>
    <w:p w14:paraId="0DAA2631">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14:paraId="517E6B87">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14:paraId="11F9F2AC">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14:paraId="7DF509A5">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14:paraId="6A38DDD5">
      <w:pPr>
        <w:outlineLvl w:val="0"/>
        <w:rPr>
          <w:rFonts w:asciiTheme="minorEastAsia" w:hAnsiTheme="minorEastAsia" w:eastAsiaTheme="minorEastAsia"/>
          <w:b/>
          <w:color w:val="auto"/>
          <w:sz w:val="28"/>
          <w:szCs w:val="32"/>
          <w:highlight w:val="none"/>
        </w:rPr>
      </w:pPr>
      <w:bookmarkStart w:id="252" w:name="_Toc21667"/>
      <w:bookmarkStart w:id="253" w:name="_Toc8368"/>
      <w:r>
        <w:rPr>
          <w:rFonts w:hint="eastAsia" w:asciiTheme="minorEastAsia" w:hAnsiTheme="minorEastAsia" w:eastAsiaTheme="minorEastAsia"/>
          <w:b/>
          <w:color w:val="auto"/>
          <w:sz w:val="28"/>
          <w:szCs w:val="32"/>
          <w:highlight w:val="none"/>
        </w:rPr>
        <w:t>质疑函制作说明：</w:t>
      </w:r>
      <w:bookmarkEnd w:id="252"/>
      <w:bookmarkEnd w:id="253"/>
    </w:p>
    <w:p w14:paraId="4C105B0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14:paraId="7C973A2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0389482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14:paraId="79CDB3F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14:paraId="1361DCB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14:paraId="043FF26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DE3C2">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DEFED">
    <w:pPr>
      <w:pStyle w:val="1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C748A">
    <w:pPr>
      <w:pStyle w:val="15"/>
      <w:rPr>
        <w:rFonts w:asciiTheme="minorEastAsia" w:hAnsiTheme="minorEastAsia" w:eastAsiaTheme="minorEastAsia"/>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posOffset>2157730</wp:posOffset>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563B45">
                          <w:pPr>
                            <w:pStyle w:val="15"/>
                            <w:rPr>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41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54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69.9pt;margin-top:0pt;height:144pt;width:144pt;mso-position-horizontal-relative:margin;mso-wrap-style:none;z-index:251659264;mso-width-relative:page;mso-height-relative:page;" filled="f" stroked="f" coordsize="21600,21600" o:gfxdata="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cAboDVAAAACAEAAA8AAAAAAAAAAQAgAAAAIgAAAGRycy9kb3ducmV2LnhtbFBL&#10;AQIUABQAAAAIAIdO4kC6jDgrMgIAAGEEAAAOAAAAAAAAAAEAIAAAACQBAABkcnMvZTJvRG9jLnht&#10;bFBLBQYAAAAABgAGAFkBAADIBQAAAAA=&#10;">
              <v:fill on="f" focussize="0,0"/>
              <v:stroke on="f" weight="0.5pt"/>
              <v:imagedata o:title=""/>
              <o:lock v:ext="edit" aspectratio="f"/>
              <v:textbox inset="0mm,0mm,0mm,0mm" style="mso-fit-shape-to-text:t;">
                <w:txbxContent>
                  <w:p w14:paraId="02563B45">
                    <w:pPr>
                      <w:pStyle w:val="15"/>
                      <w:rPr>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41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NUMPAGES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54</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993E1">
    <w:pPr>
      <w:pStyle w:val="16"/>
      <w:jc w:val="both"/>
    </w:pPr>
    <w:r>
      <w:rPr>
        <w:rFonts w:hint="eastAsia" w:ascii="宋体" w:hAnsi="宋体" w:eastAsia="宋体"/>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宋体" w:hAnsi="宋体" w:eastAsia="宋体"/>
      </w:rPr>
      <w:t>服务类</w:t>
    </w:r>
    <w:r>
      <w:rPr>
        <w:rFonts w:hint="eastAsia" w:ascii="宋体" w:hAnsi="宋体" w:eastAsia="宋体"/>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8EFD6">
    <w:pPr>
      <w:pStyle w:val="16"/>
      <w:jc w:val="left"/>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w:t>
    </w:r>
    <w:r>
      <w:rPr>
        <w:rFonts w:hint="eastAsia" w:asciiTheme="minorEastAsia" w:hAnsiTheme="minorEastAsia" w:eastAsiaTheme="minorEastAsia"/>
      </w:rPr>
      <w:t>竞争性磋商文件</w:t>
    </w:r>
    <w:r>
      <w:rPr>
        <w:rFonts w:hint="eastAsia" w:asciiTheme="minorEastAsia" w:hAnsiTheme="minorEastAsia" w:eastAsiaTheme="minorEastAsia"/>
        <w:lang w:eastAsia="zh-CN"/>
      </w:rPr>
      <w:t>示范文本（</w:t>
    </w:r>
    <w:r>
      <w:rPr>
        <w:rFonts w:hint="eastAsia" w:asciiTheme="minorEastAsia" w:hAnsiTheme="minorEastAsia" w:eastAsiaTheme="minorEastAsia"/>
      </w:rPr>
      <w:t>服务类</w:t>
    </w:r>
    <w:r>
      <w:rPr>
        <w:rFonts w:hint="eastAsia" w:asciiTheme="minorEastAsia" w:hAnsiTheme="minorEastAsia" w:eastAsiaTheme="minorEastAsia"/>
        <w:lang w:eastAsia="zh-C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5B48C">
    <w:pPr>
      <w:pStyle w:val="16"/>
      <w:jc w:val="left"/>
    </w:pPr>
    <w:r>
      <w:rPr>
        <w:rFonts w:hint="eastAsia" w:asciiTheme="minorEastAsia" w:hAnsiTheme="minorEastAsia" w:eastAsiaTheme="minorEastAsia"/>
        <w:lang w:val="en-US" w:eastAsia="zh-CN"/>
      </w:rPr>
      <w:t>安徽省</w:t>
    </w:r>
    <w:r>
      <w:rPr>
        <w:rFonts w:hint="eastAsia" w:asciiTheme="minorEastAsia" w:hAnsiTheme="minorEastAsia" w:eastAsiaTheme="minorEastAsia"/>
      </w:rPr>
      <w:t>政府采购</w:t>
    </w:r>
    <w:r>
      <w:rPr>
        <w:rFonts w:hint="eastAsia" w:asciiTheme="minorEastAsia" w:hAnsiTheme="minorEastAsia" w:eastAsiaTheme="minorEastAsia"/>
        <w:lang w:eastAsia="zh-CN"/>
      </w:rPr>
      <w:t>项目</w:t>
    </w:r>
    <w:r>
      <w:rPr>
        <w:rFonts w:hint="eastAsia" w:asciiTheme="minorEastAsia" w:hAnsiTheme="minorEastAsia" w:eastAsiaTheme="minorEastAsia"/>
      </w:rPr>
      <w:t>竞争性磋商文件</w:t>
    </w:r>
    <w:r>
      <w:rPr>
        <w:rFonts w:hint="eastAsia" w:asciiTheme="minorEastAsia" w:hAnsiTheme="minorEastAsia" w:eastAsiaTheme="minorEastAsia"/>
        <w:lang w:eastAsia="zh-CN"/>
      </w:rPr>
      <w:t>示范文本（</w:t>
    </w:r>
    <w:r>
      <w:rPr>
        <w:rFonts w:hint="eastAsia" w:asciiTheme="minorEastAsia" w:hAnsiTheme="minorEastAsia" w:eastAsiaTheme="minorEastAsia"/>
      </w:rPr>
      <w:t>服务类</w:t>
    </w:r>
    <w:r>
      <w:rPr>
        <w:rFonts w:hint="eastAsia" w:asciiTheme="minorEastAsia" w:hAnsiTheme="minorEastAsia" w:eastAsiaTheme="minorEastAsia"/>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504E3F"/>
    <w:multiLevelType w:val="singleLevel"/>
    <w:tmpl w:val="14504E3F"/>
    <w:lvl w:ilvl="0" w:tentative="0">
      <w:start w:val="1"/>
      <w:numFmt w:val="decimal"/>
      <w:lvlText w:val="%1."/>
      <w:lvlJc w:val="left"/>
      <w:pPr>
        <w:tabs>
          <w:tab w:val="left" w:pos="312"/>
        </w:tabs>
      </w:pPr>
    </w:lvl>
  </w:abstractNum>
  <w:abstractNum w:abstractNumId="1">
    <w:nsid w:val="2BDCF203"/>
    <w:multiLevelType w:val="singleLevel"/>
    <w:tmpl w:val="2BDCF20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1MDdmYTBjM2ViZGYxM2E0NGE5ZWVlZjI5ZjI1ZTgifQ=="/>
  </w:docVars>
  <w:rsids>
    <w:rsidRoot w:val="00276BA1"/>
    <w:rsid w:val="0000043F"/>
    <w:rsid w:val="000037F9"/>
    <w:rsid w:val="000049DA"/>
    <w:rsid w:val="00005403"/>
    <w:rsid w:val="000056B7"/>
    <w:rsid w:val="00007D87"/>
    <w:rsid w:val="000131F7"/>
    <w:rsid w:val="00014039"/>
    <w:rsid w:val="00016B6C"/>
    <w:rsid w:val="00020B57"/>
    <w:rsid w:val="00020B6D"/>
    <w:rsid w:val="000323E2"/>
    <w:rsid w:val="00040C25"/>
    <w:rsid w:val="00042139"/>
    <w:rsid w:val="00042B14"/>
    <w:rsid w:val="00044F49"/>
    <w:rsid w:val="000450C3"/>
    <w:rsid w:val="00050A3F"/>
    <w:rsid w:val="00052F95"/>
    <w:rsid w:val="00054AA3"/>
    <w:rsid w:val="00056ECB"/>
    <w:rsid w:val="00057B40"/>
    <w:rsid w:val="000648D2"/>
    <w:rsid w:val="00070E0E"/>
    <w:rsid w:val="0007146E"/>
    <w:rsid w:val="00076DB7"/>
    <w:rsid w:val="00080FEB"/>
    <w:rsid w:val="00094D41"/>
    <w:rsid w:val="00097CB9"/>
    <w:rsid w:val="000A0161"/>
    <w:rsid w:val="000A10A9"/>
    <w:rsid w:val="000A6693"/>
    <w:rsid w:val="000A7970"/>
    <w:rsid w:val="000A7D94"/>
    <w:rsid w:val="000B1511"/>
    <w:rsid w:val="000B6249"/>
    <w:rsid w:val="000C1DB1"/>
    <w:rsid w:val="000D19EC"/>
    <w:rsid w:val="000D3F37"/>
    <w:rsid w:val="000E3C74"/>
    <w:rsid w:val="000E3F9B"/>
    <w:rsid w:val="000E478E"/>
    <w:rsid w:val="000E6689"/>
    <w:rsid w:val="000F0EBF"/>
    <w:rsid w:val="000F172B"/>
    <w:rsid w:val="000F2198"/>
    <w:rsid w:val="000F39B6"/>
    <w:rsid w:val="000F3A94"/>
    <w:rsid w:val="000F6B7B"/>
    <w:rsid w:val="000F6F95"/>
    <w:rsid w:val="0010021F"/>
    <w:rsid w:val="00100B0F"/>
    <w:rsid w:val="0010187C"/>
    <w:rsid w:val="0010219C"/>
    <w:rsid w:val="001037E3"/>
    <w:rsid w:val="00107022"/>
    <w:rsid w:val="0011660B"/>
    <w:rsid w:val="0012143A"/>
    <w:rsid w:val="0012203E"/>
    <w:rsid w:val="001258BA"/>
    <w:rsid w:val="00130601"/>
    <w:rsid w:val="00132F4D"/>
    <w:rsid w:val="00133EA0"/>
    <w:rsid w:val="00137249"/>
    <w:rsid w:val="00140687"/>
    <w:rsid w:val="00146421"/>
    <w:rsid w:val="00153B20"/>
    <w:rsid w:val="00155F64"/>
    <w:rsid w:val="00157856"/>
    <w:rsid w:val="00160729"/>
    <w:rsid w:val="0016455F"/>
    <w:rsid w:val="00165398"/>
    <w:rsid w:val="00166794"/>
    <w:rsid w:val="00166ED8"/>
    <w:rsid w:val="001714C9"/>
    <w:rsid w:val="00171515"/>
    <w:rsid w:val="00172B93"/>
    <w:rsid w:val="001768BC"/>
    <w:rsid w:val="0018119B"/>
    <w:rsid w:val="001844AB"/>
    <w:rsid w:val="001853C7"/>
    <w:rsid w:val="00192879"/>
    <w:rsid w:val="001944B8"/>
    <w:rsid w:val="001967D2"/>
    <w:rsid w:val="00196DA3"/>
    <w:rsid w:val="001970C3"/>
    <w:rsid w:val="001971E5"/>
    <w:rsid w:val="001A0C0F"/>
    <w:rsid w:val="001A68E5"/>
    <w:rsid w:val="001B2A54"/>
    <w:rsid w:val="001B2BA4"/>
    <w:rsid w:val="001B5014"/>
    <w:rsid w:val="001B7327"/>
    <w:rsid w:val="001C2A15"/>
    <w:rsid w:val="001D22EA"/>
    <w:rsid w:val="001D53B4"/>
    <w:rsid w:val="001E1835"/>
    <w:rsid w:val="001F28D2"/>
    <w:rsid w:val="001F2F45"/>
    <w:rsid w:val="001F3023"/>
    <w:rsid w:val="001F35F6"/>
    <w:rsid w:val="001F4AAF"/>
    <w:rsid w:val="001F74CA"/>
    <w:rsid w:val="001F7590"/>
    <w:rsid w:val="002003B6"/>
    <w:rsid w:val="0020244A"/>
    <w:rsid w:val="002049B4"/>
    <w:rsid w:val="0020520B"/>
    <w:rsid w:val="002076AD"/>
    <w:rsid w:val="00213C55"/>
    <w:rsid w:val="00223CF4"/>
    <w:rsid w:val="00224B69"/>
    <w:rsid w:val="00224C4A"/>
    <w:rsid w:val="00231187"/>
    <w:rsid w:val="0023407E"/>
    <w:rsid w:val="00240B40"/>
    <w:rsid w:val="00244182"/>
    <w:rsid w:val="002544A1"/>
    <w:rsid w:val="00257ECE"/>
    <w:rsid w:val="00260382"/>
    <w:rsid w:val="00260B94"/>
    <w:rsid w:val="00264F2E"/>
    <w:rsid w:val="00271245"/>
    <w:rsid w:val="00272BD6"/>
    <w:rsid w:val="00273F66"/>
    <w:rsid w:val="00274A9E"/>
    <w:rsid w:val="00276BA1"/>
    <w:rsid w:val="00280984"/>
    <w:rsid w:val="002832CF"/>
    <w:rsid w:val="00283599"/>
    <w:rsid w:val="002835E3"/>
    <w:rsid w:val="00284542"/>
    <w:rsid w:val="002A14D1"/>
    <w:rsid w:val="002A1A1D"/>
    <w:rsid w:val="002A28AD"/>
    <w:rsid w:val="002B04FD"/>
    <w:rsid w:val="002B5318"/>
    <w:rsid w:val="002B6D27"/>
    <w:rsid w:val="002B7A09"/>
    <w:rsid w:val="002C060C"/>
    <w:rsid w:val="002C078A"/>
    <w:rsid w:val="002D05DD"/>
    <w:rsid w:val="002D0E4D"/>
    <w:rsid w:val="002D2965"/>
    <w:rsid w:val="002D3D02"/>
    <w:rsid w:val="002D4CB5"/>
    <w:rsid w:val="002D5900"/>
    <w:rsid w:val="002D684B"/>
    <w:rsid w:val="002E2D3A"/>
    <w:rsid w:val="002E3B26"/>
    <w:rsid w:val="002E4AB8"/>
    <w:rsid w:val="002E7FC4"/>
    <w:rsid w:val="00310070"/>
    <w:rsid w:val="0031081B"/>
    <w:rsid w:val="003110EC"/>
    <w:rsid w:val="00314289"/>
    <w:rsid w:val="003206A6"/>
    <w:rsid w:val="0032560D"/>
    <w:rsid w:val="00327C92"/>
    <w:rsid w:val="00333292"/>
    <w:rsid w:val="003344E7"/>
    <w:rsid w:val="0033580B"/>
    <w:rsid w:val="003365E7"/>
    <w:rsid w:val="003378D5"/>
    <w:rsid w:val="003473D7"/>
    <w:rsid w:val="00351995"/>
    <w:rsid w:val="00351AC8"/>
    <w:rsid w:val="00353075"/>
    <w:rsid w:val="00363E02"/>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B25A5"/>
    <w:rsid w:val="003B4130"/>
    <w:rsid w:val="003B6FA1"/>
    <w:rsid w:val="003B715B"/>
    <w:rsid w:val="003C2C62"/>
    <w:rsid w:val="003C5566"/>
    <w:rsid w:val="003C577A"/>
    <w:rsid w:val="003C7C74"/>
    <w:rsid w:val="003D1D14"/>
    <w:rsid w:val="003D6C7C"/>
    <w:rsid w:val="003D6EFB"/>
    <w:rsid w:val="003D7E52"/>
    <w:rsid w:val="003E25C6"/>
    <w:rsid w:val="003F7528"/>
    <w:rsid w:val="004011AA"/>
    <w:rsid w:val="0040202C"/>
    <w:rsid w:val="00404A8F"/>
    <w:rsid w:val="00406508"/>
    <w:rsid w:val="004110F6"/>
    <w:rsid w:val="004134F8"/>
    <w:rsid w:val="0041456E"/>
    <w:rsid w:val="004148E3"/>
    <w:rsid w:val="00414F7E"/>
    <w:rsid w:val="004164F8"/>
    <w:rsid w:val="00422224"/>
    <w:rsid w:val="00426F05"/>
    <w:rsid w:val="004328E1"/>
    <w:rsid w:val="004427B7"/>
    <w:rsid w:val="0044349F"/>
    <w:rsid w:val="00445F1F"/>
    <w:rsid w:val="00447862"/>
    <w:rsid w:val="00451F60"/>
    <w:rsid w:val="00452BB2"/>
    <w:rsid w:val="00456054"/>
    <w:rsid w:val="0045656D"/>
    <w:rsid w:val="00462D98"/>
    <w:rsid w:val="00463E7D"/>
    <w:rsid w:val="00472A44"/>
    <w:rsid w:val="00473A89"/>
    <w:rsid w:val="00475899"/>
    <w:rsid w:val="00482C78"/>
    <w:rsid w:val="00483ABC"/>
    <w:rsid w:val="0048634A"/>
    <w:rsid w:val="004874AE"/>
    <w:rsid w:val="0049056F"/>
    <w:rsid w:val="00492217"/>
    <w:rsid w:val="00494D24"/>
    <w:rsid w:val="004951D1"/>
    <w:rsid w:val="004960BB"/>
    <w:rsid w:val="004A1BA3"/>
    <w:rsid w:val="004A27D0"/>
    <w:rsid w:val="004A4D67"/>
    <w:rsid w:val="004B7E79"/>
    <w:rsid w:val="004C13CB"/>
    <w:rsid w:val="004C1AAB"/>
    <w:rsid w:val="004C5B90"/>
    <w:rsid w:val="004D3D4B"/>
    <w:rsid w:val="004D5498"/>
    <w:rsid w:val="004D66A5"/>
    <w:rsid w:val="004D6B00"/>
    <w:rsid w:val="004E1D50"/>
    <w:rsid w:val="004E3266"/>
    <w:rsid w:val="004E38BA"/>
    <w:rsid w:val="004E50CA"/>
    <w:rsid w:val="004F27A0"/>
    <w:rsid w:val="0050027D"/>
    <w:rsid w:val="00501382"/>
    <w:rsid w:val="005048FB"/>
    <w:rsid w:val="00510563"/>
    <w:rsid w:val="00510798"/>
    <w:rsid w:val="005119B5"/>
    <w:rsid w:val="005125F1"/>
    <w:rsid w:val="00524A11"/>
    <w:rsid w:val="00527768"/>
    <w:rsid w:val="00530EA4"/>
    <w:rsid w:val="005327FB"/>
    <w:rsid w:val="00533251"/>
    <w:rsid w:val="00533FCA"/>
    <w:rsid w:val="005346EF"/>
    <w:rsid w:val="00542F0C"/>
    <w:rsid w:val="005470D4"/>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571E"/>
    <w:rsid w:val="005C1D52"/>
    <w:rsid w:val="005C46AC"/>
    <w:rsid w:val="005D0200"/>
    <w:rsid w:val="005D44EF"/>
    <w:rsid w:val="005D5112"/>
    <w:rsid w:val="005D5D67"/>
    <w:rsid w:val="005F34CC"/>
    <w:rsid w:val="005F3914"/>
    <w:rsid w:val="005F3B5A"/>
    <w:rsid w:val="005F6AB4"/>
    <w:rsid w:val="00607471"/>
    <w:rsid w:val="00610A66"/>
    <w:rsid w:val="006119B8"/>
    <w:rsid w:val="00613177"/>
    <w:rsid w:val="00613F7C"/>
    <w:rsid w:val="00614BF2"/>
    <w:rsid w:val="0061557C"/>
    <w:rsid w:val="00623DE2"/>
    <w:rsid w:val="00627601"/>
    <w:rsid w:val="006300D0"/>
    <w:rsid w:val="00632012"/>
    <w:rsid w:val="00634694"/>
    <w:rsid w:val="00636517"/>
    <w:rsid w:val="00636EE7"/>
    <w:rsid w:val="00637690"/>
    <w:rsid w:val="00640E1E"/>
    <w:rsid w:val="0064389A"/>
    <w:rsid w:val="00645442"/>
    <w:rsid w:val="006525CD"/>
    <w:rsid w:val="00653F7F"/>
    <w:rsid w:val="00662DCD"/>
    <w:rsid w:val="00662EE8"/>
    <w:rsid w:val="00663813"/>
    <w:rsid w:val="00664AFD"/>
    <w:rsid w:val="00667567"/>
    <w:rsid w:val="0067391A"/>
    <w:rsid w:val="00674173"/>
    <w:rsid w:val="0067534F"/>
    <w:rsid w:val="00677D87"/>
    <w:rsid w:val="006834FA"/>
    <w:rsid w:val="00690DB1"/>
    <w:rsid w:val="00693404"/>
    <w:rsid w:val="006953D9"/>
    <w:rsid w:val="006A1269"/>
    <w:rsid w:val="006A5803"/>
    <w:rsid w:val="006A69C3"/>
    <w:rsid w:val="006A7C15"/>
    <w:rsid w:val="006B1242"/>
    <w:rsid w:val="006B1DBC"/>
    <w:rsid w:val="006B3712"/>
    <w:rsid w:val="006B7D9A"/>
    <w:rsid w:val="006C06D9"/>
    <w:rsid w:val="006C3E22"/>
    <w:rsid w:val="006C5716"/>
    <w:rsid w:val="006C64B2"/>
    <w:rsid w:val="006C74A9"/>
    <w:rsid w:val="006D07DE"/>
    <w:rsid w:val="006D361A"/>
    <w:rsid w:val="006D6A81"/>
    <w:rsid w:val="006E06D9"/>
    <w:rsid w:val="006E1D40"/>
    <w:rsid w:val="006E2E1F"/>
    <w:rsid w:val="006E5059"/>
    <w:rsid w:val="006F5F03"/>
    <w:rsid w:val="006F5FFF"/>
    <w:rsid w:val="00710804"/>
    <w:rsid w:val="00711FC6"/>
    <w:rsid w:val="00712952"/>
    <w:rsid w:val="007130B1"/>
    <w:rsid w:val="00713487"/>
    <w:rsid w:val="00715071"/>
    <w:rsid w:val="007231E9"/>
    <w:rsid w:val="00724F0E"/>
    <w:rsid w:val="007270A6"/>
    <w:rsid w:val="00727C59"/>
    <w:rsid w:val="00733730"/>
    <w:rsid w:val="00734E5D"/>
    <w:rsid w:val="00736013"/>
    <w:rsid w:val="00737BF8"/>
    <w:rsid w:val="0074339B"/>
    <w:rsid w:val="0074478E"/>
    <w:rsid w:val="00750B60"/>
    <w:rsid w:val="00756245"/>
    <w:rsid w:val="00761662"/>
    <w:rsid w:val="00764043"/>
    <w:rsid w:val="00766A36"/>
    <w:rsid w:val="007757CF"/>
    <w:rsid w:val="007769F6"/>
    <w:rsid w:val="00780F9D"/>
    <w:rsid w:val="0078128F"/>
    <w:rsid w:val="007819D9"/>
    <w:rsid w:val="0078683C"/>
    <w:rsid w:val="00790EDB"/>
    <w:rsid w:val="00791538"/>
    <w:rsid w:val="0079326E"/>
    <w:rsid w:val="00796EDE"/>
    <w:rsid w:val="007A5A58"/>
    <w:rsid w:val="007B1C56"/>
    <w:rsid w:val="007B2EDC"/>
    <w:rsid w:val="007C1DD7"/>
    <w:rsid w:val="007C3CD5"/>
    <w:rsid w:val="007C4756"/>
    <w:rsid w:val="007C5E88"/>
    <w:rsid w:val="007C61EF"/>
    <w:rsid w:val="007C6783"/>
    <w:rsid w:val="007D03DE"/>
    <w:rsid w:val="007D1C0D"/>
    <w:rsid w:val="007D2D23"/>
    <w:rsid w:val="007E1AE9"/>
    <w:rsid w:val="007E27D6"/>
    <w:rsid w:val="007E3921"/>
    <w:rsid w:val="00801028"/>
    <w:rsid w:val="00803793"/>
    <w:rsid w:val="00804000"/>
    <w:rsid w:val="008101A2"/>
    <w:rsid w:val="00817A01"/>
    <w:rsid w:val="00820937"/>
    <w:rsid w:val="00825E35"/>
    <w:rsid w:val="00830A4E"/>
    <w:rsid w:val="008334F8"/>
    <w:rsid w:val="00835FFD"/>
    <w:rsid w:val="0084381F"/>
    <w:rsid w:val="00843E35"/>
    <w:rsid w:val="008524CE"/>
    <w:rsid w:val="00857633"/>
    <w:rsid w:val="0086440C"/>
    <w:rsid w:val="008674ED"/>
    <w:rsid w:val="00874EE6"/>
    <w:rsid w:val="00876659"/>
    <w:rsid w:val="0087734C"/>
    <w:rsid w:val="00882141"/>
    <w:rsid w:val="00886BD4"/>
    <w:rsid w:val="008876EC"/>
    <w:rsid w:val="008922A8"/>
    <w:rsid w:val="00895BD5"/>
    <w:rsid w:val="008A16C4"/>
    <w:rsid w:val="008A4A27"/>
    <w:rsid w:val="008A649F"/>
    <w:rsid w:val="008A6FED"/>
    <w:rsid w:val="008B39C5"/>
    <w:rsid w:val="008B51AA"/>
    <w:rsid w:val="008C67F2"/>
    <w:rsid w:val="008D064A"/>
    <w:rsid w:val="008D2537"/>
    <w:rsid w:val="008D2B0F"/>
    <w:rsid w:val="008D633C"/>
    <w:rsid w:val="008E449E"/>
    <w:rsid w:val="008E4BDD"/>
    <w:rsid w:val="008E770C"/>
    <w:rsid w:val="008F187F"/>
    <w:rsid w:val="008F402F"/>
    <w:rsid w:val="008F76E8"/>
    <w:rsid w:val="00904508"/>
    <w:rsid w:val="009078A1"/>
    <w:rsid w:val="00911E9C"/>
    <w:rsid w:val="00917405"/>
    <w:rsid w:val="00920C1F"/>
    <w:rsid w:val="00920F7C"/>
    <w:rsid w:val="00922718"/>
    <w:rsid w:val="00924743"/>
    <w:rsid w:val="00932A87"/>
    <w:rsid w:val="00934CAE"/>
    <w:rsid w:val="0093560E"/>
    <w:rsid w:val="0094257D"/>
    <w:rsid w:val="009443B6"/>
    <w:rsid w:val="00946F68"/>
    <w:rsid w:val="0095467C"/>
    <w:rsid w:val="00954A61"/>
    <w:rsid w:val="00955C6F"/>
    <w:rsid w:val="00966C7B"/>
    <w:rsid w:val="009701DC"/>
    <w:rsid w:val="009715D8"/>
    <w:rsid w:val="009811A8"/>
    <w:rsid w:val="00991460"/>
    <w:rsid w:val="00995BF9"/>
    <w:rsid w:val="009975CC"/>
    <w:rsid w:val="009A0CAF"/>
    <w:rsid w:val="009A2207"/>
    <w:rsid w:val="009A2D34"/>
    <w:rsid w:val="009A6565"/>
    <w:rsid w:val="009B0EDA"/>
    <w:rsid w:val="009B6C42"/>
    <w:rsid w:val="009D2998"/>
    <w:rsid w:val="009D31F7"/>
    <w:rsid w:val="009D32C2"/>
    <w:rsid w:val="009D50DB"/>
    <w:rsid w:val="009E2932"/>
    <w:rsid w:val="009E3A0A"/>
    <w:rsid w:val="009E70F5"/>
    <w:rsid w:val="009F1936"/>
    <w:rsid w:val="009F3E91"/>
    <w:rsid w:val="00A008DA"/>
    <w:rsid w:val="00A00C93"/>
    <w:rsid w:val="00A0571E"/>
    <w:rsid w:val="00A13A27"/>
    <w:rsid w:val="00A1499B"/>
    <w:rsid w:val="00A170D8"/>
    <w:rsid w:val="00A30A1B"/>
    <w:rsid w:val="00A311AD"/>
    <w:rsid w:val="00A314C2"/>
    <w:rsid w:val="00A501BF"/>
    <w:rsid w:val="00A519A0"/>
    <w:rsid w:val="00A5274A"/>
    <w:rsid w:val="00A62A2E"/>
    <w:rsid w:val="00A63A4D"/>
    <w:rsid w:val="00A63E86"/>
    <w:rsid w:val="00A67AF7"/>
    <w:rsid w:val="00A75185"/>
    <w:rsid w:val="00A754A0"/>
    <w:rsid w:val="00A757C3"/>
    <w:rsid w:val="00A75E5B"/>
    <w:rsid w:val="00A75F4B"/>
    <w:rsid w:val="00A7684A"/>
    <w:rsid w:val="00A83B69"/>
    <w:rsid w:val="00A86533"/>
    <w:rsid w:val="00A91CA2"/>
    <w:rsid w:val="00A92FB8"/>
    <w:rsid w:val="00A948F1"/>
    <w:rsid w:val="00AA0BE3"/>
    <w:rsid w:val="00AA18F9"/>
    <w:rsid w:val="00AA1D7D"/>
    <w:rsid w:val="00AA2790"/>
    <w:rsid w:val="00AA3806"/>
    <w:rsid w:val="00AB139D"/>
    <w:rsid w:val="00AB2A35"/>
    <w:rsid w:val="00AB2D05"/>
    <w:rsid w:val="00AB3EFB"/>
    <w:rsid w:val="00AC0B05"/>
    <w:rsid w:val="00AC1962"/>
    <w:rsid w:val="00AC7F9D"/>
    <w:rsid w:val="00AD079A"/>
    <w:rsid w:val="00AD1890"/>
    <w:rsid w:val="00AE2149"/>
    <w:rsid w:val="00AE2BF3"/>
    <w:rsid w:val="00AE33AE"/>
    <w:rsid w:val="00AE3986"/>
    <w:rsid w:val="00AE3F91"/>
    <w:rsid w:val="00AF5B63"/>
    <w:rsid w:val="00B0053D"/>
    <w:rsid w:val="00B01176"/>
    <w:rsid w:val="00B039E3"/>
    <w:rsid w:val="00B06D36"/>
    <w:rsid w:val="00B12BC4"/>
    <w:rsid w:val="00B22838"/>
    <w:rsid w:val="00B33E8F"/>
    <w:rsid w:val="00B33E95"/>
    <w:rsid w:val="00B3720B"/>
    <w:rsid w:val="00B45D0B"/>
    <w:rsid w:val="00B52FA0"/>
    <w:rsid w:val="00B5558A"/>
    <w:rsid w:val="00B56513"/>
    <w:rsid w:val="00B61B64"/>
    <w:rsid w:val="00B631E4"/>
    <w:rsid w:val="00B64376"/>
    <w:rsid w:val="00B6570C"/>
    <w:rsid w:val="00B6790B"/>
    <w:rsid w:val="00B7401F"/>
    <w:rsid w:val="00B769CF"/>
    <w:rsid w:val="00B806C3"/>
    <w:rsid w:val="00B80D6F"/>
    <w:rsid w:val="00B84FCA"/>
    <w:rsid w:val="00B9089F"/>
    <w:rsid w:val="00B91826"/>
    <w:rsid w:val="00B91AEE"/>
    <w:rsid w:val="00B95F5A"/>
    <w:rsid w:val="00B96EAD"/>
    <w:rsid w:val="00BA4962"/>
    <w:rsid w:val="00BA4B7C"/>
    <w:rsid w:val="00BA79F5"/>
    <w:rsid w:val="00BA7EA7"/>
    <w:rsid w:val="00BB2E28"/>
    <w:rsid w:val="00BB3AB6"/>
    <w:rsid w:val="00BB766D"/>
    <w:rsid w:val="00BC007B"/>
    <w:rsid w:val="00BC1715"/>
    <w:rsid w:val="00BC26BA"/>
    <w:rsid w:val="00BC35F8"/>
    <w:rsid w:val="00BC481B"/>
    <w:rsid w:val="00BD08DF"/>
    <w:rsid w:val="00BD2D29"/>
    <w:rsid w:val="00BD617C"/>
    <w:rsid w:val="00BE782C"/>
    <w:rsid w:val="00BF376F"/>
    <w:rsid w:val="00BF46A6"/>
    <w:rsid w:val="00BF6CAD"/>
    <w:rsid w:val="00BF71FB"/>
    <w:rsid w:val="00C04DBF"/>
    <w:rsid w:val="00C05E4C"/>
    <w:rsid w:val="00C06545"/>
    <w:rsid w:val="00C134AF"/>
    <w:rsid w:val="00C220FC"/>
    <w:rsid w:val="00C24DFA"/>
    <w:rsid w:val="00C24F9D"/>
    <w:rsid w:val="00C30182"/>
    <w:rsid w:val="00C31FC9"/>
    <w:rsid w:val="00C37A63"/>
    <w:rsid w:val="00C42248"/>
    <w:rsid w:val="00C46A36"/>
    <w:rsid w:val="00C47037"/>
    <w:rsid w:val="00C50235"/>
    <w:rsid w:val="00C509E3"/>
    <w:rsid w:val="00C53625"/>
    <w:rsid w:val="00C548BA"/>
    <w:rsid w:val="00C5679D"/>
    <w:rsid w:val="00C57784"/>
    <w:rsid w:val="00C602C1"/>
    <w:rsid w:val="00C63FC0"/>
    <w:rsid w:val="00C66392"/>
    <w:rsid w:val="00C7075D"/>
    <w:rsid w:val="00C73D09"/>
    <w:rsid w:val="00C74895"/>
    <w:rsid w:val="00C74C5E"/>
    <w:rsid w:val="00C82558"/>
    <w:rsid w:val="00C827A2"/>
    <w:rsid w:val="00C82B69"/>
    <w:rsid w:val="00C82C8E"/>
    <w:rsid w:val="00C82CB3"/>
    <w:rsid w:val="00C91B28"/>
    <w:rsid w:val="00C91F3A"/>
    <w:rsid w:val="00C93590"/>
    <w:rsid w:val="00CA31EA"/>
    <w:rsid w:val="00CA5446"/>
    <w:rsid w:val="00CB14E5"/>
    <w:rsid w:val="00CB218D"/>
    <w:rsid w:val="00CB5625"/>
    <w:rsid w:val="00CB5797"/>
    <w:rsid w:val="00CC1C17"/>
    <w:rsid w:val="00CC4F7F"/>
    <w:rsid w:val="00CC5D70"/>
    <w:rsid w:val="00CD09E1"/>
    <w:rsid w:val="00CE1780"/>
    <w:rsid w:val="00CE4913"/>
    <w:rsid w:val="00CE66BD"/>
    <w:rsid w:val="00CF0671"/>
    <w:rsid w:val="00CF247A"/>
    <w:rsid w:val="00CF44AD"/>
    <w:rsid w:val="00CF4D7C"/>
    <w:rsid w:val="00CF4FC0"/>
    <w:rsid w:val="00CF7486"/>
    <w:rsid w:val="00D00637"/>
    <w:rsid w:val="00D1072F"/>
    <w:rsid w:val="00D108A5"/>
    <w:rsid w:val="00D14585"/>
    <w:rsid w:val="00D153C8"/>
    <w:rsid w:val="00D17F98"/>
    <w:rsid w:val="00D20EFF"/>
    <w:rsid w:val="00D215B9"/>
    <w:rsid w:val="00D31324"/>
    <w:rsid w:val="00D4386E"/>
    <w:rsid w:val="00D51432"/>
    <w:rsid w:val="00D53ED8"/>
    <w:rsid w:val="00D541A0"/>
    <w:rsid w:val="00D64857"/>
    <w:rsid w:val="00D6493A"/>
    <w:rsid w:val="00D649A5"/>
    <w:rsid w:val="00D66833"/>
    <w:rsid w:val="00D67875"/>
    <w:rsid w:val="00D71E86"/>
    <w:rsid w:val="00D731C6"/>
    <w:rsid w:val="00D745C5"/>
    <w:rsid w:val="00D75327"/>
    <w:rsid w:val="00D77D6B"/>
    <w:rsid w:val="00D80C36"/>
    <w:rsid w:val="00D81A32"/>
    <w:rsid w:val="00D86EE1"/>
    <w:rsid w:val="00D95E90"/>
    <w:rsid w:val="00D96126"/>
    <w:rsid w:val="00DA2FD5"/>
    <w:rsid w:val="00DB4B1C"/>
    <w:rsid w:val="00DB5085"/>
    <w:rsid w:val="00DB619F"/>
    <w:rsid w:val="00DB7211"/>
    <w:rsid w:val="00DC1062"/>
    <w:rsid w:val="00DC132C"/>
    <w:rsid w:val="00DC181A"/>
    <w:rsid w:val="00DC5727"/>
    <w:rsid w:val="00DD43F0"/>
    <w:rsid w:val="00DD44DE"/>
    <w:rsid w:val="00DE09AB"/>
    <w:rsid w:val="00DE1DCC"/>
    <w:rsid w:val="00DE352F"/>
    <w:rsid w:val="00DE4A3F"/>
    <w:rsid w:val="00DE5A99"/>
    <w:rsid w:val="00DF4367"/>
    <w:rsid w:val="00DF7291"/>
    <w:rsid w:val="00E0574A"/>
    <w:rsid w:val="00E1243D"/>
    <w:rsid w:val="00E12742"/>
    <w:rsid w:val="00E146D4"/>
    <w:rsid w:val="00E14815"/>
    <w:rsid w:val="00E21D37"/>
    <w:rsid w:val="00E220ED"/>
    <w:rsid w:val="00E22B44"/>
    <w:rsid w:val="00E30ACD"/>
    <w:rsid w:val="00E32735"/>
    <w:rsid w:val="00E34236"/>
    <w:rsid w:val="00E44B88"/>
    <w:rsid w:val="00E60DDB"/>
    <w:rsid w:val="00E65AD9"/>
    <w:rsid w:val="00E66E36"/>
    <w:rsid w:val="00E67F21"/>
    <w:rsid w:val="00E702ED"/>
    <w:rsid w:val="00E709A4"/>
    <w:rsid w:val="00E75917"/>
    <w:rsid w:val="00E772DB"/>
    <w:rsid w:val="00E86012"/>
    <w:rsid w:val="00E860CA"/>
    <w:rsid w:val="00E86BAB"/>
    <w:rsid w:val="00E92962"/>
    <w:rsid w:val="00E94E10"/>
    <w:rsid w:val="00E96743"/>
    <w:rsid w:val="00E96A42"/>
    <w:rsid w:val="00E97497"/>
    <w:rsid w:val="00EA16D5"/>
    <w:rsid w:val="00EA49C5"/>
    <w:rsid w:val="00EA6279"/>
    <w:rsid w:val="00EB5027"/>
    <w:rsid w:val="00EB6C87"/>
    <w:rsid w:val="00EC1836"/>
    <w:rsid w:val="00EC2F6E"/>
    <w:rsid w:val="00EC3990"/>
    <w:rsid w:val="00EC484B"/>
    <w:rsid w:val="00EC7E58"/>
    <w:rsid w:val="00ED15FA"/>
    <w:rsid w:val="00ED5C9F"/>
    <w:rsid w:val="00EE050C"/>
    <w:rsid w:val="00EE2113"/>
    <w:rsid w:val="00EE5730"/>
    <w:rsid w:val="00EE6E9A"/>
    <w:rsid w:val="00EF2AC4"/>
    <w:rsid w:val="00EF397E"/>
    <w:rsid w:val="00F0340C"/>
    <w:rsid w:val="00F06F68"/>
    <w:rsid w:val="00F11241"/>
    <w:rsid w:val="00F15E9D"/>
    <w:rsid w:val="00F23FA7"/>
    <w:rsid w:val="00F24C2D"/>
    <w:rsid w:val="00F27BEC"/>
    <w:rsid w:val="00F27D59"/>
    <w:rsid w:val="00F316E1"/>
    <w:rsid w:val="00F32155"/>
    <w:rsid w:val="00F32A81"/>
    <w:rsid w:val="00F40C82"/>
    <w:rsid w:val="00F4197F"/>
    <w:rsid w:val="00F46998"/>
    <w:rsid w:val="00F5382D"/>
    <w:rsid w:val="00F53D9C"/>
    <w:rsid w:val="00F54195"/>
    <w:rsid w:val="00F5462B"/>
    <w:rsid w:val="00F54653"/>
    <w:rsid w:val="00F54FAC"/>
    <w:rsid w:val="00F569DE"/>
    <w:rsid w:val="00F57205"/>
    <w:rsid w:val="00F634AD"/>
    <w:rsid w:val="00F63677"/>
    <w:rsid w:val="00F70658"/>
    <w:rsid w:val="00F7417E"/>
    <w:rsid w:val="00F75B81"/>
    <w:rsid w:val="00F761CA"/>
    <w:rsid w:val="00F804C4"/>
    <w:rsid w:val="00F80C7E"/>
    <w:rsid w:val="00F82F83"/>
    <w:rsid w:val="00F86097"/>
    <w:rsid w:val="00F90C64"/>
    <w:rsid w:val="00F9210C"/>
    <w:rsid w:val="00F92B30"/>
    <w:rsid w:val="00F933B9"/>
    <w:rsid w:val="00F94674"/>
    <w:rsid w:val="00F94919"/>
    <w:rsid w:val="00F94A59"/>
    <w:rsid w:val="00FA25B6"/>
    <w:rsid w:val="00FA2FAF"/>
    <w:rsid w:val="00FA54F6"/>
    <w:rsid w:val="00FA64B1"/>
    <w:rsid w:val="00FA70F3"/>
    <w:rsid w:val="00FA71CD"/>
    <w:rsid w:val="00FB0453"/>
    <w:rsid w:val="00FB0C07"/>
    <w:rsid w:val="00FB205F"/>
    <w:rsid w:val="00FB298D"/>
    <w:rsid w:val="00FB3171"/>
    <w:rsid w:val="00FB444E"/>
    <w:rsid w:val="00FC1439"/>
    <w:rsid w:val="00FC3F65"/>
    <w:rsid w:val="00FC5007"/>
    <w:rsid w:val="00FC70AD"/>
    <w:rsid w:val="00FC724B"/>
    <w:rsid w:val="00FC7910"/>
    <w:rsid w:val="00FD01E0"/>
    <w:rsid w:val="00FD50FC"/>
    <w:rsid w:val="00FE1627"/>
    <w:rsid w:val="00FE2D4E"/>
    <w:rsid w:val="00FE3F22"/>
    <w:rsid w:val="00FF092F"/>
    <w:rsid w:val="00FF0DA7"/>
    <w:rsid w:val="00FF2B09"/>
    <w:rsid w:val="00FF44E0"/>
    <w:rsid w:val="00FF6C72"/>
    <w:rsid w:val="014063FE"/>
    <w:rsid w:val="01722E9F"/>
    <w:rsid w:val="01915CC2"/>
    <w:rsid w:val="02EB0203"/>
    <w:rsid w:val="04133216"/>
    <w:rsid w:val="06AE129F"/>
    <w:rsid w:val="06BC02D5"/>
    <w:rsid w:val="072D20A4"/>
    <w:rsid w:val="073B420D"/>
    <w:rsid w:val="099063FA"/>
    <w:rsid w:val="09A909AA"/>
    <w:rsid w:val="0A3D35AB"/>
    <w:rsid w:val="0A542106"/>
    <w:rsid w:val="0A5D3B7D"/>
    <w:rsid w:val="0A6C4667"/>
    <w:rsid w:val="0BBE711B"/>
    <w:rsid w:val="0BD47173"/>
    <w:rsid w:val="0C1B47F2"/>
    <w:rsid w:val="0C4264AA"/>
    <w:rsid w:val="0C6157E5"/>
    <w:rsid w:val="0DB63633"/>
    <w:rsid w:val="104E5D16"/>
    <w:rsid w:val="10607C4F"/>
    <w:rsid w:val="10667503"/>
    <w:rsid w:val="106E6418"/>
    <w:rsid w:val="11323C4E"/>
    <w:rsid w:val="115E18BC"/>
    <w:rsid w:val="12353DB5"/>
    <w:rsid w:val="1254167E"/>
    <w:rsid w:val="12D71D5F"/>
    <w:rsid w:val="138E2FF9"/>
    <w:rsid w:val="14FB623F"/>
    <w:rsid w:val="151B7FB7"/>
    <w:rsid w:val="16431236"/>
    <w:rsid w:val="167B6427"/>
    <w:rsid w:val="16B27D38"/>
    <w:rsid w:val="16C040A7"/>
    <w:rsid w:val="16DE4297"/>
    <w:rsid w:val="182F2C1A"/>
    <w:rsid w:val="190B6E9A"/>
    <w:rsid w:val="1930691F"/>
    <w:rsid w:val="1A426D27"/>
    <w:rsid w:val="1A6528FE"/>
    <w:rsid w:val="1A835004"/>
    <w:rsid w:val="1BA61F6F"/>
    <w:rsid w:val="1C4017F2"/>
    <w:rsid w:val="1C63029E"/>
    <w:rsid w:val="1C715A71"/>
    <w:rsid w:val="1CC921E7"/>
    <w:rsid w:val="1D1C4205"/>
    <w:rsid w:val="1D444EB6"/>
    <w:rsid w:val="1DA840EB"/>
    <w:rsid w:val="1DCE3BD5"/>
    <w:rsid w:val="1DCF0FA3"/>
    <w:rsid w:val="1F737547"/>
    <w:rsid w:val="1F972108"/>
    <w:rsid w:val="20C16461"/>
    <w:rsid w:val="20FF5536"/>
    <w:rsid w:val="21613890"/>
    <w:rsid w:val="226F2197"/>
    <w:rsid w:val="22723AE6"/>
    <w:rsid w:val="229F40C3"/>
    <w:rsid w:val="22C2187D"/>
    <w:rsid w:val="23146520"/>
    <w:rsid w:val="233E2072"/>
    <w:rsid w:val="23585502"/>
    <w:rsid w:val="23596C26"/>
    <w:rsid w:val="23E308F6"/>
    <w:rsid w:val="23F66F5F"/>
    <w:rsid w:val="24577437"/>
    <w:rsid w:val="24ED0E4C"/>
    <w:rsid w:val="25B52667"/>
    <w:rsid w:val="262D78EB"/>
    <w:rsid w:val="268A3AF4"/>
    <w:rsid w:val="27CA60F4"/>
    <w:rsid w:val="27E85AF1"/>
    <w:rsid w:val="27F460A8"/>
    <w:rsid w:val="28C929C1"/>
    <w:rsid w:val="28CC03F4"/>
    <w:rsid w:val="295220BC"/>
    <w:rsid w:val="29733D0B"/>
    <w:rsid w:val="29DA6B0B"/>
    <w:rsid w:val="2A093B18"/>
    <w:rsid w:val="2A1F6D8E"/>
    <w:rsid w:val="2A8D7B4E"/>
    <w:rsid w:val="2ABD245A"/>
    <w:rsid w:val="2B412386"/>
    <w:rsid w:val="2B645462"/>
    <w:rsid w:val="2BB34FD2"/>
    <w:rsid w:val="2BCE65AF"/>
    <w:rsid w:val="2C840FE5"/>
    <w:rsid w:val="2C8B2374"/>
    <w:rsid w:val="2CEA687B"/>
    <w:rsid w:val="2D1633EB"/>
    <w:rsid w:val="2DE16C1F"/>
    <w:rsid w:val="2E112405"/>
    <w:rsid w:val="2E197551"/>
    <w:rsid w:val="2E1B2EA1"/>
    <w:rsid w:val="2E2A119C"/>
    <w:rsid w:val="2E63511A"/>
    <w:rsid w:val="2EA136E3"/>
    <w:rsid w:val="2EB35320"/>
    <w:rsid w:val="2F111D48"/>
    <w:rsid w:val="2F2A7C22"/>
    <w:rsid w:val="2F317872"/>
    <w:rsid w:val="2F3F0C54"/>
    <w:rsid w:val="2F43516E"/>
    <w:rsid w:val="2F4615DA"/>
    <w:rsid w:val="30ED2B9B"/>
    <w:rsid w:val="31197749"/>
    <w:rsid w:val="31375960"/>
    <w:rsid w:val="318D5555"/>
    <w:rsid w:val="32691053"/>
    <w:rsid w:val="32A538A5"/>
    <w:rsid w:val="32D048DA"/>
    <w:rsid w:val="32D85BE7"/>
    <w:rsid w:val="32F20A6F"/>
    <w:rsid w:val="330E360D"/>
    <w:rsid w:val="338755BB"/>
    <w:rsid w:val="33A44776"/>
    <w:rsid w:val="33B37D2E"/>
    <w:rsid w:val="352620DC"/>
    <w:rsid w:val="358B5193"/>
    <w:rsid w:val="35E5310F"/>
    <w:rsid w:val="3661430F"/>
    <w:rsid w:val="369D587E"/>
    <w:rsid w:val="36CF1D5D"/>
    <w:rsid w:val="370F3BF6"/>
    <w:rsid w:val="38AD0855"/>
    <w:rsid w:val="39293004"/>
    <w:rsid w:val="39882115"/>
    <w:rsid w:val="39E10D60"/>
    <w:rsid w:val="39E15381"/>
    <w:rsid w:val="3A0D7F8C"/>
    <w:rsid w:val="3B2F65C0"/>
    <w:rsid w:val="3BFC5E74"/>
    <w:rsid w:val="3C0059BB"/>
    <w:rsid w:val="3C006985"/>
    <w:rsid w:val="3C5F3E33"/>
    <w:rsid w:val="3F031A1F"/>
    <w:rsid w:val="3F5E4365"/>
    <w:rsid w:val="4117521C"/>
    <w:rsid w:val="415470E2"/>
    <w:rsid w:val="41AF5742"/>
    <w:rsid w:val="41BB759E"/>
    <w:rsid w:val="42B740A7"/>
    <w:rsid w:val="4353477A"/>
    <w:rsid w:val="43783307"/>
    <w:rsid w:val="43C05511"/>
    <w:rsid w:val="446B6021"/>
    <w:rsid w:val="44CE57BC"/>
    <w:rsid w:val="45FC7108"/>
    <w:rsid w:val="46EC35B7"/>
    <w:rsid w:val="473A7BED"/>
    <w:rsid w:val="47520CFA"/>
    <w:rsid w:val="476B322B"/>
    <w:rsid w:val="47863A67"/>
    <w:rsid w:val="478F71C4"/>
    <w:rsid w:val="47B35C69"/>
    <w:rsid w:val="4821786A"/>
    <w:rsid w:val="4825146D"/>
    <w:rsid w:val="482B373E"/>
    <w:rsid w:val="4A6169D0"/>
    <w:rsid w:val="4A871F75"/>
    <w:rsid w:val="4A9C602F"/>
    <w:rsid w:val="4B014864"/>
    <w:rsid w:val="4B954E7C"/>
    <w:rsid w:val="4BC55E91"/>
    <w:rsid w:val="4BF24EAD"/>
    <w:rsid w:val="4E226070"/>
    <w:rsid w:val="4E6B046C"/>
    <w:rsid w:val="4E707289"/>
    <w:rsid w:val="4E9E4717"/>
    <w:rsid w:val="4EEA3D40"/>
    <w:rsid w:val="4F00728A"/>
    <w:rsid w:val="4F3F6AB1"/>
    <w:rsid w:val="4F5D071B"/>
    <w:rsid w:val="4F9B688F"/>
    <w:rsid w:val="4F9D0546"/>
    <w:rsid w:val="50A86366"/>
    <w:rsid w:val="512E314A"/>
    <w:rsid w:val="51680A29"/>
    <w:rsid w:val="516C5F04"/>
    <w:rsid w:val="51E23F34"/>
    <w:rsid w:val="53095C1D"/>
    <w:rsid w:val="54087D99"/>
    <w:rsid w:val="54A72003"/>
    <w:rsid w:val="55917DD5"/>
    <w:rsid w:val="55A75279"/>
    <w:rsid w:val="560100E4"/>
    <w:rsid w:val="56023921"/>
    <w:rsid w:val="572B404A"/>
    <w:rsid w:val="57B41ECF"/>
    <w:rsid w:val="57C739B1"/>
    <w:rsid w:val="5809250B"/>
    <w:rsid w:val="58236707"/>
    <w:rsid w:val="584A135A"/>
    <w:rsid w:val="588E44CE"/>
    <w:rsid w:val="591E3AA4"/>
    <w:rsid w:val="59392054"/>
    <w:rsid w:val="597D2F7C"/>
    <w:rsid w:val="59F818C1"/>
    <w:rsid w:val="5A00381D"/>
    <w:rsid w:val="5A0F7891"/>
    <w:rsid w:val="5A33189F"/>
    <w:rsid w:val="5A3617D9"/>
    <w:rsid w:val="5A7F6B6C"/>
    <w:rsid w:val="5AFB613D"/>
    <w:rsid w:val="5B884B20"/>
    <w:rsid w:val="5BC0556E"/>
    <w:rsid w:val="5BC81C40"/>
    <w:rsid w:val="5DA327CA"/>
    <w:rsid w:val="5E61467B"/>
    <w:rsid w:val="5EE30C91"/>
    <w:rsid w:val="5F6E039A"/>
    <w:rsid w:val="5FD74633"/>
    <w:rsid w:val="60E412C0"/>
    <w:rsid w:val="61430077"/>
    <w:rsid w:val="617C4541"/>
    <w:rsid w:val="61E323AE"/>
    <w:rsid w:val="621517BC"/>
    <w:rsid w:val="621B7C41"/>
    <w:rsid w:val="623331AC"/>
    <w:rsid w:val="62404A8B"/>
    <w:rsid w:val="625772C4"/>
    <w:rsid w:val="636E5628"/>
    <w:rsid w:val="636F3034"/>
    <w:rsid w:val="64A06AEC"/>
    <w:rsid w:val="650516A8"/>
    <w:rsid w:val="65330581"/>
    <w:rsid w:val="65830E72"/>
    <w:rsid w:val="66B04B4F"/>
    <w:rsid w:val="66E81280"/>
    <w:rsid w:val="69110DD3"/>
    <w:rsid w:val="691D526F"/>
    <w:rsid w:val="69676D3F"/>
    <w:rsid w:val="697274F4"/>
    <w:rsid w:val="69C001CA"/>
    <w:rsid w:val="6A2E3597"/>
    <w:rsid w:val="6A99742E"/>
    <w:rsid w:val="6AB35F6B"/>
    <w:rsid w:val="6C8D150C"/>
    <w:rsid w:val="6CE35249"/>
    <w:rsid w:val="6D625AFE"/>
    <w:rsid w:val="6E08672D"/>
    <w:rsid w:val="6E39711A"/>
    <w:rsid w:val="6E997D6C"/>
    <w:rsid w:val="6EF616F6"/>
    <w:rsid w:val="6F5D575B"/>
    <w:rsid w:val="6F7B1945"/>
    <w:rsid w:val="705619F8"/>
    <w:rsid w:val="70BB06A1"/>
    <w:rsid w:val="70C5025C"/>
    <w:rsid w:val="71467526"/>
    <w:rsid w:val="71974655"/>
    <w:rsid w:val="72207EFB"/>
    <w:rsid w:val="729C7678"/>
    <w:rsid w:val="73B9644B"/>
    <w:rsid w:val="74CC035C"/>
    <w:rsid w:val="74FC2405"/>
    <w:rsid w:val="754058DD"/>
    <w:rsid w:val="76A867B0"/>
    <w:rsid w:val="771A04F8"/>
    <w:rsid w:val="77220063"/>
    <w:rsid w:val="784A4B73"/>
    <w:rsid w:val="786924FD"/>
    <w:rsid w:val="789518CC"/>
    <w:rsid w:val="789A475B"/>
    <w:rsid w:val="78D90436"/>
    <w:rsid w:val="78E82FCB"/>
    <w:rsid w:val="799B26EC"/>
    <w:rsid w:val="7A5B3FA8"/>
    <w:rsid w:val="7B5B428C"/>
    <w:rsid w:val="7BA174E1"/>
    <w:rsid w:val="7BC04FC3"/>
    <w:rsid w:val="7BD246A9"/>
    <w:rsid w:val="7CA72746"/>
    <w:rsid w:val="7DC33C3F"/>
    <w:rsid w:val="7E1F3C97"/>
    <w:rsid w:val="7E9E4BBC"/>
    <w:rsid w:val="7EA81A90"/>
    <w:rsid w:val="7F2B1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_GB2312" w:hAnsi="@仿宋_GB2312" w:eastAsia="@仿宋_GB2312" w:cs="@仿宋_GB2312"/>
      <w:kern w:val="2"/>
      <w:sz w:val="21"/>
      <w:lang w:val="en-US" w:eastAsia="zh-CN" w:bidi="ar-SA"/>
    </w:rPr>
  </w:style>
  <w:style w:type="paragraph" w:styleId="3">
    <w:name w:val="heading 1"/>
    <w:basedOn w:val="1"/>
    <w:next w:val="1"/>
    <w:link w:val="5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autoRedefine/>
    <w:qFormat/>
    <w:uiPriority w:val="0"/>
    <w:pPr>
      <w:keepNext/>
      <w:keepLines/>
      <w:spacing w:before="260" w:after="260" w:line="415" w:lineRule="auto"/>
      <w:outlineLvl w:val="1"/>
    </w:pPr>
    <w:rPr>
      <w:rFonts w:ascii="Arial" w:hAnsi="Arial" w:eastAsia="黑体" w:cs="Arial"/>
      <w:b/>
      <w:bCs/>
      <w:sz w:val="32"/>
      <w:szCs w:val="32"/>
    </w:rPr>
  </w:style>
  <w:style w:type="paragraph" w:styleId="4">
    <w:name w:val="heading 3"/>
    <w:basedOn w:val="1"/>
    <w:next w:val="1"/>
    <w:link w:val="58"/>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63"/>
    <w:autoRedefine/>
    <w:qFormat/>
    <w:uiPriority w:val="0"/>
    <w:pPr>
      <w:keepNext/>
      <w:keepLines/>
      <w:spacing w:before="280" w:after="290" w:line="376" w:lineRule="auto"/>
      <w:outlineLvl w:val="3"/>
    </w:pPr>
    <w:rPr>
      <w:b/>
      <w:bCs/>
      <w:sz w:val="28"/>
      <w:szCs w:val="28"/>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autoSpaceDE w:val="0"/>
      <w:autoSpaceDN w:val="0"/>
      <w:adjustRightInd w:val="0"/>
      <w:ind w:firstLine="420"/>
      <w:jc w:val="left"/>
    </w:pPr>
    <w:rPr>
      <w:rFonts w:ascii="宋体" w:hAnsi="Times New Roman" w:eastAsia="宋体" w:cs="Times New Roman"/>
      <w:kern w:val="0"/>
      <w:sz w:val="24"/>
    </w:rPr>
  </w:style>
  <w:style w:type="paragraph" w:styleId="7">
    <w:name w:val="annotation text"/>
    <w:basedOn w:val="1"/>
    <w:link w:val="55"/>
    <w:autoRedefine/>
    <w:qFormat/>
    <w:uiPriority w:val="0"/>
    <w:pPr>
      <w:jc w:val="left"/>
    </w:pPr>
    <w:rPr>
      <w:rFonts w:ascii="Arial" w:hAnsi="Arial" w:eastAsia="黑体" w:cs="Arial"/>
    </w:rPr>
  </w:style>
  <w:style w:type="paragraph" w:styleId="8">
    <w:name w:val="Body Text"/>
    <w:basedOn w:val="1"/>
    <w:link w:val="64"/>
    <w:autoRedefine/>
    <w:qFormat/>
    <w:uiPriority w:val="0"/>
    <w:pPr>
      <w:spacing w:after="120"/>
    </w:pPr>
    <w:rPr>
      <w:rFonts w:ascii="@微软简标宋" w:hAnsi="@微软简标宋" w:eastAsia="@微软简标宋" w:cs="@微软简标宋"/>
      <w:szCs w:val="24"/>
      <w:lang w:val="zh-CN"/>
    </w:rPr>
  </w:style>
  <w:style w:type="paragraph" w:styleId="9">
    <w:name w:val="Body Text Indent"/>
    <w:basedOn w:val="1"/>
    <w:next w:val="10"/>
    <w:qFormat/>
    <w:uiPriority w:val="0"/>
    <w:pPr>
      <w:widowControl w:val="0"/>
      <w:ind w:firstLine="570"/>
      <w:jc w:val="both"/>
    </w:pPr>
    <w:rPr>
      <w:rFonts w:ascii="黑体" w:hAnsi="Times New Roman" w:eastAsia="仿宋_GB2312" w:cs="Times New Roman"/>
      <w:sz w:val="28"/>
      <w:lang w:val="en-US" w:eastAsia="zh-CN" w:bidi="ar-SA"/>
    </w:rPr>
  </w:style>
  <w:style w:type="paragraph" w:styleId="10">
    <w:name w:val="envelope return"/>
    <w:basedOn w:val="1"/>
    <w:qFormat/>
    <w:uiPriority w:val="0"/>
    <w:pPr>
      <w:widowControl w:val="0"/>
      <w:snapToGrid w:val="0"/>
      <w:spacing w:line="360" w:lineRule="auto"/>
      <w:jc w:val="both"/>
    </w:pPr>
    <w:rPr>
      <w:rFonts w:ascii="Arial" w:hAnsi="Arial" w:eastAsia="宋体" w:cs="Times New Roman"/>
      <w:sz w:val="24"/>
      <w:lang w:val="en-US" w:eastAsia="zh-CN" w:bidi="ar-SA"/>
    </w:rPr>
  </w:style>
  <w:style w:type="paragraph" w:styleId="11">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2">
    <w:name w:val="Plain Text"/>
    <w:basedOn w:val="1"/>
    <w:link w:val="44"/>
    <w:autoRedefine/>
    <w:qFormat/>
    <w:uiPriority w:val="99"/>
    <w:rPr>
      <w:rFonts w:ascii="宋体" w:hAnsi="Courier New" w:eastAsiaTheme="minorEastAsia" w:cstheme="minorBidi"/>
      <w:szCs w:val="22"/>
    </w:rPr>
  </w:style>
  <w:style w:type="paragraph" w:styleId="13">
    <w:name w:val="Date"/>
    <w:basedOn w:val="1"/>
    <w:next w:val="1"/>
    <w:link w:val="51"/>
    <w:autoRedefine/>
    <w:qFormat/>
    <w:uiPriority w:val="0"/>
    <w:rPr>
      <w:rFonts w:ascii="Arial" w:hAnsi="Arial" w:eastAsia="宋体" w:cs="Arial"/>
      <w:b/>
      <w:sz w:val="28"/>
    </w:rPr>
  </w:style>
  <w:style w:type="paragraph" w:styleId="14">
    <w:name w:val="Balloon Text"/>
    <w:basedOn w:val="1"/>
    <w:link w:val="38"/>
    <w:autoRedefine/>
    <w:semiHidden/>
    <w:unhideWhenUsed/>
    <w:qFormat/>
    <w:uiPriority w:val="99"/>
    <w:rPr>
      <w:sz w:val="18"/>
      <w:szCs w:val="18"/>
    </w:rPr>
  </w:style>
  <w:style w:type="paragraph" w:styleId="15">
    <w:name w:val="footer"/>
    <w:basedOn w:val="1"/>
    <w:link w:val="43"/>
    <w:autoRedefine/>
    <w:unhideWhenUsed/>
    <w:qFormat/>
    <w:uiPriority w:val="99"/>
    <w:pPr>
      <w:tabs>
        <w:tab w:val="center" w:pos="4153"/>
        <w:tab w:val="right" w:pos="8306"/>
      </w:tabs>
      <w:snapToGrid w:val="0"/>
      <w:jc w:val="left"/>
    </w:pPr>
    <w:rPr>
      <w:sz w:val="18"/>
      <w:szCs w:val="18"/>
    </w:rPr>
  </w:style>
  <w:style w:type="paragraph" w:styleId="16">
    <w:name w:val="header"/>
    <w:basedOn w:val="1"/>
    <w:link w:val="4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18">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9">
    <w:name w:val="Normal (Web)"/>
    <w:basedOn w:val="1"/>
    <w:autoRedefine/>
    <w:qFormat/>
    <w:uiPriority w:val="0"/>
    <w:pPr>
      <w:spacing w:before="100" w:beforeAutospacing="1" w:after="100" w:afterAutospacing="1"/>
      <w:jc w:val="left"/>
    </w:pPr>
    <w:rPr>
      <w:rFonts w:cs="Times New Roman"/>
      <w:kern w:val="0"/>
      <w:sz w:val="24"/>
    </w:rPr>
  </w:style>
  <w:style w:type="paragraph" w:styleId="20">
    <w:name w:val="index 1"/>
    <w:basedOn w:val="1"/>
    <w:next w:val="1"/>
    <w:autoRedefine/>
    <w:qFormat/>
    <w:uiPriority w:val="0"/>
    <w:pPr>
      <w:jc w:val="center"/>
    </w:pPr>
    <w:rPr>
      <w:rFonts w:ascii="Arial" w:hAnsi="Arial" w:eastAsia="Arial" w:cs="Arial"/>
      <w:b/>
      <w:bCs/>
      <w:sz w:val="28"/>
    </w:rPr>
  </w:style>
  <w:style w:type="paragraph" w:styleId="21">
    <w:name w:val="Body Text First Indent"/>
    <w:basedOn w:val="8"/>
    <w:autoRedefine/>
    <w:unhideWhenUsed/>
    <w:qFormat/>
    <w:uiPriority w:val="99"/>
    <w:pPr>
      <w:ind w:firstLine="420" w:firstLineChars="100"/>
    </w:pPr>
  </w:style>
  <w:style w:type="paragraph" w:styleId="22">
    <w:name w:val="Body Text First Indent 2"/>
    <w:basedOn w:val="9"/>
    <w:next w:val="1"/>
    <w:qFormat/>
    <w:uiPriority w:val="0"/>
    <w:pPr>
      <w:widowControl w:val="0"/>
      <w:spacing w:after="120"/>
      <w:ind w:left="420" w:leftChars="200" w:firstLine="420" w:firstLineChars="200"/>
      <w:jc w:val="both"/>
    </w:pPr>
    <w:rPr>
      <w:rFonts w:ascii="Times New Roman" w:hAnsi="Times New Roman" w:eastAsia="宋体" w:cs="Times New Roman"/>
      <w:sz w:val="21"/>
      <w:szCs w:val="24"/>
      <w:lang w:val="en-US" w:eastAsia="zh-CN" w:bidi="ar-SA"/>
    </w:rPr>
  </w:style>
  <w:style w:type="table" w:styleId="24">
    <w:name w:val="Table Grid"/>
    <w:basedOn w:val="23"/>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autoRedefine/>
    <w:qFormat/>
    <w:uiPriority w:val="0"/>
    <w:rPr>
      <w:b/>
      <w:bCs/>
    </w:rPr>
  </w:style>
  <w:style w:type="character" w:styleId="27">
    <w:name w:val="FollowedHyperlink"/>
    <w:basedOn w:val="25"/>
    <w:autoRedefine/>
    <w:semiHidden/>
    <w:unhideWhenUsed/>
    <w:qFormat/>
    <w:uiPriority w:val="99"/>
    <w:rPr>
      <w:color w:val="800080"/>
      <w:u w:val="none"/>
    </w:rPr>
  </w:style>
  <w:style w:type="character" w:styleId="28">
    <w:name w:val="Emphasis"/>
    <w:basedOn w:val="25"/>
    <w:autoRedefine/>
    <w:qFormat/>
    <w:uiPriority w:val="20"/>
    <w:rPr>
      <w:b/>
      <w:bCs/>
    </w:rPr>
  </w:style>
  <w:style w:type="character" w:styleId="29">
    <w:name w:val="HTML Definition"/>
    <w:basedOn w:val="25"/>
    <w:autoRedefine/>
    <w:semiHidden/>
    <w:unhideWhenUsed/>
    <w:qFormat/>
    <w:uiPriority w:val="99"/>
  </w:style>
  <w:style w:type="character" w:styleId="30">
    <w:name w:val="HTML Typewriter"/>
    <w:basedOn w:val="25"/>
    <w:autoRedefine/>
    <w:semiHidden/>
    <w:unhideWhenUsed/>
    <w:qFormat/>
    <w:uiPriority w:val="99"/>
    <w:rPr>
      <w:rFonts w:hint="default" w:ascii="monospace" w:hAnsi="monospace" w:eastAsia="monospace" w:cs="monospace"/>
      <w:sz w:val="20"/>
    </w:rPr>
  </w:style>
  <w:style w:type="character" w:styleId="31">
    <w:name w:val="HTML Acronym"/>
    <w:basedOn w:val="25"/>
    <w:autoRedefine/>
    <w:semiHidden/>
    <w:unhideWhenUsed/>
    <w:qFormat/>
    <w:uiPriority w:val="99"/>
  </w:style>
  <w:style w:type="character" w:styleId="32">
    <w:name w:val="HTML Variable"/>
    <w:basedOn w:val="25"/>
    <w:autoRedefine/>
    <w:semiHidden/>
    <w:unhideWhenUsed/>
    <w:qFormat/>
    <w:uiPriority w:val="99"/>
  </w:style>
  <w:style w:type="character" w:styleId="33">
    <w:name w:val="Hyperlink"/>
    <w:basedOn w:val="25"/>
    <w:autoRedefine/>
    <w:unhideWhenUsed/>
    <w:qFormat/>
    <w:uiPriority w:val="99"/>
    <w:rPr>
      <w:color w:val="0000FF" w:themeColor="hyperlink"/>
      <w:u w:val="single"/>
      <w14:textFill>
        <w14:solidFill>
          <w14:schemeClr w14:val="hlink"/>
        </w14:solidFill>
      </w14:textFill>
    </w:rPr>
  </w:style>
  <w:style w:type="character" w:styleId="34">
    <w:name w:val="HTML Code"/>
    <w:basedOn w:val="25"/>
    <w:autoRedefine/>
    <w:semiHidden/>
    <w:unhideWhenUsed/>
    <w:qFormat/>
    <w:uiPriority w:val="99"/>
    <w:rPr>
      <w:rFonts w:ascii="monospace" w:hAnsi="monospace" w:eastAsia="monospace" w:cs="monospace"/>
      <w:sz w:val="20"/>
    </w:rPr>
  </w:style>
  <w:style w:type="character" w:styleId="35">
    <w:name w:val="HTML Cite"/>
    <w:basedOn w:val="25"/>
    <w:autoRedefine/>
    <w:semiHidden/>
    <w:unhideWhenUsed/>
    <w:qFormat/>
    <w:uiPriority w:val="99"/>
  </w:style>
  <w:style w:type="character" w:styleId="36">
    <w:name w:val="HTML Keyboard"/>
    <w:basedOn w:val="25"/>
    <w:autoRedefine/>
    <w:semiHidden/>
    <w:unhideWhenUsed/>
    <w:qFormat/>
    <w:uiPriority w:val="99"/>
    <w:rPr>
      <w:rFonts w:hint="default" w:ascii="monospace" w:hAnsi="monospace" w:eastAsia="monospace" w:cs="monospace"/>
      <w:sz w:val="20"/>
    </w:rPr>
  </w:style>
  <w:style w:type="character" w:styleId="37">
    <w:name w:val="HTML Sample"/>
    <w:basedOn w:val="25"/>
    <w:autoRedefine/>
    <w:semiHidden/>
    <w:unhideWhenUsed/>
    <w:qFormat/>
    <w:uiPriority w:val="99"/>
    <w:rPr>
      <w:rFonts w:hint="default" w:ascii="monospace" w:hAnsi="monospace" w:eastAsia="monospace" w:cs="monospace"/>
    </w:rPr>
  </w:style>
  <w:style w:type="character" w:customStyle="1" w:styleId="38">
    <w:name w:val="批注框文本 Char"/>
    <w:basedOn w:val="25"/>
    <w:link w:val="14"/>
    <w:autoRedefine/>
    <w:semiHidden/>
    <w:qFormat/>
    <w:uiPriority w:val="99"/>
    <w:rPr>
      <w:rFonts w:ascii="@仿宋_GB2312" w:hAnsi="@仿宋_GB2312" w:eastAsia="@仿宋_GB2312" w:cs="@仿宋_GB2312"/>
      <w:sz w:val="18"/>
      <w:szCs w:val="18"/>
    </w:rPr>
  </w:style>
  <w:style w:type="paragraph" w:customStyle="1" w:styleId="3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4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41">
    <w:name w:val="D&amp;L"/>
    <w:basedOn w:val="16"/>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42">
    <w:name w:val="页眉 Char"/>
    <w:basedOn w:val="25"/>
    <w:link w:val="16"/>
    <w:autoRedefine/>
    <w:qFormat/>
    <w:uiPriority w:val="0"/>
    <w:rPr>
      <w:rFonts w:ascii="@仿宋_GB2312" w:hAnsi="@仿宋_GB2312" w:eastAsia="@仿宋_GB2312" w:cs="@仿宋_GB2312"/>
      <w:sz w:val="18"/>
      <w:szCs w:val="18"/>
    </w:rPr>
  </w:style>
  <w:style w:type="character" w:customStyle="1" w:styleId="43">
    <w:name w:val="页脚 Char"/>
    <w:basedOn w:val="25"/>
    <w:link w:val="15"/>
    <w:autoRedefine/>
    <w:qFormat/>
    <w:uiPriority w:val="99"/>
    <w:rPr>
      <w:rFonts w:ascii="@仿宋_GB2312" w:hAnsi="@仿宋_GB2312" w:eastAsia="@仿宋_GB2312" w:cs="@仿宋_GB2312"/>
      <w:sz w:val="18"/>
      <w:szCs w:val="18"/>
    </w:rPr>
  </w:style>
  <w:style w:type="character" w:customStyle="1" w:styleId="44">
    <w:name w:val="纯文本 Char"/>
    <w:link w:val="12"/>
    <w:autoRedefine/>
    <w:qFormat/>
    <w:uiPriority w:val="0"/>
    <w:rPr>
      <w:rFonts w:ascii="宋体" w:hAnsi="Courier New"/>
    </w:rPr>
  </w:style>
  <w:style w:type="character" w:customStyle="1" w:styleId="45">
    <w:name w:val="纯文本 字符1"/>
    <w:basedOn w:val="25"/>
    <w:autoRedefine/>
    <w:semiHidden/>
    <w:qFormat/>
    <w:uiPriority w:val="99"/>
    <w:rPr>
      <w:rFonts w:hAnsi="Courier New" w:cs="Courier New" w:asciiTheme="minorEastAsia"/>
      <w:szCs w:val="20"/>
    </w:rPr>
  </w:style>
  <w:style w:type="character" w:customStyle="1" w:styleId="46">
    <w:name w:val="未处理的提及1"/>
    <w:basedOn w:val="25"/>
    <w:autoRedefine/>
    <w:semiHidden/>
    <w:unhideWhenUsed/>
    <w:qFormat/>
    <w:uiPriority w:val="99"/>
    <w:rPr>
      <w:color w:val="605E5C"/>
      <w:shd w:val="clear" w:color="auto" w:fill="E1DFDD"/>
    </w:rPr>
  </w:style>
  <w:style w:type="paragraph" w:styleId="47">
    <w:name w:val="List Paragraph"/>
    <w:basedOn w:val="1"/>
    <w:autoRedefine/>
    <w:qFormat/>
    <w:uiPriority w:val="34"/>
    <w:pPr>
      <w:ind w:firstLine="420" w:firstLineChars="200"/>
    </w:pPr>
  </w:style>
  <w:style w:type="paragraph" w:customStyle="1" w:styleId="48">
    <w:name w:val="Char Char Char Char Char Char Char1 Char"/>
    <w:basedOn w:val="1"/>
    <w:autoRedefine/>
    <w:qFormat/>
    <w:uiPriority w:val="0"/>
    <w:rPr>
      <w:rFonts w:ascii="Arial" w:hAnsi="Arial" w:eastAsia="宋体" w:cs="Arial"/>
      <w:sz w:val="24"/>
    </w:rPr>
  </w:style>
  <w:style w:type="table" w:customStyle="1" w:styleId="49">
    <w:name w:val="网格表 1 浅色1"/>
    <w:basedOn w:val="23"/>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50">
    <w:name w:val="日期 字符"/>
    <w:basedOn w:val="25"/>
    <w:autoRedefine/>
    <w:semiHidden/>
    <w:qFormat/>
    <w:uiPriority w:val="99"/>
    <w:rPr>
      <w:rFonts w:ascii="@仿宋_GB2312" w:hAnsi="@仿宋_GB2312" w:eastAsia="@仿宋_GB2312" w:cs="@仿宋_GB2312"/>
      <w:szCs w:val="20"/>
    </w:rPr>
  </w:style>
  <w:style w:type="character" w:customStyle="1" w:styleId="51">
    <w:name w:val="日期 Char"/>
    <w:link w:val="13"/>
    <w:autoRedefine/>
    <w:qFormat/>
    <w:uiPriority w:val="0"/>
    <w:rPr>
      <w:rFonts w:ascii="Arial" w:hAnsi="Arial" w:eastAsia="宋体" w:cs="Arial"/>
      <w:b/>
      <w:sz w:val="28"/>
      <w:szCs w:val="20"/>
    </w:rPr>
  </w:style>
  <w:style w:type="character" w:customStyle="1" w:styleId="52">
    <w:name w:val="纯文本 Char1"/>
    <w:link w:val="53"/>
    <w:autoRedefine/>
    <w:qFormat/>
    <w:locked/>
    <w:uiPriority w:val="0"/>
    <w:rPr>
      <w:rFonts w:ascii="Arial" w:hAnsi="Arial" w:eastAsia="Arial"/>
      <w:kern w:val="2"/>
      <w:sz w:val="21"/>
      <w:lang w:val="en-US" w:eastAsia="zh-CN" w:bidi="ar-SA"/>
    </w:rPr>
  </w:style>
  <w:style w:type="paragraph" w:customStyle="1" w:styleId="53">
    <w:name w:val="纯文本1"/>
    <w:basedOn w:val="1"/>
    <w:link w:val="52"/>
    <w:autoRedefine/>
    <w:qFormat/>
    <w:uiPriority w:val="0"/>
    <w:rPr>
      <w:rFonts w:ascii="Arial" w:hAnsi="Arial" w:eastAsia="Arial" w:cstheme="minorBidi"/>
    </w:rPr>
  </w:style>
  <w:style w:type="character" w:customStyle="1" w:styleId="54">
    <w:name w:val="批注文字 Char"/>
    <w:basedOn w:val="25"/>
    <w:autoRedefine/>
    <w:semiHidden/>
    <w:qFormat/>
    <w:uiPriority w:val="99"/>
    <w:rPr>
      <w:rFonts w:ascii="@仿宋_GB2312" w:hAnsi="@仿宋_GB2312" w:eastAsia="@仿宋_GB2312" w:cs="@仿宋_GB2312"/>
      <w:szCs w:val="20"/>
    </w:rPr>
  </w:style>
  <w:style w:type="character" w:customStyle="1" w:styleId="55">
    <w:name w:val="批注文字 Char1"/>
    <w:link w:val="7"/>
    <w:autoRedefine/>
    <w:qFormat/>
    <w:uiPriority w:val="0"/>
    <w:rPr>
      <w:rFonts w:ascii="Arial" w:hAnsi="Arial" w:eastAsia="黑体" w:cs="Arial"/>
      <w:szCs w:val="20"/>
    </w:rPr>
  </w:style>
  <w:style w:type="character" w:customStyle="1" w:styleId="56">
    <w:name w:val="标题 1 Char"/>
    <w:basedOn w:val="25"/>
    <w:link w:val="3"/>
    <w:autoRedefine/>
    <w:qFormat/>
    <w:uiPriority w:val="9"/>
    <w:rPr>
      <w:rFonts w:ascii="@仿宋_GB2312" w:hAnsi="@仿宋_GB2312" w:eastAsia="@仿宋_GB2312" w:cs="@仿宋_GB2312"/>
      <w:b/>
      <w:bCs/>
      <w:kern w:val="44"/>
      <w:sz w:val="44"/>
      <w:szCs w:val="44"/>
    </w:rPr>
  </w:style>
  <w:style w:type="paragraph" w:customStyle="1" w:styleId="57">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8">
    <w:name w:val="标题 3 Char"/>
    <w:basedOn w:val="25"/>
    <w:link w:val="4"/>
    <w:autoRedefine/>
    <w:semiHidden/>
    <w:qFormat/>
    <w:uiPriority w:val="9"/>
    <w:rPr>
      <w:rFonts w:ascii="@仿宋_GB2312" w:hAnsi="@仿宋_GB2312" w:eastAsia="@仿宋_GB2312" w:cs="@仿宋_GB2312"/>
      <w:b/>
      <w:bCs/>
      <w:sz w:val="32"/>
      <w:szCs w:val="32"/>
    </w:rPr>
  </w:style>
  <w:style w:type="character" w:customStyle="1" w:styleId="59">
    <w:name w:val="fontstyle01"/>
    <w:basedOn w:val="25"/>
    <w:autoRedefine/>
    <w:qFormat/>
    <w:uiPriority w:val="0"/>
    <w:rPr>
      <w:rFonts w:hint="eastAsia" w:ascii="宋体" w:hAnsi="宋体" w:eastAsia="宋体"/>
      <w:color w:val="000000"/>
      <w:sz w:val="22"/>
      <w:szCs w:val="22"/>
    </w:rPr>
  </w:style>
  <w:style w:type="character" w:customStyle="1" w:styleId="60">
    <w:name w:val="fontstyle21"/>
    <w:basedOn w:val="25"/>
    <w:autoRedefine/>
    <w:qFormat/>
    <w:uiPriority w:val="0"/>
    <w:rPr>
      <w:rFonts w:hint="default" w:ascii="TimesNewRomanPSMT" w:hAnsi="TimesNewRomanPSMT"/>
      <w:color w:val="000000"/>
      <w:sz w:val="22"/>
      <w:szCs w:val="22"/>
    </w:rPr>
  </w:style>
  <w:style w:type="character" w:customStyle="1" w:styleId="6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62">
    <w:name w:val="标题 4 字符"/>
    <w:basedOn w:val="25"/>
    <w:autoRedefine/>
    <w:semiHidden/>
    <w:qFormat/>
    <w:uiPriority w:val="9"/>
    <w:rPr>
      <w:rFonts w:asciiTheme="majorHAnsi" w:hAnsiTheme="majorHAnsi" w:eastAsiaTheme="majorEastAsia" w:cstheme="majorBidi"/>
      <w:b/>
      <w:bCs/>
      <w:sz w:val="28"/>
      <w:szCs w:val="28"/>
    </w:rPr>
  </w:style>
  <w:style w:type="character" w:customStyle="1" w:styleId="63">
    <w:name w:val="标题 4 Char"/>
    <w:link w:val="5"/>
    <w:autoRedefine/>
    <w:qFormat/>
    <w:uiPriority w:val="0"/>
    <w:rPr>
      <w:rFonts w:ascii="@仿宋_GB2312" w:hAnsi="@仿宋_GB2312" w:eastAsia="@仿宋_GB2312" w:cs="@仿宋_GB2312"/>
      <w:b/>
      <w:bCs/>
      <w:sz w:val="28"/>
      <w:szCs w:val="28"/>
    </w:rPr>
  </w:style>
  <w:style w:type="character" w:customStyle="1" w:styleId="64">
    <w:name w:val="正文文本 Char"/>
    <w:basedOn w:val="25"/>
    <w:link w:val="8"/>
    <w:autoRedefine/>
    <w:qFormat/>
    <w:uiPriority w:val="0"/>
    <w:rPr>
      <w:rFonts w:ascii="@微软简标宋" w:hAnsi="@微软简标宋" w:eastAsia="@微软简标宋" w:cs="@微软简标宋"/>
      <w:szCs w:val="24"/>
      <w:lang w:val="zh-CN" w:eastAsia="zh-CN"/>
    </w:rPr>
  </w:style>
  <w:style w:type="table" w:customStyle="1" w:styleId="65">
    <w:name w:val="网格型1"/>
    <w:basedOn w:val="23"/>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
    <w:name w:val="Table Normal"/>
    <w:autoRedefine/>
    <w:semiHidden/>
    <w:unhideWhenUsed/>
    <w:qFormat/>
    <w:uiPriority w:val="0"/>
    <w:tblPr>
      <w:tblCellMar>
        <w:top w:w="0" w:type="dxa"/>
        <w:left w:w="0" w:type="dxa"/>
        <w:bottom w:w="0" w:type="dxa"/>
        <w:right w:w="0" w:type="dxa"/>
      </w:tblCellMar>
    </w:tblPr>
  </w:style>
  <w:style w:type="paragraph" w:customStyle="1" w:styleId="67">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57</Pages>
  <Words>9156</Words>
  <Characters>9825</Characters>
  <Lines>208</Lines>
  <Paragraphs>58</Paragraphs>
  <TotalTime>2</TotalTime>
  <ScaleCrop>false</ScaleCrop>
  <LinksUpToDate>false</LinksUpToDate>
  <CharactersWithSpaces>10118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Administrator</cp:lastModifiedBy>
  <cp:lastPrinted>2026-04-17T00:52:00Z</cp:lastPrinted>
  <dcterms:modified xsi:type="dcterms:W3CDTF">2026-04-17T02:05:49Z</dcterms:modified>
  <cp:revision>443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24F906A48D1243F8B80EB73AD427CEB1_13</vt:lpwstr>
  </property>
  <property fmtid="{D5CDD505-2E9C-101B-9397-08002B2CF9AE}" pid="4" name="KSOTemplateDocerSaveRecord">
    <vt:lpwstr>eyJoZGlkIjoiZDY3ODEwMDQ4MDQxMTg0Yjk1YjUzZTA3NDI2YzEwMTYifQ==</vt:lpwstr>
  </property>
</Properties>
</file>